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spacing w:after="200" w:before="0" w:lin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52"/>
          <w:szCs w:val="52"/>
        </w:rPr>
        <w:t xml:space="preserve">INDONESIA SYSTEM</w:t>
      </w:r>
    </w:p>
    <w:p>
      <w:pPr>
        <w:spacing w:after="80" w:before="0" w:line="3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4FC4"/>
          <w:sz w:val="30"/>
          <w:szCs w:val="30"/>
        </w:rPr>
        <w:t xml:space="preserve">Master Corporate Strategy</w:t>
      </w:r>
    </w:p>
    <w:p>
      <w:pPr>
        <w:spacing w:after="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Dokumen Rahasia — Khusus Internal Founder</w:t>
      </w:r>
    </w:p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pBdr>
          <w:bottom w:val="single" w:color="3B4FC4" w:sz="6" w:space="4"/>
        </w:pBd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20"/>
                <w:szCs w:val="20"/>
              </w:rPr>
              <w:t xml:space="preserve">Versi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v0.1 — Draft Awal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20"/>
                <w:szCs w:val="20"/>
              </w:rPr>
              <w:t xml:space="preserve">Tanggal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28 April 2026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Living Document — Update Berkala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Founders Only</w:t>
            </w:r>
          </w:p>
        </w:tc>
      </w:tr>
    </w:tbl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spacing w:after="0" w:before="0" w:line="320"/>
        <w:jc w:val="left"/>
      </w:pPr>
      <w:r>
        <w:br w:type="page"/>
      </w:r>
    </w:p>
    <w:p>
      <w:pPr>
        <w:pStyle w:val="Heading1"/>
        <w:spacing w:after="200" w:before="36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34"/>
          <w:szCs w:val="34"/>
        </w:rPr>
        <w:t xml:space="preserve">1. Executive Summary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Indonesia System adalah platform enterprise berbasis SaaS yang dirancang untuk menjadi tulang punggung operasional korporasi Indonesia — dari UKM hingga multinational yang beroperasi di bawah PT Indonesia. Produk ini memposisikan diri di antara dua kutub yang ada: sesederhana Odoo untuk onboarding, sekuat SAP untuk enterprise, dan satu-satunya yang dibangun native untuk ekosistem regulasi Indonesia.</w:t>
      </w:r>
    </w:p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60"/>
        <w:gridCol w:w="9000"/>
      </w:tblGrid>
      <w:tr>
        <w:tc>
          <w:tcPr>
            <w:tcW w:type="dxa" w:w="160"/>
            <w:tcBorders>
              <w:top w:val="none" w:color="FFFFFF" w:sz="0"/>
              <w:left w:val="single" w:color="3B4FC4" w:sz="18"/>
              <w:bottom w:val="none" w:color="FFFFFF" w:sz="0"/>
              <w:right w:val="none" w:color="FFFFFF" w:sz="0"/>
            </w:tcBorders>
            <w:shd w:fill="E8EBFA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0"/>
                <w:szCs w:val="10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single" w:color="E8EBFA" w:sz="1"/>
            </w:tcBorders>
            <w:shd w:fill="E8EBFA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spacing w:after="8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4FC4"/>
                <w:sz w:val="21"/>
                <w:szCs w:val="21"/>
              </w:rPr>
              <w:t xml:space="preserve">Thesis Inti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Kompetitor menghabiskan investasi besar untuk customisasi sistem Barat agar sesuai Indonesia.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Indonesia System dibangun dari bawah dengan Indonesia sebagai first-class citizen — bukan afterthought.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Leapfrog: bukan build per-industri lalu expand, tapi build nasional dulu, lalu drill ke vertikal.</w:t>
            </w:r>
          </w:p>
        </w:tc>
      </w:tr>
    </w:tbl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pStyle w:val="Heading3"/>
        <w:spacing w:after="10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B4FC4"/>
          <w:sz w:val="22"/>
          <w:szCs w:val="22"/>
        </w:rPr>
        <w:t xml:space="preserve">Konteks Saat Ini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20"/>
                <w:szCs w:val="20"/>
              </w:rPr>
              <w:t xml:space="preserve">Fase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Pure idea — belum ada kode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20"/>
                <w:szCs w:val="20"/>
              </w:rPr>
              <w:t xml:space="preserve">Tim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2–3 founders, non-technical background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20"/>
                <w:szCs w:val="20"/>
              </w:rPr>
              <w:t xml:space="preserve">Funding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Bootstrapped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20"/>
                <w:szCs w:val="20"/>
              </w:rPr>
              <w:t xml:space="preserve">Pendekatan Dev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Vibe coding di fase awal; hiring/co-founder teknis di kemudian hari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20"/>
                <w:szCs w:val="20"/>
              </w:rPr>
              <w:t xml:space="preserve">Target Awal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Perusahaan menengah Indonesia (50–500 karyawan)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20"/>
                <w:szCs w:val="20"/>
              </w:rPr>
              <w:t xml:space="preserve">Relasi Produk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Berdiri sendiri — terpisah dari Supapark &amp; Jurna</w:t>
            </w:r>
          </w:p>
        </w:tc>
      </w:tr>
    </w:tbl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60"/>
        <w:gridCol w:w="9000"/>
      </w:tblGrid>
      <w:tr>
        <w:tc>
          <w:tcPr>
            <w:tcW w:type="dxa" w:w="160"/>
            <w:tcBorders>
              <w:top w:val="none" w:color="FFFFFF" w:sz="0"/>
              <w:left w:val="single" w:color="C0392B" w:sz="18"/>
              <w:bottom w:val="none" w:color="FFFFFF" w:sz="0"/>
              <w:right w:val="none" w:color="FFFFFF" w:sz="0"/>
            </w:tcBorders>
            <w:shd w:fill="FBEAEA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0"/>
                <w:szCs w:val="10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single" w:color="FBEAEA" w:sz="1"/>
            </w:tcBorders>
            <w:shd w:fill="FBEAEA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spacing w:after="8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Peringatan Kritis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Tiga produk paralel (Supapark, Jurna, Indonesia System) dengan tim yang sama adalah risiko konsentrasi tinggi.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Strategy doc ini memperlakukan Indonesia System sebagai visi jangka panjang — eksekusi awal harus dimulai dari scope yang sangat terdefinisi.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Vibe coding valid untuk prototyping, tapi arsitektur core harus diputuskan sebelum baris kode pertama.</w:t>
            </w:r>
          </w:p>
        </w:tc>
      </w:tr>
    </w:tbl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spacing w:after="0" w:before="0" w:line="320"/>
        <w:jc w:val="left"/>
      </w:pPr>
      <w:r>
        <w:br w:type="page"/>
      </w:r>
    </w:p>
    <w:p>
      <w:pPr>
        <w:pStyle w:val="Heading1"/>
        <w:spacing w:after="200" w:before="36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34"/>
          <w:szCs w:val="34"/>
        </w:rPr>
        <w:t xml:space="preserve">2. Visi &amp; Positioning</w:t>
      </w:r>
    </w:p>
    <w:p>
      <w:pPr>
        <w:pStyle w:val="Heading2"/>
        <w:pBdr>
          <w:bottom w:val="single" w:color="3B4FC4" w:sz="6" w:space="4"/>
        </w:pBdr>
        <w:spacing w:after="160" w:before="32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26"/>
          <w:szCs w:val="26"/>
        </w:rPr>
        <w:t xml:space="preserve">2.1 Pernyataan Visi</w:t>
      </w:r>
    </w:p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4A5A"/>
          <w:sz w:val="23"/>
          <w:szCs w:val="23"/>
        </w:rPr>
        <w:t xml:space="preserve">"Menjadi sistem operasional korporasi nasional Indonesia — </w:t>
      </w:r>
      <w:r>
        <w:rPr>
          <w:rFonts w:ascii="Arial" w:cs="Arial" w:eastAsia="Arial" w:hAnsi="Arial"/>
          <w:b/>
          <w:bCs/>
          <w:i/>
          <w:iCs/>
          <w:color w:val="1A2B5A"/>
          <w:sz w:val="23"/>
          <w:szCs w:val="23"/>
        </w:rPr>
        <w:t xml:space="preserve">satu platform yang menghubungkan perusahaan, karyawan, dan pemerintah dalam satu ekosistem terintegrasi.</w:t>
      </w:r>
      <w:r>
        <w:rPr>
          <w:rFonts w:ascii="Arial" w:cs="Arial" w:eastAsia="Arial" w:hAnsi="Arial"/>
          <w:b w:val="false"/>
          <w:bCs w:val="false"/>
          <w:i/>
          <w:iCs/>
          <w:color w:val="4A4A5A"/>
          <w:sz w:val="23"/>
          <w:szCs w:val="23"/>
        </w:rPr>
        <w:t xml:space="preserve">"</w:t>
      </w:r>
    </w:p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pStyle w:val="Heading2"/>
        <w:pBdr>
          <w:bottom w:val="single" w:color="3B4FC4" w:sz="6" w:space="4"/>
        </w:pBdr>
        <w:spacing w:after="160" w:before="32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26"/>
          <w:szCs w:val="26"/>
        </w:rPr>
        <w:t xml:space="preserve">2.2 Positioning Matrix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0"/>
        <w:gridCol w:w="2290"/>
        <w:gridCol w:w="2290"/>
        <w:gridCol w:w="2290"/>
      </w:tblGrid>
      <w:tr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Dimensi</w:t>
            </w:r>
          </w:p>
        </w:tc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Odoo</w:t>
            </w:r>
          </w:p>
        </w:tc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SAP</w:t>
            </w:r>
          </w:p>
        </w:tc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Indonesia System</w:t>
            </w:r>
          </w:p>
        </w:tc>
      </w:tr>
      <w:tr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Kemudahan Setup</w:t>
            </w:r>
          </w:p>
        </w:tc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4/5</w:t>
            </w:r>
          </w:p>
        </w:tc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2/5</w:t>
            </w:r>
          </w:p>
        </w:tc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4FC4"/>
                <w:sz w:val="19"/>
                <w:szCs w:val="19"/>
              </w:rPr>
              <w:t xml:space="preserve">5/5</w:t>
            </w:r>
          </w:p>
        </w:tc>
      </w:tr>
      <w:tr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Kekuatan Enterprise</w:t>
            </w:r>
          </w:p>
        </w:tc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3/5</w:t>
            </w:r>
          </w:p>
        </w:tc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5/5</w:t>
            </w:r>
          </w:p>
        </w:tc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4FC4"/>
                <w:sz w:val="19"/>
                <w:szCs w:val="19"/>
              </w:rPr>
              <w:t xml:space="preserve">4/5</w:t>
            </w:r>
          </w:p>
        </w:tc>
      </w:tr>
      <w:tr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Integrasi Gov. Indonesia</w:t>
            </w:r>
          </w:p>
        </w:tc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1/5</w:t>
            </w:r>
          </w:p>
        </w:tc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1/5</w:t>
            </w:r>
          </w:p>
        </w:tc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4FC4"/>
                <w:sz w:val="19"/>
                <w:szCs w:val="19"/>
              </w:rPr>
              <w:t xml:space="preserve">5/5</w:t>
            </w:r>
          </w:p>
        </w:tc>
      </w:tr>
      <w:tr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Harga Terjangkau</w:t>
            </w:r>
          </w:p>
        </w:tc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3/5</w:t>
            </w:r>
          </w:p>
        </w:tc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1/5</w:t>
            </w:r>
          </w:p>
        </w:tc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4FC4"/>
                <w:sz w:val="19"/>
                <w:szCs w:val="19"/>
              </w:rPr>
              <w:t xml:space="preserve">4/5</w:t>
            </w:r>
          </w:p>
        </w:tc>
      </w:tr>
      <w:tr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Network Antar Perusahaan</w:t>
            </w:r>
          </w:p>
        </w:tc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0/5</w:t>
            </w:r>
          </w:p>
        </w:tc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3/5</w:t>
            </w:r>
          </w:p>
        </w:tc>
        <w:tc>
          <w:tcPr>
            <w:tcW w:type="dxa" w:w="22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4FC4"/>
                <w:sz w:val="19"/>
                <w:szCs w:val="19"/>
              </w:rPr>
              <w:t xml:space="preserve">5/5</w:t>
            </w:r>
          </w:p>
        </w:tc>
      </w:tr>
    </w:tbl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pStyle w:val="Heading2"/>
        <w:pBdr>
          <w:bottom w:val="single" w:color="3B4FC4" w:sz="6" w:space="4"/>
        </w:pBdr>
        <w:spacing w:after="160" w:before="32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26"/>
          <w:szCs w:val="26"/>
        </w:rPr>
        <w:t xml:space="preserve">2.3 Diferensiasi Kunci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Hyperlocal-first: Modul karyawan terhubung ke Ketenagakerjaan &amp; BPJS. Modul keuangan terhubung ke perpajakan. Identifier nasional (NIK, Paspor) sebagai first-class citizen.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Leapfrog strategy: Kompetitor investasi besar per industri. Kita build global dulu, lalu vertikal — membalik urutan konvensional.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Network effect B2B: Konektivitas antar perusahaan pengguna Indonesia System — sync pesanan, invoice, pembayaran. Semakin banyak pengguna, semakin valuable sistemnya.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Multinational bridge: Instance Indonesia System bisa connect ke parent system (SAP, Oracle) di luar negeri — menjadi compliance layer PT Indonesia untuk multinational.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Public sector ready: Dirancang untuk dapat dipakai sektor publik/BUMN sejak awal.</w:t>
      </w:r>
    </w:p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spacing w:after="0" w:before="0" w:line="320"/>
        <w:jc w:val="left"/>
      </w:pPr>
      <w:r>
        <w:br w:type="page"/>
      </w:r>
    </w:p>
    <w:p>
      <w:pPr>
        <w:pStyle w:val="Heading1"/>
        <w:spacing w:after="200" w:before="36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34"/>
          <w:szCs w:val="34"/>
        </w:rPr>
        <w:t xml:space="preserve">3. Product Strategy</w:t>
      </w:r>
    </w:p>
    <w:p>
      <w:pPr>
        <w:pStyle w:val="Heading2"/>
        <w:pBdr>
          <w:bottom w:val="single" w:color="3B4FC4" w:sz="6" w:space="4"/>
        </w:pBdr>
        <w:spacing w:after="160" w:before="32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26"/>
          <w:szCs w:val="26"/>
        </w:rPr>
        <w:t xml:space="preserve">3.1 Prinsip Produk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60"/>
        <w:gridCol w:w="9000"/>
      </w:tblGrid>
      <w:tr>
        <w:tc>
          <w:tcPr>
            <w:tcW w:type="dxa" w:w="160"/>
            <w:tcBorders>
              <w:top w:val="none" w:color="FFFFFF" w:sz="0"/>
              <w:left w:val="single" w:color="0F7B6C" w:sz="18"/>
              <w:bottom w:val="none" w:color="FFFFFF" w:sz="0"/>
              <w:right w:val="none" w:color="FFFFFF" w:sz="0"/>
            </w:tcBorders>
            <w:shd w:fill="E0F4F1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0"/>
                <w:szCs w:val="10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single" w:color="E0F4F1" w:sz="1"/>
            </w:tcBorders>
            <w:shd w:fill="E0F4F1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spacing w:after="8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C"/>
                <w:sz w:val="21"/>
                <w:szCs w:val="21"/>
              </w:rPr>
              <w:t xml:space="preserve">North Star UX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Simple seperti Odoo untuk onboarding — powerful seperti SAP untuk skala enterprise.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Kecepatan perubahan adalah KPI utama: setiap change request harus bisa dieksekusi dan di-deploy dalam hitungan jam, bukan minggu.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Delegasikan IT ke tim — user non-teknis harus bisa manage sistem sendiri.</w:t>
            </w:r>
          </w:p>
        </w:tc>
      </w:tr>
    </w:tbl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pStyle w:val="Heading2"/>
        <w:pBdr>
          <w:bottom w:val="single" w:color="3B4FC4" w:sz="6" w:space="4"/>
        </w:pBdr>
        <w:spacing w:after="160" w:before="32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26"/>
          <w:szCs w:val="26"/>
        </w:rPr>
        <w:t xml:space="preserve">3.2 Modul — Roadmap Bertahap</w:t>
      </w:r>
    </w:p>
    <w:p>
      <w:pPr>
        <w:spacing w:after="60" w:before="4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Urutan: global dan lintas-industri dulu, lalu spesifik vertikal.</w:t>
      </w:r>
    </w:p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4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Fungsi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Prioritas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HR &amp; Karyawan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Employee management, absensi, payroll, integrasi BPJS &amp; Ketenagakerjaan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4FC4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Keuangan &amp; Akunting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Chart of accounts, jurnal, laporan keuangan, integrasi perpajakan e-SPT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4FC4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CRM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Pipeline sales, kontak, aktivitas, deal tracking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4FC4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Procurement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Purchase order, vendor management, approval workflow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4FC4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Inventory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Stok barang, gudang, FIFO/LIFO, stock opname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4FC4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Proyek &amp; Task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Project management, milestone, Gantt, time tracking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4FC4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Dokumen &amp; Kontrak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Document management, e-signature, template AI-generated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4FC4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Instant Chat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Internal communication terintegrasi dalam sistem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4FC4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Email &amp; Workspace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Email client + collaborative workspace dalam satu platform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C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Meeting &amp; Video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Roll call, agenda, integrasi Google Meet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C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Omnichannel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WhatsApp, email, chat dalam satu inbox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C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Workflow Automation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Rule-based automation + AI trigger antar modul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C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AI Marketing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Campaign management berbasis AI, dikurasi per industri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5A00"/>
                <w:sz w:val="19"/>
                <w:szCs w:val="19"/>
              </w:rPr>
              <w:t xml:space="preserve">Fase 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Public Sector Module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Identifier nasional, compliance BUMN/pemerintah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5A00"/>
                <w:sz w:val="19"/>
                <w:szCs w:val="19"/>
              </w:rPr>
              <w:t xml:space="preserve">Fase 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Konektivitas B2B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Shakehand antar instance, sync invoice &amp; pembayaran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5A00"/>
                <w:sz w:val="19"/>
                <w:szCs w:val="19"/>
              </w:rPr>
              <w:t xml:space="preserve">Fase 3</w:t>
            </w:r>
          </w:p>
        </w:tc>
      </w:tr>
    </w:tbl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pStyle w:val="Heading2"/>
        <w:pBdr>
          <w:bottom w:val="single" w:color="3B4FC4" w:sz="6" w:space="4"/>
        </w:pBdr>
        <w:spacing w:after="160" w:before="32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26"/>
          <w:szCs w:val="26"/>
        </w:rPr>
        <w:t xml:space="preserve">3.3 Fitur Unggulan Cross-Modul</w:t>
      </w:r>
    </w:p>
    <w:p>
      <w:pPr>
        <w:pStyle w:val="Heading3"/>
        <w:spacing w:after="10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B4FC4"/>
          <w:sz w:val="22"/>
          <w:szCs w:val="22"/>
        </w:rPr>
        <w:t xml:space="preserve">Instant Search Navigation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Seperti Odoo — user ketik kata kunci dan langsung diarahkan ke menu, record, atau aksi manapun dalam sistem. Zero learning curve untuk navigasi.</w:t>
      </w:r>
    </w:p>
    <w:p>
      <w:pPr>
        <w:pStyle w:val="Heading3"/>
        <w:spacing w:after="10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B4FC4"/>
          <w:sz w:val="22"/>
          <w:szCs w:val="22"/>
        </w:rPr>
        <w:t xml:space="preserve">AI Access Rights Configuration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User bisa configure access rights via menu settings, atau cukup mendeskripsikan kebutuhan dalam bahasa natural ke AI — sistem yang mengeksekusi perubahannya.</w:t>
      </w:r>
    </w:p>
    <w:p>
      <w:pPr>
        <w:pStyle w:val="Heading3"/>
        <w:spacing w:after="10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B4FC4"/>
          <w:sz w:val="22"/>
          <w:szCs w:val="22"/>
        </w:rPr>
        <w:t xml:space="preserve">Instant Feedback &amp; Change Request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Setiap halaman dan model memiliki tombol feedback yang memungkinkan user melaporkan bug atau mengajukan change request langsung dari konteks. Change request menghasilkan contract template yang AI-generated, spesifik per instance.</w:t>
      </w:r>
    </w:p>
    <w:p>
      <w:pPr>
        <w:pStyle w:val="Heading3"/>
        <w:spacing w:after="10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B4FC4"/>
          <w:sz w:val="22"/>
          <w:szCs w:val="22"/>
        </w:rPr>
        <w:t xml:space="preserve">Update System: Global vs Instance-Specific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Update bisa di-trigger secara global ke semua instance (patch &amp; fitur baru), atau di-inject ke instance spesifik untuk customisasi tanpa mempengaruhi instance lain. Mendukung deployment cloud dan on-premise.</w:t>
      </w:r>
    </w:p>
    <w:p>
      <w:pPr>
        <w:pStyle w:val="Heading3"/>
        <w:spacing w:after="10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B4FC4"/>
          <w:sz w:val="22"/>
          <w:szCs w:val="22"/>
        </w:rPr>
        <w:t xml:space="preserve">Roadmap Mind Map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Dashboard roadmap interaktif berupa giant mind map yang bisa diakses internal maupun dipublikasikan. Setiap node fitur memiliki status, "border versa" (versi availability), dan sertifikasi terkait (ISO, dll). Real-time progress update.</w:t>
      </w:r>
    </w:p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spacing w:after="0" w:before="0" w:line="320"/>
        <w:jc w:val="left"/>
      </w:pPr>
      <w:r>
        <w:br w:type="page"/>
      </w:r>
    </w:p>
    <w:p>
      <w:pPr>
        <w:pStyle w:val="Heading1"/>
        <w:spacing w:after="200" w:before="36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34"/>
          <w:szCs w:val="34"/>
        </w:rPr>
        <w:t xml:space="preserve">4. Arsitektur Teknis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60"/>
        <w:gridCol w:w="9000"/>
      </w:tblGrid>
      <w:tr>
        <w:tc>
          <w:tcPr>
            <w:tcW w:type="dxa" w:w="160"/>
            <w:tcBorders>
              <w:top w:val="none" w:color="FFFFFF" w:sz="0"/>
              <w:left w:val="single" w:color="B35A00" w:sz="18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0"/>
                <w:szCs w:val="10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single" w:color="FEF3E2" w:sz="1"/>
            </w:tcBorders>
            <w:shd w:fill="FEF3E2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spacing w:after="8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5A00"/>
                <w:sz w:val="21"/>
                <w:szCs w:val="21"/>
              </w:rPr>
              <w:t xml:space="preserve">Prinsip Utama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Matangkan arsitektur sebelum eksekusi — keputusan di bawah ini harus disepakati semua founder sebelum vibe coding dimulai.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Scaffolding se-flexible mungkin: siap untuk perubahan ekstrem maupun kecil tanpa rewrite besar.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Monorepo sebagai single source of truth untuk semua komponen sistem.</w:t>
            </w:r>
          </w:p>
        </w:tc>
      </w:tr>
    </w:tbl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pStyle w:val="Heading2"/>
        <w:pBdr>
          <w:bottom w:val="single" w:color="3B4FC4" w:sz="6" w:space="4"/>
        </w:pBdr>
        <w:spacing w:after="160" w:before="32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26"/>
          <w:szCs w:val="26"/>
        </w:rPr>
        <w:t xml:space="preserve">4.1 Monorepo Structure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Satu monorepo utama yang terdiri dari tiga bagian besar: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Landing page &amp; marketing site — public-facing, termasuk roadmap mind map publik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Admin dashboard — untuk mengurus semua instance client, sekaligus berfungsi sebagai internal ERP tim (CRM, finance, operasional)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Instance engine — core yang di-deploy per client, bisa cloud atau on-premise</w:t>
      </w:r>
    </w:p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pStyle w:val="Heading2"/>
        <w:pBdr>
          <w:bottom w:val="single" w:color="3B4FC4" w:sz="6" w:space="4"/>
        </w:pBdr>
        <w:spacing w:after="160" w:before="32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26"/>
          <w:szCs w:val="26"/>
        </w:rPr>
        <w:t xml:space="preserve">4.2 Instance &amp; Update Architecture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20"/>
                <w:szCs w:val="20"/>
              </w:rPr>
              <w:t xml:space="preserve">Global update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Patch &amp; fitur baru di-push ke semua instance secara bersamaan. Versioning ketat agar tidak breaking.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20"/>
                <w:szCs w:val="20"/>
              </w:rPr>
              <w:t xml:space="preserve">Instance-specific inject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Customisasi spesifik satu client di-inject tanpa mempengaruhi instance lain.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20"/>
                <w:szCs w:val="20"/>
              </w:rPr>
              <w:t xml:space="preserve">On-premise support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Untuk enterprise besar yang butuh data sovereignty penuh.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20"/>
                <w:szCs w:val="20"/>
              </w:rPr>
              <w:t xml:space="preserve">Version management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Setiap instance memiliki version record. Rollback tersedia.</w:t>
            </w:r>
          </w:p>
        </w:tc>
      </w:tr>
    </w:tbl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pStyle w:val="Heading2"/>
        <w:pBdr>
          <w:bottom w:val="single" w:color="3B4FC4" w:sz="6" w:space="4"/>
        </w:pBdr>
        <w:spacing w:after="160" w:before="32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26"/>
          <w:szCs w:val="26"/>
        </w:rPr>
        <w:t xml:space="preserve">4.3 Module Independence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Setiap modul harus dapat dikembangkan secara independen dengan interface/contract yang ketat ke core. Ini memungkinkan modul yang sangat berbeda karakternya (omnichannel, workflow automation, AI marketing) untuk digabungkan tanpa coupling. Keputusan ini harus diambil sebelum development modul pertama dimulai.</w:t>
      </w:r>
    </w:p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pStyle w:val="Heading2"/>
        <w:pBdr>
          <w:bottom w:val="single" w:color="3B4FC4" w:sz="6" w:space="4"/>
        </w:pBdr>
        <w:spacing w:after="160" w:before="32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26"/>
          <w:szCs w:val="26"/>
        </w:rPr>
        <w:t xml:space="preserve">4.4 AI Code Audit Framework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Mengingat pendekatan vibe coding yang heavy AI-assisted, perlu ada framework audit untuk memastikan kualitas kode yang dihasilkan: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Setiap PR yang AI-generated wajib melalui checklist audit standar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Test coverage minimum didefinisikan per modul sebelum merge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Architectural decision records (ADR) untuk setiap keputusan signifikan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Review berkala oleh co-founder teknis begitu tim berkembang</w:t>
      </w:r>
    </w:p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spacing w:after="0" w:before="0" w:line="320"/>
        <w:jc w:val="left"/>
      </w:pPr>
      <w:r>
        <w:br w:type="page"/>
      </w:r>
    </w:p>
    <w:p>
      <w:pPr>
        <w:pStyle w:val="Heading1"/>
        <w:spacing w:after="200" w:before="36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34"/>
          <w:szCs w:val="34"/>
        </w:rPr>
        <w:t xml:space="preserve">5. Go-To-Market Strategy</w:t>
      </w:r>
    </w:p>
    <w:p>
      <w:pPr>
        <w:pStyle w:val="Heading2"/>
        <w:pBdr>
          <w:bottom w:val="single" w:color="3B4FC4" w:sz="6" w:space="4"/>
        </w:pBdr>
        <w:spacing w:after="160" w:before="32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26"/>
          <w:szCs w:val="26"/>
        </w:rPr>
        <w:t xml:space="preserve">5.1 Target Segment Awal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60"/>
        <w:gridCol w:w="9000"/>
      </w:tblGrid>
      <w:tr>
        <w:tc>
          <w:tcPr>
            <w:tcW w:type="dxa" w:w="160"/>
            <w:tcBorders>
              <w:top w:val="none" w:color="FFFFFF" w:sz="0"/>
              <w:left w:val="single" w:color="0F7B6C" w:sz="18"/>
              <w:bottom w:val="none" w:color="FFFFFF" w:sz="0"/>
              <w:right w:val="none" w:color="FFFFFF" w:sz="0"/>
            </w:tcBorders>
            <w:shd w:fill="E0F4F1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0"/>
                <w:szCs w:val="10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single" w:color="E0F4F1" w:sz="1"/>
            </w:tcBorders>
            <w:shd w:fill="E0F4F1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spacing w:after="8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C"/>
                <w:sz w:val="21"/>
                <w:szCs w:val="21"/>
              </w:rPr>
              <w:t xml:space="preserve">Target Customer Bulan 1–6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Perusahaan menengah Indonesia: 50–500 karyawan.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Pain point utama: terlalu besar untuk Excel, terlalu kecil untuk implementasi SAP.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Industri prioritas: manufaktur, distribusi, jasa profesional — semua butuh HR + keuangan + inventory.</w:t>
            </w:r>
          </w:p>
        </w:tc>
      </w:tr>
    </w:tbl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pStyle w:val="Heading2"/>
        <w:pBdr>
          <w:bottom w:val="single" w:color="3B4FC4" w:sz="6" w:space="4"/>
        </w:pBdr>
        <w:spacing w:after="160" w:before="32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26"/>
          <w:szCs w:val="26"/>
        </w:rPr>
        <w:t xml:space="preserve">5.2 Pricing Model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6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Harga Est.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Starter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Rp 1–3 jt / bulan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UKM 10–50 karyawan, modul core saja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Growth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Rp 5–10 jt / bulan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Perusahaan menengah 50–200 karyawan, semua modul fase 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Enterprise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Rp 15–50 jt / bulan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200+ karyawan, on-premise option, SLA, dedicated support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Corporate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Custom / project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Multinational PT Indonesia, integrasi sistem luar, tim dedicated</w:t>
            </w:r>
          </w:p>
        </w:tc>
      </w:tr>
    </w:tbl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pStyle w:val="Heading2"/>
        <w:pBdr>
          <w:bottom w:val="single" w:color="3B4FC4" w:sz="6" w:space="4"/>
        </w:pBdr>
        <w:spacing w:after="160" w:before="32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26"/>
          <w:szCs w:val="26"/>
        </w:rPr>
        <w:t xml:space="preserve">5.3 Distribution Channels</w:t>
      </w:r>
    </w:p>
    <w:p>
      <w:pPr>
        <w:pStyle w:val="Heading3"/>
        <w:spacing w:after="10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B4FC4"/>
          <w:sz w:val="22"/>
          <w:szCs w:val="22"/>
        </w:rPr>
        <w:t xml:space="preserve">Kemitraan Penyedia PT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Partner dengan provider pembuatan PT (notaris, konsultan bisnis, layanan online seperti Easybiz/Klinik Hukum) untuk cross-sell Indonesia System saat proses pendirian PT. Setiap PT baru adalah potential customer yang membutuhkan sistem sejak hari pertama operasional.</w:t>
      </w:r>
    </w:p>
    <w:p>
      <w:pPr>
        <w:pStyle w:val="Heading3"/>
        <w:spacing w:after="10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B4FC4"/>
          <w:sz w:val="22"/>
          <w:szCs w:val="22"/>
        </w:rPr>
        <w:t xml:space="preserve">Direct Sales — Perusahaan Menengah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Outreach langsung ke decision maker (Finance Director, CEO, COO) perusahaan menengah. Demo berbasis video yang fokus pada arsitektur IT mapping — menunjukkan bagaimana Indonesia System menggantikan cobweb sistem yang ada sekarang.</w:t>
      </w:r>
    </w:p>
    <w:p>
      <w:pPr>
        <w:pStyle w:val="Heading3"/>
        <w:spacing w:after="10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B4FC4"/>
          <w:sz w:val="22"/>
          <w:szCs w:val="22"/>
        </w:rPr>
        <w:t xml:space="preserve">Marketing Berbasis Industri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Budget marketing dialokasikan per vertikal dengan target CAC yang berbeda per industri. Industri dengan sales cycle pendek diprioritaskan di awal untuk cashflow.</w:t>
      </w:r>
    </w:p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pStyle w:val="Heading2"/>
        <w:pBdr>
          <w:bottom w:val="single" w:color="3B4FC4" w:sz="6" w:space="4"/>
        </w:pBdr>
        <w:spacing w:after="160" w:before="32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26"/>
          <w:szCs w:val="26"/>
        </w:rPr>
        <w:t xml:space="preserve">5.4 Rasio Tim &amp; Scaling</w:t>
      </w:r>
    </w:p>
    <w:p>
      <w:pPr>
        <w:spacing w:after="8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Rekomendasi rasio tim untuk fase awal setelah ada revenue: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6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Fungsi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Rasio Awal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Catatan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Engineering / Dev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2 per 1 sales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Kecepatan delivery adalah moat utama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Sales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1 per 2 engineer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Focus pada enterprise, bukan volume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Marketing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1 per 3 sales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Content + community dulu sebelum paid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Customer Success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1 per 15 accounts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Critical untuk retention &amp; upsell</w:t>
            </w:r>
          </w:p>
        </w:tc>
      </w:tr>
    </w:tbl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spacing w:after="0" w:before="0" w:line="320"/>
        <w:jc w:val="left"/>
      </w:pPr>
      <w:r>
        <w:br w:type="page"/>
      </w:r>
    </w:p>
    <w:p>
      <w:pPr>
        <w:pStyle w:val="Heading1"/>
        <w:spacing w:after="200" w:before="36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34"/>
          <w:szCs w:val="34"/>
        </w:rPr>
        <w:t xml:space="preserve">6. Execution Roadmap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60"/>
        <w:gridCol w:w="9000"/>
      </w:tblGrid>
      <w:tr>
        <w:tc>
          <w:tcPr>
            <w:tcW w:type="dxa" w:w="160"/>
            <w:tcBorders>
              <w:top w:val="none" w:color="FFFFFF" w:sz="0"/>
              <w:left w:val="single" w:color="3B4FC4" w:sz="18"/>
              <w:bottom w:val="none" w:color="FFFFFF" w:sz="0"/>
              <w:right w:val="none" w:color="FFFFFF" w:sz="0"/>
            </w:tcBorders>
            <w:shd w:fill="E8EBFA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0"/>
                <w:szCs w:val="10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single" w:color="E8EBFA" w:sz="1"/>
            </w:tcBorders>
            <w:shd w:fill="E8EBFA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spacing w:after="8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4FC4"/>
                <w:sz w:val="21"/>
                <w:szCs w:val="21"/>
              </w:rPr>
              <w:t xml:space="preserve">Filosofi Roadmap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Fokus membuat roadmap sebelum eksekusi — dokumen ini adalah langkah itu.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Matangkan arsitektur sebelum eksekusi — setiap fase harus di-sign off semua founder sebelum dimulai.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Prioritaskan development yang paling global ke yang paling spesifik vertikal.</w:t>
            </w:r>
          </w:p>
        </w:tc>
      </w:tr>
    </w:tbl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5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 Utama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4FC4"/>
                <w:sz w:val="19"/>
                <w:szCs w:val="19"/>
              </w:rPr>
              <w:t xml:space="preserve">Pra-eksekusi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Sekarang — Bulan 1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Finalisasi arsitektur monorepo. Tentukan tech stack. Sepakati module interface contract. Setup infra (Supabase, Cloudflare, GitHub org). Resolve pertanyaan soal developer pertama.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4FC4"/>
                <w:sz w:val="19"/>
                <w:szCs w:val="19"/>
              </w:rPr>
              <w:t xml:space="preserve">Fase 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Bulan 1–2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Scaffold monorepo. Landing page live. Admin dashboard shell. Core HR &amp; Karyawan modul (tanpa integrasi gov dulu). Basic auth &amp; access rights.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4FC4"/>
                <w:sz w:val="19"/>
                <w:szCs w:val="19"/>
              </w:rPr>
              <w:t xml:space="preserve">Fase 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Bulan 3–5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Modul Keuangan &amp; Akunting (basic). CRM. Instant search navigation. Error reporting. Demo-ready untuk 3–5 perusahaan pilot. Feedback loop aktif.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4FC4"/>
                <w:sz w:val="19"/>
                <w:szCs w:val="19"/>
              </w:rPr>
              <w:t xml:space="preserve">Fase 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Bulan 6–9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Integrasi BPJS &amp; Ketenagakerjaan. Integrasi perpajakan. Procurement &amp; Inventory. First paying customer. Refinement berdasarkan pilot feedback.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4FC4"/>
                <w:sz w:val="19"/>
                <w:szCs w:val="19"/>
              </w:rPr>
              <w:t xml:space="preserve">Fase 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Bulan 10–14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Email &amp; Workspace. Meeting module. Omnichannel. Workflow automation. AI access rights. Roadmap mind map publik. Expand ke 10+ paying accounts.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4FC4"/>
                <w:sz w:val="19"/>
                <w:szCs w:val="19"/>
              </w:rPr>
              <w:t xml:space="preserve">Fase 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Bulan 15–24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Konektivitas B2B (shakehand). AI Marketing module. Public sector readiness. Multinational PT bridge. Fundraising jika diperlukan untuk akselerasi.</w:t>
            </w:r>
          </w:p>
        </w:tc>
      </w:tr>
    </w:tbl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pStyle w:val="Heading2"/>
        <w:pBdr>
          <w:bottom w:val="single" w:color="3B4FC4" w:sz="6" w:space="4"/>
        </w:pBdr>
        <w:spacing w:after="160" w:before="32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26"/>
          <w:szCs w:val="26"/>
        </w:rPr>
        <w:t xml:space="preserve">6.1 Keputusan Mendesak — Sebelum Eksekusi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60"/>
        <w:gridCol w:w="9000"/>
      </w:tblGrid>
      <w:tr>
        <w:tc>
          <w:tcPr>
            <w:tcW w:type="dxa" w:w="160"/>
            <w:tcBorders>
              <w:top w:val="none" w:color="FFFFFF" w:sz="0"/>
              <w:left w:val="single" w:color="C0392B" w:sz="18"/>
              <w:bottom w:val="none" w:color="FFFFFF" w:sz="0"/>
              <w:right w:val="none" w:color="FFFFFF" w:sz="0"/>
            </w:tcBorders>
            <w:shd w:fill="FBEAEA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0"/>
                <w:szCs w:val="10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single" w:color="FBEAEA" w:sz="1"/>
            </w:tcBorders>
            <w:shd w:fill="FBEAEA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spacing w:after="8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Harus Diputuskan Sekarang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1. Siapa yang nulis kode? Pilihan: (a) Vibe coding founders sendiri, (b) Hire developer pertama, (c) Technical co-founder, (d) Outsource MVP ke agency lalu hire.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2. Tech stack — harus disepakati sebelum baris kode pertama. Rekomendasi: Next.js + Supabase + tRPC sebagai baseline yang vibe-coding friendly.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3. Bagaimana ketiga produk (Supapark, Jurna, Indonesia System) dibagi waktu dan energi founder? Tanpa framework eksplisit, ketiganya akan saling mengganggu.</w:t>
            </w:r>
          </w:p>
        </w:tc>
      </w:tr>
    </w:tbl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spacing w:after="0" w:before="0" w:line="320"/>
        <w:jc w:val="left"/>
      </w:pPr>
      <w:r>
        <w:br w:type="page"/>
      </w:r>
    </w:p>
    <w:p>
      <w:pPr>
        <w:pStyle w:val="Heading1"/>
        <w:spacing w:after="200" w:before="36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34"/>
          <w:szCs w:val="34"/>
        </w:rPr>
        <w:t xml:space="preserve">7. Risk Register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1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Risiko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Mitigasi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Tidak ada developer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B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KRITIS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Putuskan model development sebelum bulan pertama selesai. Vibe coding saja tidak cukup untuk ERP kompleks.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Tiga produk paralel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5A00"/>
                <w:sz w:val="18"/>
                <w:szCs w:val="18"/>
              </w:rPr>
              <w:t xml:space="preserve">TINGGI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Buat framework alokasi waktu eksplisit per minggu. Indonesia System = visi, Supapark/Jurna = cashflow lebih cepat.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Arsitektur tidak scalable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5A00"/>
                <w:sz w:val="18"/>
                <w:szCs w:val="18"/>
              </w:rPr>
              <w:t xml:space="preserve">TINGGI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Dedikasikan 2–4 minggu untuk architecture design sebelum coding. Keputusan ini sangat mahal jika diubah kemudian.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Cash habis sebelum revenue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5A00"/>
                <w:sz w:val="18"/>
                <w:szCs w:val="18"/>
              </w:rPr>
              <w:t xml:space="preserve">TINGGI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Bootstrapped berarti harus ada revenue dalam 6–9 bulan. Pilot berbayar sejak Fase 1.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Kompetitor bergerak lebih cepat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C"/>
                <w:sz w:val="18"/>
                <w:szCs w:val="18"/>
              </w:rPr>
              <w:t xml:space="preserve">SEDANG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Moat adalah integrasi gov Indonesia + network effect B2B — ini tidak bisa dicopy cepat.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5A"/>
                <w:sz w:val="19"/>
                <w:szCs w:val="19"/>
              </w:rPr>
              <w:t xml:space="preserve">Regulasi &amp; compliance berubah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C"/>
                <w:sz w:val="18"/>
                <w:szCs w:val="18"/>
              </w:rPr>
              <w:t xml:space="preserve">SEDANG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9"/>
                <w:szCs w:val="19"/>
              </w:rPr>
              <w:t xml:space="preserve">Desain integrasi gov sebagai plugin layer, bukan hardcoded. Update lokal tidak boleh break core.</w:t>
            </w:r>
          </w:p>
        </w:tc>
      </w:tr>
    </w:tbl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spacing w:after="0" w:before="0" w:line="320"/>
        <w:jc w:val="left"/>
      </w:pPr>
      <w:r>
        <w:br w:type="page"/>
      </w:r>
    </w:p>
    <w:p>
      <w:pPr>
        <w:pStyle w:val="Heading1"/>
        <w:spacing w:after="200" w:before="36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34"/>
          <w:szCs w:val="34"/>
        </w:rPr>
        <w:t xml:space="preserve">8. Open Questions — Untuk Diputuskan</w:t>
      </w:r>
    </w:p>
    <w:p>
      <w:pPr>
        <w:spacing w:after="60" w:before="4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Pertanyaan-pertanyaan ini harus dijawab sebelum eksekusi dimulai. Dokumen ini adalah living document — update jawaban di sini begitu keputusan dibuat.</w:t>
      </w:r>
    </w:p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pStyle w:val="Heading3"/>
        <w:spacing w:after="10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B4FC4"/>
          <w:sz w:val="22"/>
          <w:szCs w:val="22"/>
        </w:rPr>
        <w:t xml:space="preserve">Development &amp; Tim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Siapa yang akan menulis kode pertama Indonesia System?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Kapan batas waktu untuk memutuskan model development (vibe coding saja vs hire vs co-founder teknis)?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Bagaimana alokasi waktu mingguan per founder untuk tiga produk paralel?</w:t>
      </w:r>
    </w:p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pStyle w:val="Heading3"/>
        <w:spacing w:after="10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B4FC4"/>
          <w:sz w:val="22"/>
          <w:szCs w:val="22"/>
        </w:rPr>
        <w:t xml:space="preserve">Produk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Tech stack final apa yang akan digunakan? (Harus diputuskan sebelum sprint pertama)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Apa definisi "MVP yang bisa demo" untuk Indonesia System dalam 90 hari pertama?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Modul mana yang akan jadi anchor demo untuk perusahaan menengah pertama?</w:t>
      </w:r>
    </w:p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pStyle w:val="Heading3"/>
        <w:spacing w:after="10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B4FC4"/>
          <w:sz w:val="22"/>
          <w:szCs w:val="22"/>
        </w:rPr>
        <w:t xml:space="preserve">Bisnis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Kapan target Indonesia System mendapat paying customer pertama?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Berapa runway finansial yang tersedia sebelum Indonesia System harus generate revenue?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Apakah ada potensi pilot gratis dengan 1–2 perusahaan kenalan untuk validasi awal?</w:t>
      </w:r>
    </w:p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pStyle w:val="Heading3"/>
        <w:spacing w:after="10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B4FC4"/>
          <w:sz w:val="22"/>
          <w:szCs w:val="22"/>
        </w:rPr>
        <w:t xml:space="preserve">Strategi Jangka Panjang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Apakah ada rencana fundraising untuk Indonesia System, atau murni bootstrapped hingga profitabel?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Bagaimana model kemitraan dengan provider PT konkretnya — revenue share, referral fee, atau white-label?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21"/>
          <w:szCs w:val="21"/>
        </w:rPr>
        <w:t xml:space="preserve">Kapan roadmap mind map dipublikasikan — sejak awal sebagai transparansi, atau setelah ada MVP?</w:t>
      </w:r>
    </w:p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pBdr>
          <w:bottom w:val="single" w:color="3B4FC4" w:sz="6" w:space="4"/>
        </w:pBd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spacing w:after="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5A"/>
          <w:sz w:val="10"/>
          <w:szCs w:val="10"/>
        </w:rPr>
        <w:t xml:space="preserve"/>
      </w:r>
    </w:p>
    <w:p>
      <w:pPr>
        <w:spacing w:after="40" w:before="0" w:lin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2B5A"/>
          <w:sz w:val="18"/>
          <w:szCs w:val="18"/>
        </w:rPr>
        <w:t xml:space="preserve">Indonesia System — Master Strategy Document</w:t>
      </w:r>
      <w:r>
        <w:rPr>
          <w:rFonts w:ascii="Arial" w:cs="Arial" w:eastAsia="Arial" w:hAnsi="Arial"/>
          <w:b w:val="false"/>
          <w:bCs w:val="false"/>
          <w:i/>
          <w:iCs/>
          <w:color w:val="6B7280"/>
          <w:sz w:val="17"/>
          <w:szCs w:val="17"/>
        </w:rPr>
        <w:t xml:space="preserve">  |  v0.1  |  Living Document</w:t>
      </w:r>
    </w:p>
    <w:p>
      <w:pPr>
        <w:spacing w:after="60" w:before="4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Dokumen ini harus direview dan diupdate setiap 30 hari, atau setiap ada keputusan signifikan.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32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7"/>
        <w:szCs w:val="17"/>
      </w:rPr>
      <w:t xml:space="preserve">Indonesia System  •  Strictly Confidential  •  </w:t>
    </w:r>
    <w:r>
      <w:rPr>
        <w:rFonts w:ascii="Arial" w:cs="Arial" w:eastAsia="Arial" w:hAnsi="Arial"/>
        <w:color w:val="6B7280"/>
        <w:sz w:val="17"/>
        <w:szCs w:val="17"/>
      </w:rPr>
      <w:t xml:space="preserve">Halaman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506"/>
    </w:tblGrid>
    <w:tr>
      <w:tc>
        <w:tcPr>
          <w:tcBorders>
            <w:top w:val="none" w:color="FFFFFF" w:sz="0"/>
            <w:left w:val="none" w:color="FFFFFF" w:sz="0"/>
            <w:bottom w:val="single" w:color="3B4FC4" w:sz="4"/>
            <w:right w:val="none" w:color="FFFFFF" w:sz="0"/>
          </w:tcBorders>
          <w:tcMar>
            <w:bottom w:type="dxa" w:w="80"/>
          </w:tcMar>
        </w:tcPr>
        <w:p>
          <w:pPr>
            <w:spacing w:after="0" w:before="0" w:line="32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A2B5A"/>
              <w:sz w:val="18"/>
              <w:szCs w:val="18"/>
            </w:rPr>
            <w:t xml:space="preserve">Indonesia System</w:t>
          </w:r>
        </w:p>
      </w:tc>
      <w:tc>
        <w:tcPr>
          <w:tcBorders>
            <w:top w:val="none" w:color="FFFFFF" w:sz="0"/>
            <w:left w:val="none" w:color="FFFFFF" w:sz="0"/>
            <w:bottom w:val="single" w:color="3B4FC4" w:sz="4"/>
            <w:right w:val="none" w:color="FFFFFF" w:sz="0"/>
          </w:tcBorders>
          <w:tcMar>
            <w:bottom w:type="dxa" w:w="80"/>
          </w:tcMar>
        </w:tcPr>
        <w:p>
          <w:pPr>
            <w:spacing w:after="0" w:before="0" w:line="320"/>
            <w:jc w:val="right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color w:val="6B7280"/>
              <w:sz w:val="17"/>
              <w:szCs w:val="17"/>
            </w:rPr>
            <w:t xml:space="preserve">Master Strategy Document —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B5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2B5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B4F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2026-04-28T20:49:03.943Z</dcterms:created>
  <dcterms:modified xsi:type="dcterms:W3CDTF">2026-04-28T20:49:03.943Z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