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E3A5F"/>
          <w:spacing w:val="40"/>
          <w:sz w:val="28"/>
          <w:szCs w:val="28"/>
        </w:rPr>
        <w:t xml:space="preserve">EDITORIAL STANDARDS PLATFORM</w:t>
      </w:r>
    </w:p>
    <w:p>
      <w:pPr>
        <w:pBdr>
          <w:bottom w:val="single" w:color="C8781E" w:sz="8" w:space="6"/>
        </w:pBdr>
        <w:spacing w:after="600" w:before="40"/>
        <w:jc w:val="center"/>
      </w:pPr>
      <w:r>
        <w:rPr>
          <w:caps/>
          <w:color w:val="667085"/>
          <w:spacing w:val="30"/>
          <w:sz w:val="22"/>
          <w:szCs w:val="22"/>
        </w:rPr>
        <w:t xml:space="preserve">Guía de uso</w:t>
      </w:r>
    </w:p>
    <w:p>
      <w:pPr>
        <w:pStyle w:val="Title"/>
        <w:spacing w:after="60" w:before="200"/>
        <w:jc w:val="center"/>
      </w:pPr>
      <w:r>
        <w:t xml:space="preserve">Guía de uso para Evaluadores</w:t>
      </w:r>
    </w:p>
    <w:p>
      <w:pPr>
        <w:spacing w:after="800"/>
        <w:jc w:val="center"/>
      </w:pPr>
      <w:r>
        <w:rPr>
          <w:color w:val="667085"/>
          <w:sz w:val="26"/>
          <w:szCs w:val="26"/>
        </w:rPr>
        <w:t xml:space="preserve">Evaluación editorial de revistas científicas</w:t>
      </w:r>
    </w:p>
    <w:p>
      <w:pPr>
        <w:spacing w:after="40" w:before="1200"/>
        <w:jc w:val="center"/>
      </w:pPr>
      <w:r>
        <w:rPr>
          <w:b/>
          <w:bCs/>
          <w:color w:val="1E3A5F"/>
          <w:sz w:val="22"/>
          <w:szCs w:val="22"/>
        </w:rPr>
        <w:t xml:space="preserve">Perfil: Evaluador</w:t>
      </w:r>
    </w:p>
    <w:p>
      <w:pPr>
        <w:spacing w:after="0"/>
        <w:jc w:val="center"/>
      </w:pPr>
      <w:r>
        <w:rPr>
          <w:i/>
          <w:iCs/>
          <w:color w:val="667085"/>
          <w:sz w:val="19"/>
          <w:szCs w:val="19"/>
        </w:rPr>
        <w:t xml:space="preserve">Versión 1.0 — documento de trabajo editable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Sobre esta guía y el rol evaluador</w:t>
      </w:r>
    </w:p>
    <w:p>
      <w:pPr>
        <w:spacing w:after="120" w:line="264"/>
      </w:pPr>
      <w:r>
        <w:t xml:space="preserve">Esta guía está dirigida al </w:t>
      </w:r>
      <w:r>
        <w:rPr>
          <w:b/>
          <w:bCs/>
        </w:rPr>
        <w:t xml:space="preserve">evaluador</w:t>
      </w:r>
      <w:r>
        <w:t xml:space="preserve">: la persona que revisa técnicamente las revistas asignadas y decide su resultado. El evaluador trabaja dentro del </w:t>
      </w:r>
      <w:r>
        <w:rPr>
          <w:b/>
          <w:bCs/>
        </w:rPr>
        <w:t xml:space="preserve">panel de administración</w:t>
      </w:r>
      <w:r>
        <w:t xml:space="preserve"> con una vista propia y acotada.</w:t>
      </w:r>
    </w:p>
    <w:p>
      <w:pPr>
        <w:pStyle w:val="Heading2"/>
      </w:pPr>
      <w:r>
        <w:t xml:space="preserve">Qué hace un evaluador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Ve únicamente las revistas y tareas que le fueron asignadas.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Evalúa cada revista contra los indicadores del modelo y registra el resultado.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Pide cambios al editor, aprueba (con o sin sello) o rechaza.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Se comunica con el editor mediante un hilo anclado a la revista.</w:t>
      </w:r>
    </w:p>
    <w:p>
      <w:pPr>
        <w:pStyle w:val="Heading2"/>
      </w:pPr>
      <w:r>
        <w:t xml:space="preserve">Qué NO hace (límites del rol)</w:t>
      </w:r>
    </w:p>
    <w:tbl>
      <w:tblPr>
        <w:tblW w:type="dxa" w:w="9360"/>
        <w:tblBorders>
          <w:top w:val="single" w:color="FEF3E2" w:sz="2"/>
          <w:left w:val="single" w:color="C8781E" w:sz="18"/>
          <w:bottom w:val="single" w:color="FEF3E2" w:sz="2"/>
          <w:right w:val="single" w:color="FEF3E2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8781E"/>
              </w:rPr>
              <w:t xml:space="preserve">El rol evaluador está deliberadamente acotado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No</w:t>
            </w:r>
            <w:r>
              <w:t xml:space="preserve"> revisa libros ni listados gratuitos (eso es del administrador).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No</w:t>
            </w:r>
            <w:r>
              <w:t xml:space="preserve"> gestiona pagos, usuarios, productos, cupones ni configuración.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No</w:t>
            </w:r>
            <w:r>
              <w:t xml:space="preserve"> crea ni asigna tareas, y no cierra tareas a mano: las evaluaciones se cierran solas al guardar el resultado.</w:t>
            </w:r>
          </w:p>
          <w:p>
            <w:pPr>
              <w:spacing w:after="20" w:line="258"/>
            </w:pPr>
            <w:r>
              <w:rPr>
                <w:b/>
                <w:bCs/>
              </w:rPr>
              <w:t xml:space="preserve">Solo</w:t>
            </w:r>
            <w:r>
              <w:t xml:space="preserve"> ve sus propias tareas y revistas; nunca las de otros evaluadores.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Acceso y Escritorio del evaluador</w:t>
      </w:r>
    </w:p>
    <w:p>
      <w:pPr>
        <w:spacing w:after="120" w:line="264"/>
      </w:pPr>
      <w:r>
        <w:t xml:space="preserve">Al iniciar sesión en el panel, el evaluador es llevado automáticamente a su </w:t>
      </w:r>
      <w:r>
        <w:rPr>
          <w:b/>
          <w:bCs/>
        </w:rPr>
        <w:t xml:space="preserve">Escritorio</w:t>
      </w:r>
      <w:r>
        <w:t xml:space="preserve"> (no al panel general). Allí ve, de un vistazo, su carga de trabajo y su cola de evaluación.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ev-01-desk.jpg" descr="Figura 1 — Escritorio del evaluador: indicadores y cola de evaluación." title="Figura 1 — Escritorio del evaluador: indicadores y cola de evalu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 — Escritorio del evaluador: indicadores y cola de evaluación.</w:t>
      </w:r>
    </w:p>
    <w:p>
      <w:pPr>
        <w:pStyle w:val="Heading3"/>
      </w:pPr>
      <w:r>
        <w:t xml:space="preserve">Indicadores del escritorio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552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Pendientes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Tareas asignadas que todavía no iniciaste.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En progreso</w:t>
            </w:r>
          </w:p>
        </w:tc>
        <w:tc>
          <w:tcPr>
            <w:tcW w:type="dxa" w:w="655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Evaluaciones que ya comenzaste.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Vencidas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Tareas abiertas cuya fecha límite ya pasó.</w:t>
            </w:r>
          </w:p>
        </w:tc>
      </w:tr>
      <w:tr>
        <w:tc>
          <w:tcPr>
            <w:tcW w:type="dxa" w:w="2808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Completadas (7 días)</w:t>
            </w:r>
          </w:p>
        </w:tc>
        <w:tc>
          <w:tcPr>
            <w:tcW w:type="dxa" w:w="655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Evaluaciones cerradas en la última semana.</w:t>
            </w:r>
          </w:p>
        </w:tc>
      </w:tr>
      <w:tr>
        <w:tc>
          <w:tcPr>
            <w:tcW w:type="dxa" w:w="2808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Mensajes sin leer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Mensajes nuevos en tus conversaciones con editores.</w:t>
            </w:r>
          </w:p>
        </w:tc>
      </w:tr>
    </w:tbl>
    <w:p>
      <w:pPr>
        <w:pStyle w:val="Heading3"/>
      </w:pPr>
      <w:r>
        <w:t xml:space="preserve">La cola de evaluación</w:t>
      </w:r>
    </w:p>
    <w:p>
      <w:pPr>
        <w:spacing w:after="120" w:line="264"/>
      </w:pPr>
      <w:r>
        <w:t xml:space="preserve">La tabla </w:t>
      </w:r>
      <w:r>
        <w:rPr>
          <w:b/>
          <w:bCs/>
        </w:rPr>
        <w:t xml:space="preserve">“Mi cola de evaluación”</w:t>
      </w:r>
      <w:r>
        <w:t xml:space="preserve"> lista tus tareas activas ordenadas por urgencia. Incluye el </w:t>
      </w:r>
      <w:r>
        <w:rPr>
          <w:b/>
          <w:bCs/>
        </w:rPr>
        <w:t xml:space="preserve">tipo</w:t>
      </w:r>
      <w:r>
        <w:t xml:space="preserve"> (evaluación, re-evaluación…), la </w:t>
      </w:r>
      <w:r>
        <w:rPr>
          <w:b/>
          <w:bCs/>
        </w:rPr>
        <w:t xml:space="preserve">prioridad</w:t>
      </w:r>
      <w:r>
        <w:t xml:space="preserve">, un distintivo </w:t>
      </w:r>
      <w:r>
        <w:rPr>
          <w:b/>
          <w:bCs/>
        </w:rPr>
        <w:t xml:space="preserve">Express</w:t>
      </w:r>
      <w:r>
        <w:t xml:space="preserve"> cuando el editor pagó el servicio urgente, la </w:t>
      </w:r>
      <w:r>
        <w:rPr>
          <w:b/>
          <w:bCs/>
        </w:rPr>
        <w:t xml:space="preserve">fecha de vencimiento</w:t>
      </w:r>
      <w:r>
        <w:t xml:space="preserve"> y el </w:t>
      </w:r>
      <w:r>
        <w:rPr>
          <w:b/>
          <w:bCs/>
        </w:rPr>
        <w:t xml:space="preserve">estado</w:t>
      </w:r>
      <w:r>
        <w:t xml:space="preserve">. Desde cada fila iniciás o continuás la tarea.</w:t>
      </w:r>
    </w:p>
    <w:p>
      <w:r>
        <w:br w:type="page"/>
      </w:r>
    </w:p>
    <w:p>
      <w:pPr>
        <w:pStyle w:val="Heading1"/>
      </w:pPr>
      <w:r>
        <w:t xml:space="preserve">3. Caso de uso V1 — Evaluar una revista asignada</w:t>
      </w:r>
    </w:p>
    <w:p>
      <w:pPr>
        <w:spacing w:after="120" w:line="264"/>
      </w:pPr>
      <w:r>
        <w:t xml:space="preserve">El recorrido completo va de la tarea asignada a la decisión final. Se cierra sola al guardar un resultado definitivo y notifica automáticamente al editor.</w:t>
      </w:r>
    </w:p>
    <w:p>
      <w:pPr>
        <w:pStyle w:val="Heading2"/>
      </w:pPr>
      <w:r>
        <w:t xml:space="preserve">3.1. Encontrar la tarea</w:t>
      </w:r>
    </w:p>
    <w:p>
      <w:pPr>
        <w:spacing w:after="120" w:line="264"/>
      </w:pPr>
      <w:r>
        <w:t xml:space="preserve">Desde el escritorio o desde </w:t>
      </w:r>
      <w:r>
        <w:rPr>
          <w:b/>
          <w:bCs/>
        </w:rPr>
        <w:t xml:space="preserve">“Tareas”</w:t>
      </w:r>
      <w:r>
        <w:t xml:space="preserve"> abrís la tarea de evaluación. La vista de la tarea muestra el contexto y el botón para comenzar (</w:t>
      </w:r>
      <w:r>
        <w:rPr>
          <w:b/>
          <w:bCs/>
        </w:rPr>
        <w:t xml:space="preserve">“Iniciar”</w:t>
      </w:r>
      <w:r>
        <w:t xml:space="preserve">) o seguir (</w:t>
      </w:r>
      <w:r>
        <w:rPr>
          <w:b/>
          <w:bCs/>
        </w:rPr>
        <w:t xml:space="preserve">“Continuar”</w:t>
      </w:r>
      <w:r>
        <w:t xml:space="preserve">).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ev-02-tasks.jpg" descr="Figura 2 — Listado de tareas del evaluador." title="Figura 2 — Listado de tareas del evalu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 — Listado de tareas del evaluador.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ev-03-task-view.jpg" descr="Figura 3 — Vista de una tarea de evaluación." title="Figura 3 — Vista de una tarea de evalu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 — Vista de una tarea de evaluación.</w:t>
      </w:r>
    </w:p>
    <w:p>
      <w:pPr>
        <w:pStyle w:val="Heading2"/>
      </w:pPr>
      <w:r>
        <w:t xml:space="preserve">3.2. La pantalla de evaluación</w:t>
      </w:r>
    </w:p>
    <w:p>
      <w:pPr>
        <w:spacing w:after="120" w:line="264"/>
      </w:pPr>
      <w:r>
        <w:t xml:space="preserve">Al iniciar, se abre </w:t>
      </w:r>
      <w:r>
        <w:rPr>
          <w:b/>
          <w:bCs/>
        </w:rPr>
        <w:t xml:space="preserve">“Evaluar: &lt;revista&gt;”</w:t>
      </w:r>
      <w:r>
        <w:t xml:space="preserve">. Arriba, la ficha de la revista y el </w:t>
      </w:r>
      <w:r>
        <w:rPr>
          <w:b/>
          <w:bCs/>
        </w:rPr>
        <w:t xml:space="preserve">puntaje final</w:t>
      </w:r>
      <w:r>
        <w:t xml:space="preserve"> calculado en tiempo real; debajo, los </w:t>
      </w:r>
      <w:r>
        <w:rPr>
          <w:b/>
          <w:bCs/>
        </w:rPr>
        <w:t xml:space="preserve">indicadores agrupados por categoría</w:t>
      </w:r>
      <w:r>
        <w:t xml:space="preserve">; y al pie, las </w:t>
      </w:r>
      <w:r>
        <w:rPr>
          <w:b/>
          <w:bCs/>
        </w:rPr>
        <w:t xml:space="preserve">observaciones técnicas</w:t>
      </w:r>
      <w:r>
        <w:t xml:space="preserve">, las acciones de cierre y un hilo para consultar al editor.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7077075"/>
            <wp:effectExtent t="0" r="0" b="0" l="0"/>
            <wp:docPr id="1" name="ev-10-evaluate.jpg" descr="Figura 4 — Pantalla de evaluación: ficha, puntaje e indicadores." title="Figura 4 — Pantalla de evaluación: ficha, puntaje e indic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 — Pantalla de evaluación: ficha, puntaje e indicadores.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7077075"/>
            <wp:effectExtent t="0" r="0" b="0" l="0"/>
            <wp:docPr id="1" name="ev-11-evaluate-criteria.jpg" descr="Figura 5 — Indicadores por categoría, observaciones y consulta al editor." title="Figura 5 — Indicadores por categoría, observaciones y consulta al edi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 — Indicadores por categoría, observaciones y consulta al editor.</w:t>
      </w:r>
    </w:p>
    <w:p>
      <w:pPr>
        <w:pStyle w:val="Heading2"/>
      </w:pPr>
      <w:r>
        <w:t xml:space="preserve">3.3. Los indicadores del modelo</w:t>
      </w:r>
    </w:p>
    <w:p>
      <w:pPr>
        <w:spacing w:after="120" w:line="264"/>
      </w:pPr>
      <w:r>
        <w:t xml:space="preserve">El modelo tiene </w:t>
      </w:r>
      <w:r>
        <w:rPr>
          <w:b/>
          <w:bCs/>
        </w:rPr>
        <w:t xml:space="preserve">17 indicadores</w:t>
      </w:r>
      <w:r>
        <w:t xml:space="preserve"> repartidos en </w:t>
      </w:r>
      <w:r>
        <w:rPr>
          <w:b/>
          <w:bCs/>
        </w:rPr>
        <w:t xml:space="preserve">5 categorías</w:t>
      </w:r>
      <w:r>
        <w:t xml:space="preserve">, con un peso total de 100. Cada indicador se marca como </w:t>
      </w:r>
      <w:r>
        <w:rPr>
          <w:b/>
          <w:bCs/>
        </w:rPr>
        <w:t xml:space="preserve">cumple</w:t>
      </w:r>
      <w:r>
        <w:t xml:space="preserve"> o </w:t>
      </w:r>
      <w:r>
        <w:rPr>
          <w:b/>
          <w:bCs/>
        </w:rPr>
        <w:t xml:space="preserve">no cumple</w:t>
      </w:r>
      <w:r>
        <w:t xml:space="preserve">. Los indicadores </w:t>
      </w:r>
      <w:r>
        <w:rPr>
          <w:b/>
          <w:bCs/>
        </w:rPr>
        <w:t xml:space="preserve">núcleo (excluyentes)</w:t>
      </w:r>
      <w:r>
        <w:t xml:space="preserve"> son críticos: si alguno no se cumple, el puntaje final queda limitado.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059"/>
        <w:gridCol w:w="749"/>
        <w:gridCol w:w="4306"/>
        <w:gridCol w:w="1310"/>
        <w:gridCol w:w="936"/>
      </w:tblGrid>
      <w:tr>
        <w:trPr>
          <w:tblHeader/>
        </w:trPr>
        <w:tc>
          <w:tcPr>
            <w:tcW w:type="dxa" w:w="2059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Cat.</w:t>
            </w:r>
          </w:p>
        </w:tc>
        <w:tc>
          <w:tcPr>
            <w:tcW w:type="dxa" w:w="749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Cód.</w:t>
            </w:r>
          </w:p>
        </w:tc>
        <w:tc>
          <w:tcPr>
            <w:tcW w:type="dxa" w:w="430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310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36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Identidad Editorial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ISSN visible y válido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Institución editora claramente identificada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Comité editorial visible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Información de contacto institucional visible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Transparencia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revisión por pares visible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Normas para autores claras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2.3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Proceso editorial claramente descrito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Ética Editorial</w:t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3.1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ética editorial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3.2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antiplagio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3.3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Política de retractación o corrección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3.4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Declaración de conflictos de interés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Acceso y Derechos</w:t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4.1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Modelo de acceso claramente informado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4.2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Licencia o condiciones de uso visibles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4.3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Derechos de autor claramente informados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Infraestructura Técnica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5.1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Sitio web funcional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  <w:color w:val="B3261E"/>
                <w:sz w:val="18"/>
                <w:szCs w:val="18"/>
              </w:rPr>
              <w:t xml:space="preserve">Núcleo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05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5.2</w:t>
            </w:r>
          </w:p>
        </w:tc>
        <w:tc>
          <w:tcPr>
            <w:tcW w:type="dxa" w:w="430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Archivo de números o publicaciones accesible</w:t>
            </w:r>
          </w:p>
        </w:tc>
        <w:tc>
          <w:tcPr>
            <w:tcW w:type="dxa" w:w="131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5.3</w:t>
            </w:r>
          </w:p>
        </w:tc>
        <w:tc>
          <w:tcPr>
            <w:tcW w:type="dxa" w:w="430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Identificadores persistentes (DOI, ORCID)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color w:val="667085"/>
                <w:sz w:val="18"/>
                <w:szCs w:val="18"/>
              </w:rPr>
              <w:t xml:space="preserve">Avanzado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6</w:t>
            </w:r>
          </w:p>
        </w:tc>
      </w:tr>
    </w:tbl>
    <w:p>
      <w:pPr>
        <w:pStyle w:val="Heading2"/>
      </w:pPr>
      <w:r>
        <w:t xml:space="preserve">3.4. Cómo se calcula el puntaje y el sello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Puntaje: </w:t>
      </w:r>
      <w:r>
        <w:t xml:space="preserve">suma ponderada de los indicadores cumplidos sobre el total (0–100%).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Tope por núcleo: </w:t>
      </w:r>
      <w:r>
        <w:t xml:space="preserve">si algún indicador núcleo (excluyente) no se cumple, el puntaje queda topado en 49%.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</w:rPr>
        <w:t xml:space="preserve">Sello: </w:t>
      </w:r>
      <w:r>
        <w:t xml:space="preserve">se otorga solo si el puntaje es ≥ 75% Y se cumplen todos los indicadores núcleo.</w:t>
      </w:r>
    </w:p>
    <w:tbl>
      <w:tblPr>
        <w:tblW w:type="dxa" w:w="9360"/>
        <w:tblBorders>
          <w:top w:val="single" w:color="E8EEF5" w:sz="2"/>
          <w:left w:val="single" w:color="1E3A5F" w:sz="18"/>
          <w:bottom w:val="single" w:color="E8EEF5" w:sz="2"/>
          <w:right w:val="single" w:color="E8EEF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3A5F"/>
              </w:rPr>
              <w:t xml:space="preserve">Guardar borrador vs. finalizar</w:t>
            </w:r>
          </w:p>
          <w:p>
            <w:pPr>
              <w:spacing w:after="20" w:line="258"/>
            </w:pPr>
            <w:r>
              <w:t xml:space="preserve">Podés </w:t>
            </w:r>
            <w:r>
              <w:rPr>
                <w:b/>
                <w:bCs/>
              </w:rPr>
              <w:t xml:space="preserve">“Guardar Borrador”</w:t>
            </w:r>
            <w:r>
              <w:t xml:space="preserve"> para dejar la evaluación a medias sin cerrar la tarea. Al </w:t>
            </w:r>
            <w:r>
              <w:rPr>
                <w:b/>
                <w:bCs/>
              </w:rPr>
              <w:t xml:space="preserve">“Finalizar Evaluación”</w:t>
            </w:r>
            <w:r>
              <w:t xml:space="preserve"> elegís el resultado y la tarea se cierra automáticamente.</w:t>
            </w:r>
          </w:p>
        </w:tc>
      </w:tr>
    </w:tbl>
    <w:p>
      <w:pPr>
        <w:pStyle w:val="Heading2"/>
      </w:pPr>
      <w:r>
        <w:t xml:space="preserve">3.5. La decisión final</w:t>
      </w:r>
    </w:p>
    <w:p>
      <w:pPr>
        <w:pBdr>
          <w:top w:val="single" w:color="D5DCE6" w:sz="4"/>
          <w:bottom w:val="single" w:color="D5DCE6" w:sz="4"/>
          <w:left w:val="single" w:color="D5DCE6" w:sz="4"/>
          <w:right w:val="single" w:color="D5DCE6" w:sz="4"/>
        </w:pBdr>
        <w:spacing w:after="20" w:before="120"/>
        <w:jc w:val="center"/>
      </w:pPr>
      <w:r>
        <w:drawing>
          <wp:inline distT="0" distB="0" distL="0" distR="0">
            <wp:extent cx="4572000" cy="7077075"/>
            <wp:effectExtent t="0" r="0" b="0" l="0"/>
            <wp:docPr id="1" name="ev-12-evaluate-decision.jpg" descr="Figura 6 — Cierre de la evaluación: observaciones y decisión." title="Figura 6 — Cierre de la evaluación: observaciones y deci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6 — Cierre de la evaluación: observaciones y decisión.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2434"/>
        <w:gridCol w:w="3744"/>
        <w:gridCol w:w="3182"/>
      </w:tblGrid>
      <w:tr>
        <w:trPr>
          <w:tblHeader/>
        </w:trPr>
        <w:tc>
          <w:tcPr>
            <w:tcW w:type="dxa" w:w="243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744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elegirlo</w:t>
            </w:r>
          </w:p>
        </w:tc>
        <w:tc>
          <w:tcPr>
            <w:tcW w:type="dxa" w:w="3182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Certificada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Puntaje ≥ 75% y todos los núcleo cumplidos.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Otorga el sello por 1 año. Notifica al editor.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Evaluada</w:t>
            </w:r>
          </w:p>
        </w:tc>
        <w:tc>
          <w:tcPr>
            <w:tcW w:type="dxa" w:w="374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Puntaje &lt; 75% o falla algún núcleo.</w:t>
            </w:r>
          </w:p>
        </w:tc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Queda evaluada sin sello. El editor puede re-evaluar.</w:t>
            </w:r>
          </w:p>
        </w:tc>
      </w:tr>
      <w:tr>
        <w:tc>
          <w:tcPr>
            <w:tcW w:type="dxa" w:w="243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Cambios (requiere correcciones)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Faltan datos o hay que corregir antes de decidir.</w:t>
            </w:r>
          </w:p>
        </w:tc>
        <w:tc>
          <w:tcPr>
            <w:tcW w:type="dxa" w:w="3182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Vuelve al editor, que corrige y reenvía gratis; la tarea sigue abierta.</w:t>
            </w:r>
          </w:p>
        </w:tc>
      </w:tr>
      <w:tr>
        <w:tc>
          <w:tcPr>
            <w:tcW w:type="dxa" w:w="243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b/>
                <w:bCs/>
              </w:rPr>
              <w:t xml:space="preserve">Rechazada</w:t>
            </w:r>
          </w:p>
        </w:tc>
        <w:tc>
          <w:tcPr>
            <w:tcW w:type="dxa" w:w="3744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Resultado negativo definitivo.</w:t>
            </w:r>
          </w:p>
        </w:tc>
        <w:tc>
          <w:tcPr>
            <w:tcW w:type="dxa" w:w="3182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Cierra sin sello.</w:t>
            </w:r>
          </w:p>
        </w:tc>
      </w:tr>
    </w:tbl>
    <w:tbl>
      <w:tblPr>
        <w:tblW w:type="dxa" w:w="9360"/>
        <w:tblBorders>
          <w:top w:val="single" w:color="E6F4EA" w:sz="2"/>
          <w:left w:val="single" w:color="2E7D46" w:sz="18"/>
          <w:bottom w:val="single" w:color="E6F4EA" w:sz="2"/>
          <w:right w:val="single" w:color="E6F4E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D46"/>
              </w:rPr>
              <w:t xml:space="preserve">Escribí observaciones útiles</w:t>
            </w:r>
          </w:p>
          <w:p>
            <w:pPr>
              <w:spacing w:after="20" w:line="258"/>
            </w:pPr>
            <w:r>
              <w:t xml:space="preserve">El campo de observaciones técnicas viaja al editor. Cuando pidas cambios, sé concreto: qué falta, dónde y cómo corregirlo. Un buen detalle acelera la re-entrega y evita rondas innecesarias.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Caso de uso V2 — Pedir cambios al editor</w:t>
      </w:r>
    </w:p>
    <w:p>
      <w:pPr>
        <w:spacing w:after="120" w:line="264"/>
      </w:pPr>
      <w:r>
        <w:t xml:space="preserve">Cuando la revista necesita correcciones, elegís el resultado </w:t>
      </w:r>
      <w:r>
        <w:rPr>
          <w:b/>
          <w:bCs/>
        </w:rPr>
        <w:t xml:space="preserve">“Cambios”</w:t>
      </w:r>
      <w:r>
        <w:t xml:space="preserve"> y detallás en las observaciones qué debe corregir el editor. La revista pasa a “Cambios (Evaluación)” y el editor recibe un aviso.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Marcá los indicadores que ya revisaste (podés guardar borrador).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Escribí en observaciones, punto por punto, qué corregir.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Elegí “Cambios” como resultado.</w:t>
      </w:r>
    </w:p>
    <w:p>
      <w:pPr>
        <w:spacing w:after="120" w:line="264"/>
      </w:pPr>
      <w:r>
        <w:t xml:space="preserve">El editor corrige y </w:t>
      </w:r>
      <w:r>
        <w:rPr>
          <w:b/>
          <w:bCs/>
        </w:rPr>
        <w:t xml:space="preserve">reenvía sin costo</w:t>
      </w:r>
      <w:r>
        <w:t xml:space="preserve">. La tarea permanece abierta para que retomes la revisión cuando vuelva.</w:t>
      </w:r>
    </w:p>
    <w:p>
      <w:r>
        <w:br w:type="page"/>
      </w:r>
    </w:p>
    <w:p>
      <w:pPr>
        <w:pStyle w:val="Heading1"/>
      </w:pPr>
      <w:r>
        <w:t xml:space="preserve">5. Caso de uso V3 — Re-evaluaciones</w:t>
      </w:r>
    </w:p>
    <w:p>
      <w:pPr>
        <w:spacing w:after="120" w:line="264"/>
      </w:pPr>
      <w:r>
        <w:t xml:space="preserve">Una </w:t>
      </w:r>
      <w:r>
        <w:rPr>
          <w:b/>
          <w:bCs/>
        </w:rPr>
        <w:t xml:space="preserve">re-evaluación</w:t>
      </w:r>
      <w:r>
        <w:t xml:space="preserve"> llega como una tarea más en tu cola (tipo “Re-evaluación”). Se evalúa con el mismo procedimiento y los mismos 17 indicadores; la diferencia es de flujo: la revista ya tenía datos y un resultado previo. Aplicá el mismo criterio de puntaje, tope por núcleo y sello.</w:t>
      </w:r>
    </w:p>
    <w:p>
      <w:r>
        <w:br w:type="page"/>
      </w:r>
    </w:p>
    <w:p>
      <w:pPr>
        <w:pStyle w:val="Heading1"/>
      </w:pPr>
      <w:r>
        <w:t xml:space="preserve">6. Caso de uso V4 — Consultar al editor</w:t>
      </w:r>
    </w:p>
    <w:p>
      <w:pPr>
        <w:spacing w:after="120" w:line="264"/>
      </w:pPr>
      <w:r>
        <w:t xml:space="preserve">Dentro de la pantalla de evaluación tenés un hilo </w:t>
      </w:r>
      <w:r>
        <w:rPr>
          <w:b/>
          <w:bCs/>
        </w:rPr>
        <w:t xml:space="preserve">“Consultar al editor”</w:t>
      </w:r>
      <w:r>
        <w:t xml:space="preserve"> anclado a esa revista. Sirve para pedir aclaraciones o material sin salir de la evaluación; el editor lo ve en su bandeja de mensajes y responde. (Ver Figura 5, parte inferior.)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El hilo queda asociado a la revista evaluada.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Participan el evaluador asignado y el editor.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t xml:space="preserve">El indicador “Mensajes sin leer” del escritorio te avisa de respuestas nuevas.</w:t>
      </w:r>
    </w:p>
    <w:p>
      <w:r>
        <w:br w:type="page"/>
      </w:r>
    </w:p>
    <w:p>
      <w:pPr>
        <w:pStyle w:val="Heading1"/>
      </w:pPr>
      <w:r>
        <w:t xml:space="preserve">7. Resumen: alcance del rol</w:t>
      </w:r>
    </w:p>
    <w:tbl>
      <w:tblPr>
        <w:tblW w:type="dxa" w:w="9360"/>
        <w:tblBorders>
          <w:top w:val="single" w:color="D5DCE6" w:sz="1"/>
          <w:left w:val="single" w:color="D5DCE6" w:sz="1"/>
          <w:bottom w:val="single" w:color="D5DCE6" w:sz="1"/>
          <w:right w:val="single" w:color="D5DCE6" w:sz="1"/>
          <w:insideH w:val="single" w:color="D5DCE6" w:sz="1"/>
          <w:insideV w:val="single" w:color="D5DCE6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Puede</w:t>
            </w:r>
          </w:p>
        </w:tc>
        <w:tc>
          <w:tcPr>
            <w:tcW w:type="dxa" w:w="4680"/>
            <w:shd w:fill="1E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puede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Ver y evaluar revistas asignadas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Ver revistas de otros evaluadores</w:t>
            </w:r>
          </w:p>
        </w:tc>
      </w:tr>
      <w:tr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Marcar indicadores y calcular puntaje</w:t>
            </w:r>
          </w:p>
        </w:tc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Revisar libros o listados gratuitos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Certificar / evaluar / pedir cambios / rechazar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Gestionar pagos, usuarios o productos</w:t>
            </w:r>
          </w:p>
        </w:tc>
      </w:tr>
      <w:tr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Guardar borrador de una evaluación</w:t>
            </w:r>
          </w:p>
        </w:tc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Crear o asignar tareas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Proponer y atender consultas del editor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Cerrar tareas manualmente (se cierran solas)</w:t>
            </w:r>
          </w:p>
        </w:tc>
      </w:tr>
      <w:tr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Ver sus propias tareas y mensajes</w:t>
            </w:r>
          </w:p>
        </w:tc>
        <w:tc>
          <w:tcPr>
            <w:tcW w:type="dxa" w:w="4680"/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0"/>
            </w:pPr>
            <w:r>
              <w:rPr>
                <w:sz w:val="19"/>
                <w:szCs w:val="19"/>
              </w:rPr>
              <w:t xml:space="preserve">Acceder a la configuración del sistema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Página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6" w:sz="4" w:space="4"/>
      </w:pBdr>
      <w:tabs>
        <w:tab w:val="right" w:pos="9360"/>
      </w:tabs>
    </w:pPr>
    <w:r>
      <w:rPr>
        <w:color w:val="667085"/>
        <w:sz w:val="16"/>
        <w:szCs w:val="16"/>
      </w:rPr>
      <w:t xml:space="preserve">Editorial Standards Platform</w:t>
    </w:r>
    <w:r>
      <w:rPr>
        <w:color w:val="667085"/>
        <w:sz w:val="16"/>
        <w:szCs w:val="16"/>
      </w:rPr>
      <w:t xml:space="preserve">	Guía del Evaluador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E3A5F" w:sz="6" w:space="4"/>
      </w:pBdr>
      <w:spacing w:after="140" w:before="32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2933"/>
      <w:sz w:val="23"/>
      <w:szCs w:val="23"/>
    </w:rPr>
  </w:style>
  <w:style w:type="paragraph" w:styleId="Caption">
    <w:name w:val="Caption"/>
    <w:basedOn w:val="Normal"/>
    <w:next w:val="Normal"/>
    <w:pPr>
      <w:spacing w:after="200" w:before="40"/>
      <w:jc w:val="center"/>
    </w:pPr>
    <w:rPr>
      <w:i/>
      <w:iCs/>
      <w:color w:val="66708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f84a42987e6c4173842b159cf3dcd124687b853.jpg"/><Relationship Id="rId10" Type="http://schemas.openxmlformats.org/officeDocument/2006/relationships/image" Target="media/727bab2b64134907290adfa91beab1ccff22c45c.jpg"/><Relationship Id="rId11" Type="http://schemas.openxmlformats.org/officeDocument/2006/relationships/image" Target="media/393042a03208bbc0e5c96883e0fdee7a18567419.jpg"/><Relationship Id="rId12" Type="http://schemas.openxmlformats.org/officeDocument/2006/relationships/image" Target="media/97ca1351ffe8aafd7b2a28ad00cdb7e2be7c313c.jpg"/><Relationship Id="rId13" Type="http://schemas.openxmlformats.org/officeDocument/2006/relationships/image" Target="media/e6ce48adede6dd28dfa54af8cf71f89666bdf0a6.jpg"/><Relationship Id="rId14" Type="http://schemas.openxmlformats.org/officeDocument/2006/relationships/image" Target="media/506312c743ea189e6a92ae80f19710af84eadf8a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2026-07-03T16:48:55.012Z</dcterms:created>
  <dcterms:modified xsi:type="dcterms:W3CDTF">2026-07-03T16:48:55.013Z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