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Given the provided data, what are three conclusions that we can draw about crowdfunding campaigns?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Campaigns with a goal between $15,000 and $35,000 apparently tend to be more successful, but we actually have limited data about campaigns with a goal larger than $10,000.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month of the campaign doesn't seem to have a big impact on the success of it.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Successful campaigns tend to have more backers. The median number of backers for successful campaigns (201) is larger than those for non-successful campaigns by 86.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percentage, journalism (100%), technology (67%) and photography (62%) are the most successful categories. Theater is the most popular category.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percentage audio (100%), world music (100%), web (71%), and translations (67%) are the most successful subcategories.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limitations of this dataset?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data is concentrated in only 3 categories (music, film &amp; video, and theater). Therefore, the predictability of success for other categories might be limited.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big chunk of the projects is in the plays subcategory, so this data might not be representative of the success/not-success all subcategories.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Similarly, most of the projects have a goal of maximum $10,000. Goals larger than that lack representation.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 of the campaigns here have goals smaller than $10,000. Campaigns with smaller goals require less backers, therefore making the mean number of backers for a campaign to be successful misleading.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are some other possible tables and/or graphs that we could create, and what additional value would they provide?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number of backers and support amount according to the goal size of the campaign for successful campaigns.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Average number of backers per category and support amount for successful campaigns.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Average number of backers per subcategory and support amount for successful campaigns.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These tables/graphs would help us understand if we’re on the right track for our campaign to be more likely to be successful according to its goal size, category and subcategory.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