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256" w:rsidRPr="00743256" w:rsidRDefault="00743256" w:rsidP="00743256">
      <w:pPr>
        <w:jc w:val="both"/>
        <w:rPr>
          <w:rFonts w:ascii="Trebuchet MS" w:hAnsi="Trebuchet MS"/>
          <w:b/>
          <w:color w:val="000000" w:themeColor="text1"/>
          <w:sz w:val="22"/>
          <w:szCs w:val="22"/>
          <w:lang w:val="ro-RO"/>
        </w:rPr>
      </w:pPr>
      <w:r w:rsidRPr="00743256">
        <w:rPr>
          <w:b/>
          <w:lang w:val="ro-RO"/>
        </w:rPr>
        <w:t>Denumirea măsurii – Tineri fermieri</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CODUL Măsurii -  </w:t>
      </w:r>
      <w:r w:rsidRPr="00E117B6">
        <w:rPr>
          <w:rFonts w:ascii="Trebuchet MS" w:hAnsi="Trebuchet MS"/>
          <w:b/>
          <w:bCs/>
          <w:color w:val="000000" w:themeColor="text1"/>
          <w:sz w:val="22"/>
          <w:szCs w:val="22"/>
          <w:lang w:val="ro-RO"/>
        </w:rPr>
        <w:t>Măsura 2.2 / 2B</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Tipul măsurii:</w:t>
      </w:r>
      <w:r>
        <w:rPr>
          <w:rFonts w:ascii="Trebuchet MS" w:hAnsi="Trebuchet MS" w:cs="Trebuchet MS"/>
          <w:b/>
          <w:bCs/>
          <w:color w:val="000000" w:themeColor="text1"/>
          <w:sz w:val="22"/>
          <w:szCs w:val="22"/>
          <w:lang w:val="ro-RO"/>
        </w:rPr>
        <w:t xml:space="preserve"> </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INVESTIȚII</w:t>
      </w:r>
    </w:p>
    <w:p w:rsidR="00743256" w:rsidRPr="00E117B6" w:rsidRDefault="00743256" w:rsidP="00743256">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rsidR="00743256" w:rsidRDefault="00743256" w:rsidP="00743256">
      <w:pPr>
        <w:widowControl w:val="0"/>
        <w:overflowPunct w:val="0"/>
        <w:autoSpaceDE w:val="0"/>
        <w:autoSpaceDN w:val="0"/>
        <w:adjustRightInd w:val="0"/>
        <w:jc w:val="both"/>
        <w:rPr>
          <w:rFonts w:ascii="Trebuchet MS" w:hAnsi="Trebuchet MS" w:cs="Trebuchet MS"/>
          <w:b/>
          <w:bCs/>
          <w:color w:val="000000" w:themeColor="text1"/>
          <w:sz w:val="22"/>
          <w:szCs w:val="22"/>
          <w:lang w:val="ro-RO"/>
        </w:rPr>
      </w:pPr>
      <w:r>
        <w:rPr>
          <w:rFonts w:ascii="Trebuchet MS" w:hAnsi="Trebuchet MS" w:cs="Trebuchet MS"/>
          <w:b/>
          <w:bCs/>
          <w:color w:val="000000" w:themeColor="text1"/>
          <w:sz w:val="22"/>
          <w:szCs w:val="22"/>
          <w:lang w:val="ro-RO"/>
        </w:rPr>
        <w:t xml:space="preserve">                                </w:t>
      </w:r>
      <w:bookmarkStart w:id="0" w:name="_GoBack"/>
      <w:bookmarkEnd w:id="0"/>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SPRIJIN FORFETAR</w:t>
      </w:r>
    </w:p>
    <w:p w:rsidR="00743256" w:rsidRPr="00E117B6" w:rsidRDefault="00743256" w:rsidP="00743256">
      <w:pPr>
        <w:widowControl w:val="0"/>
        <w:overflowPunct w:val="0"/>
        <w:autoSpaceDE w:val="0"/>
        <w:autoSpaceDN w:val="0"/>
        <w:adjustRightInd w:val="0"/>
        <w:jc w:val="both"/>
        <w:rPr>
          <w:rFonts w:ascii="Trebuchet MS" w:hAnsi="Trebuchet MS" w:cs="Trebuchet MS"/>
          <w:b/>
          <w:bCs/>
          <w:color w:val="000000" w:themeColor="text1"/>
          <w:sz w:val="22"/>
          <w:szCs w:val="22"/>
          <w:lang w:val="ro-RO"/>
        </w:rPr>
      </w:pPr>
      <w:r>
        <w:rPr>
          <w:rFonts w:ascii="Trebuchet MS" w:hAnsi="Trebuchet MS" w:cs="Trebuchet MS"/>
          <w:b/>
          <w:bCs/>
          <w:color w:val="000000" w:themeColor="text1"/>
          <w:sz w:val="22"/>
          <w:szCs w:val="22"/>
          <w:lang w:val="ro-RO"/>
        </w:rPr>
        <w:t>1.</w:t>
      </w:r>
      <w:r w:rsidRPr="00E117B6">
        <w:rPr>
          <w:rFonts w:ascii="Trebuchet MS" w:hAnsi="Trebuchet MS" w:cs="Trebuchet MS"/>
          <w:b/>
          <w:bCs/>
          <w:color w:val="000000" w:themeColor="text1"/>
          <w:sz w:val="22"/>
          <w:szCs w:val="22"/>
          <w:lang w:val="ro-RO"/>
        </w:rPr>
        <w:t xml:space="preserve">Descrierea generală a măsurii, inclusiv a logicii de intervenție a acesteia și a contribuției la prioritățile strategiei, la domeniile de intervenție, la obiectivele transversale și a complementarității cu alte măsuri din SDL </w:t>
      </w:r>
    </w:p>
    <w:p w:rsidR="00743256" w:rsidRPr="00E117B6" w:rsidRDefault="00743256" w:rsidP="00743256">
      <w:pPr>
        <w:jc w:val="both"/>
        <w:rPr>
          <w:rFonts w:ascii="Trebuchet MS" w:hAnsi="Trebuchet MS"/>
          <w:color w:val="000000" w:themeColor="text1"/>
          <w:sz w:val="22"/>
          <w:szCs w:val="22"/>
          <w:lang w:val="ro-RO"/>
        </w:rPr>
      </w:pP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În cadrul acestei sub-măsuri se va sprijini instalarea pentru prima dată a tinerilor fermieri, ca şefi/manageri ai unei exploataţii agricole.</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Instalarea ca tânăr fermier este un proces care implică realizarea unor etape, așa cum este descris mai jos. Acest proces trebuie să fi început și să fie încă în curs de desfășurare în momentul în care tânărul fermier depune cererea de finanţare pentru accesarea sprijinului acordat prin intermediul acestei sub-măsuri.</w:t>
      </w:r>
    </w:p>
    <w:p w:rsidR="00743256" w:rsidRPr="00E117B6" w:rsidRDefault="00743256" w:rsidP="00743256">
      <w:pPr>
        <w:numPr>
          <w:ilvl w:val="0"/>
          <w:numId w:val="2"/>
        </w:numPr>
        <w:ind w:left="0" w:firstLine="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Înregistrarea tânărului fermier ca micro-întreprindere/întreprindere mică cu maximum 24 de luni înaintea depunerii cererii de finanţare (între timp, fermierul pregătește planul de afaceri, organizează activităţile administrative, achiziționarea bunurilor pentru noua întreprindere, etc.); Acest pas trebuie să fie încheiat înaintea depunerii cererii de finanţare pentru această sub-măsură;</w:t>
      </w:r>
    </w:p>
    <w:p w:rsidR="00743256" w:rsidRPr="00E117B6" w:rsidRDefault="00743256" w:rsidP="00743256">
      <w:pPr>
        <w:numPr>
          <w:ilvl w:val="0"/>
          <w:numId w:val="2"/>
        </w:numPr>
        <w:ind w:left="0" w:firstLine="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Depunerea formularului de cerere de finanţare împreună cu planul de afaceri (documentele justificative legate de baza materială cu activele deținute la momentul depunerii cererii de finanţare);</w:t>
      </w:r>
    </w:p>
    <w:p w:rsidR="00743256" w:rsidRPr="00E117B6" w:rsidRDefault="00743256" w:rsidP="00743256">
      <w:pPr>
        <w:numPr>
          <w:ilvl w:val="0"/>
          <w:numId w:val="2"/>
        </w:numPr>
        <w:ind w:left="0" w:firstLine="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Instalarea tânărului fermier este considerată finalizată la momentul implementării corecte a planului de afaceri.</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Sprijinul acordat va contribui la îmbunătăţirea managementului, la creşterea competitivităţii sectorului agricol şi va susţine procesul de modernizare, precum şi conformitatea cu cerinţele de protecţie a mediului, igienă şi bunăstarea animalelor și siguranţa la locul de muncă. Sprijinul financiar va fi acordat pe baza unui plan de afaceri pentru dezvoltarea exploatației. Măsura va crea posibilitatea tinerilor fermieri rezidenți, cu un minim de cunoștinte de bază, să se instaleze ca şefi/manageri ai exploatației.</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Intervenția prin această sub-măsură va conduce la creşterea numărului de tineri fermieri care încep pentru prima dată o activitate agricolă ca şefi/manageri de exploataţie, care sunt încurajați să promoveze lanțurile scurte de aprovizionare, și, prin urmare, să devină competitivi și să îşi sporească gradul de orientare spre parteneriate. Îmbătrânirea forței de muncă în sector, precum și declinul demografic din zonele rurale arată necesitatea prezenței populaţiei tinere în zonele rurale în contextul îmbunătăţirii performanțelor economice ale exploataţiilor agricole. Prin urmare, este necesar să se stabilească un nivel de sprijin optim pentru a încuraja tinerii să acceseze această sub-măsură, ținând cont și de costurile foarte ridicate pentru crearea unei întreprinderi agricole viabile de minimum </w:t>
      </w:r>
      <w:r>
        <w:rPr>
          <w:rFonts w:ascii="Trebuchet MS" w:hAnsi="Trebuchet MS"/>
          <w:color w:val="000000" w:themeColor="text1"/>
          <w:sz w:val="22"/>
          <w:szCs w:val="22"/>
          <w:lang w:val="ro-RO"/>
        </w:rPr>
        <w:t xml:space="preserve">8.000 </w:t>
      </w:r>
      <w:r w:rsidRPr="00E117B6">
        <w:rPr>
          <w:rFonts w:ascii="Trebuchet MS" w:hAnsi="Trebuchet MS"/>
          <w:color w:val="000000" w:themeColor="text1"/>
          <w:sz w:val="22"/>
          <w:szCs w:val="22"/>
          <w:lang w:val="ro-RO"/>
        </w:rPr>
        <w:t>€ SO.</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Această sub-măsură vizează încurajarea familiilor tinere din mediul rural de a se stabiliza în mediul rural ceea ce va crea un efect pozitiv asupra economiei naţionale în general. </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widowControl w:val="0"/>
        <w:overflowPunct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rsidR="00743256" w:rsidRPr="00E117B6" w:rsidRDefault="00743256" w:rsidP="00743256">
      <w:pPr>
        <w:numPr>
          <w:ilvl w:val="0"/>
          <w:numId w:val="1"/>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favorizarea competitivitatii agriculturii;</w:t>
      </w:r>
    </w:p>
    <w:p w:rsidR="00743256" w:rsidRPr="00E117B6" w:rsidRDefault="00743256" w:rsidP="00743256">
      <w:pPr>
        <w:pStyle w:val="Default"/>
        <w:widowControl/>
        <w:numPr>
          <w:ilvl w:val="0"/>
          <w:numId w:val="1"/>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obtinerea unei dezvoltari teritoriale echilibrate a economiilor si comunitatilor rurale, inclusiv crearea si mentinerea de locuri de munca</w:t>
      </w:r>
    </w:p>
    <w:p w:rsidR="00743256" w:rsidRPr="00E117B6" w:rsidRDefault="00743256" w:rsidP="00743256">
      <w:pPr>
        <w:widowControl w:val="0"/>
        <w:overflowPunct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 xml:space="preserve">Obiective specifice ale masurii </w:t>
      </w:r>
    </w:p>
    <w:p w:rsidR="00743256" w:rsidRPr="00E117B6" w:rsidRDefault="00743256" w:rsidP="00743256">
      <w:pPr>
        <w:widowControl w:val="0"/>
        <w:numPr>
          <w:ilvl w:val="0"/>
          <w:numId w:val="4"/>
        </w:numPr>
        <w:autoSpaceDE w:val="0"/>
        <w:autoSpaceDN w:val="0"/>
        <w:adjustRightInd w:val="0"/>
        <w:jc w:val="both"/>
        <w:rPr>
          <w:rFonts w:ascii="Trebuchet MS" w:hAnsi="Trebuchet MS"/>
          <w:color w:val="000000" w:themeColor="text1"/>
          <w:sz w:val="22"/>
          <w:szCs w:val="22"/>
          <w:lang w:val="ro-RO"/>
        </w:rPr>
      </w:pPr>
      <w:r w:rsidRPr="00E117B6">
        <w:rPr>
          <w:rFonts w:ascii="Trebuchet MS" w:eastAsia="Times New Roman" w:hAnsi="Trebuchet MS"/>
          <w:color w:val="000000" w:themeColor="text1"/>
          <w:sz w:val="22"/>
          <w:szCs w:val="22"/>
          <w:lang w:val="ro-RO" w:eastAsia="ro-RO"/>
        </w:rPr>
        <w:t>sprijinirea consolidării și dezvoltării poziției de piață a fermierilor tineri;</w:t>
      </w:r>
    </w:p>
    <w:p w:rsidR="00743256" w:rsidRPr="00E117B6" w:rsidRDefault="00743256" w:rsidP="00743256">
      <w:pPr>
        <w:widowControl w:val="0"/>
        <w:numPr>
          <w:ilvl w:val="0"/>
          <w:numId w:val="4"/>
        </w:numPr>
        <w:autoSpaceDE w:val="0"/>
        <w:autoSpaceDN w:val="0"/>
        <w:adjustRightInd w:val="0"/>
        <w:jc w:val="both"/>
        <w:rPr>
          <w:rFonts w:ascii="Trebuchet MS" w:hAnsi="Trebuchet MS"/>
          <w:color w:val="000000" w:themeColor="text1"/>
          <w:sz w:val="22"/>
          <w:szCs w:val="22"/>
          <w:lang w:val="ro-RO"/>
        </w:rPr>
      </w:pPr>
      <w:r w:rsidRPr="00E117B6">
        <w:rPr>
          <w:rFonts w:ascii="Trebuchet MS" w:eastAsia="Times New Roman" w:hAnsi="Trebuchet MS"/>
          <w:color w:val="000000" w:themeColor="text1"/>
          <w:sz w:val="22"/>
          <w:szCs w:val="22"/>
          <w:lang w:val="ro-RO" w:eastAsia="ro-RO"/>
        </w:rPr>
        <w:t>asigurarea generațiilor viitoare de tineri fermieri, superior pregătiți profesional și deschiși spre inovație</w:t>
      </w:r>
    </w:p>
    <w:p w:rsidR="00743256" w:rsidRPr="00E117B6" w:rsidRDefault="00743256" w:rsidP="00743256">
      <w:pPr>
        <w:widowControl w:val="0"/>
        <w:numPr>
          <w:ilvl w:val="0"/>
          <w:numId w:val="4"/>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dezvoltarea și modernizarea agriculturii, în special a fermelor conduse de tineri;</w:t>
      </w:r>
    </w:p>
    <w:p w:rsidR="00743256" w:rsidRPr="00E117B6" w:rsidRDefault="00743256" w:rsidP="00743256">
      <w:pPr>
        <w:widowControl w:val="0"/>
        <w:numPr>
          <w:ilvl w:val="0"/>
          <w:numId w:val="4"/>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promovarea integrării inovației în procesele de producție agricolă;</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la prioritatea/prioritățile</w:t>
      </w:r>
      <w:r w:rsidRPr="00E117B6">
        <w:rPr>
          <w:rFonts w:ascii="Trebuchet MS" w:hAnsi="Trebuchet MS" w:cs="Trebuchet MS"/>
          <w:color w:val="000000" w:themeColor="text1"/>
          <w:sz w:val="22"/>
          <w:szCs w:val="22"/>
          <w:lang w:val="ro-RO"/>
        </w:rPr>
        <w:t xml:space="preserve"> prevăzute la art. 5, Reg. (UE) nr. 1305/2013 </w:t>
      </w:r>
    </w:p>
    <w:p w:rsidR="00743256" w:rsidRPr="00E117B6" w:rsidRDefault="00743256" w:rsidP="00743256">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P6: Promovarea incluziunii sociale, a reducerii sărăciei și a dezvoltării economice în zonele rurale</w:t>
      </w:r>
    </w:p>
    <w:p w:rsidR="00743256" w:rsidRPr="00E117B6" w:rsidRDefault="00743256" w:rsidP="00743256">
      <w:pPr>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P2: Creșterea viabilității exploatațiilor și a competitivității tuturor tipurilor de agricultură în toate regiunile și promovarea tehnologiilor agricole inovatoare și a gestionării durabile a pădurilor</w:t>
      </w:r>
    </w:p>
    <w:p w:rsidR="00743256" w:rsidRPr="00E117B6" w:rsidRDefault="00743256" w:rsidP="00743256">
      <w:pPr>
        <w:pStyle w:val="Default"/>
        <w:jc w:val="both"/>
        <w:rPr>
          <w:rFonts w:ascii="Trebuchet MS" w:hAnsi="Trebuchet MS"/>
          <w:bCs/>
          <w:color w:val="000000" w:themeColor="text1"/>
          <w:sz w:val="22"/>
          <w:szCs w:val="22"/>
          <w:lang w:val="ro-RO"/>
        </w:rPr>
      </w:pP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widowControl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Măsura corespunde obiectivelor art.</w:t>
      </w:r>
      <w:r w:rsidRPr="00E117B6">
        <w:rPr>
          <w:rFonts w:ascii="Trebuchet MS" w:hAnsi="Trebuchet MS" w:cs="Trebuchet MS"/>
          <w:color w:val="000000" w:themeColor="text1"/>
          <w:sz w:val="22"/>
          <w:szCs w:val="22"/>
          <w:lang w:val="ro-RO"/>
        </w:rPr>
        <w:t xml:space="preserve"> 19 Dezvoltarea exploatatiilor si a intreprinderilor </w:t>
      </w:r>
      <w:proofErr w:type="spellStart"/>
      <w:r>
        <w:rPr>
          <w:rFonts w:ascii="Trebuchet MS" w:hAnsi="Trebuchet MS"/>
          <w:color w:val="000000" w:themeColor="text1"/>
        </w:rPr>
        <w:t>alin</w:t>
      </w:r>
      <w:proofErr w:type="spellEnd"/>
      <w:r>
        <w:rPr>
          <w:rFonts w:ascii="Trebuchet MS" w:hAnsi="Trebuchet MS"/>
          <w:color w:val="000000" w:themeColor="text1"/>
        </w:rPr>
        <w:t>(1)lit.(a</w:t>
      </w:r>
      <w:proofErr w:type="gramStart"/>
      <w:r>
        <w:rPr>
          <w:rFonts w:ascii="Trebuchet MS" w:hAnsi="Trebuchet MS"/>
          <w:color w:val="000000" w:themeColor="text1"/>
        </w:rPr>
        <w:t>),</w:t>
      </w:r>
      <w:proofErr w:type="spellStart"/>
      <w:r>
        <w:rPr>
          <w:rFonts w:ascii="Trebuchet MS" w:hAnsi="Trebuchet MS"/>
          <w:color w:val="000000" w:themeColor="text1"/>
        </w:rPr>
        <w:t>punctul</w:t>
      </w:r>
      <w:proofErr w:type="spellEnd"/>
      <w:proofErr w:type="gramEnd"/>
      <w:r>
        <w:rPr>
          <w:rFonts w:ascii="Trebuchet MS" w:hAnsi="Trebuchet MS"/>
          <w:color w:val="000000" w:themeColor="text1"/>
        </w:rPr>
        <w:t>(</w:t>
      </w:r>
      <w:proofErr w:type="spellStart"/>
      <w:r>
        <w:rPr>
          <w:rFonts w:ascii="Trebuchet MS" w:hAnsi="Trebuchet MS"/>
          <w:color w:val="000000" w:themeColor="text1"/>
        </w:rPr>
        <w:t>i</w:t>
      </w:r>
      <w:proofErr w:type="spellEnd"/>
      <w:r>
        <w:rPr>
          <w:rFonts w:ascii="Trebuchet MS" w:hAnsi="Trebuchet MS"/>
          <w:color w:val="000000" w:themeColor="text1"/>
        </w:rPr>
        <w:t>)</w:t>
      </w:r>
      <w:r w:rsidRPr="00E117B6">
        <w:rPr>
          <w:rFonts w:ascii="Trebuchet MS" w:hAnsi="Trebuchet MS" w:cs="Trebuchet MS"/>
          <w:b/>
          <w:color w:val="000000" w:themeColor="text1"/>
          <w:sz w:val="22"/>
          <w:szCs w:val="22"/>
          <w:lang w:val="ro-RO"/>
        </w:rPr>
        <w:t>Măsura contribuie la Domeniul de intervenție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2B) Facilitarea intrării în sectorul agricol a unor fermieri calificați corespunzător și, în special, a reînnoirii generațiilor</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widowControl w:val="0"/>
        <w:overflowPunct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obiectivele transversale</w:t>
      </w:r>
      <w:r w:rsidRPr="00E117B6">
        <w:rPr>
          <w:rFonts w:ascii="Trebuchet MS" w:hAnsi="Trebuchet MS" w:cs="Trebuchet MS"/>
          <w:color w:val="000000" w:themeColor="text1"/>
          <w:sz w:val="22"/>
          <w:szCs w:val="22"/>
          <w:lang w:val="ro-RO"/>
        </w:rPr>
        <w:t xml:space="preserve"> ale Reg. (UE) nr. 1305/2013: </w:t>
      </w:r>
    </w:p>
    <w:p w:rsidR="00743256" w:rsidRPr="00E117B6" w:rsidRDefault="00743256" w:rsidP="00743256">
      <w:pPr>
        <w:widowControl w:val="0"/>
        <w:overflowPunct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jc w:val="both"/>
        <w:rPr>
          <w:rFonts w:ascii="Trebuchet MS" w:eastAsia="Times New Roman" w:hAnsi="Trebuchet MS"/>
          <w:color w:val="000000" w:themeColor="text1"/>
          <w:sz w:val="22"/>
          <w:szCs w:val="22"/>
          <w:lang w:val="ro-RO" w:eastAsia="ro-RO"/>
        </w:rPr>
      </w:pPr>
      <w:r w:rsidRPr="00E117B6">
        <w:rPr>
          <w:rFonts w:ascii="Trebuchet MS" w:eastAsia="Times New Roman" w:hAnsi="Trebuchet MS"/>
          <w:color w:val="000000" w:themeColor="text1"/>
          <w:sz w:val="22"/>
          <w:szCs w:val="22"/>
          <w:lang w:val="ro-RO" w:eastAsia="ro-RO"/>
        </w:rPr>
        <w:t>Măsura contribuie la inovare şi protecţia mediului</w:t>
      </w:r>
    </w:p>
    <w:p w:rsidR="00743256" w:rsidRPr="00E117B6" w:rsidRDefault="00743256" w:rsidP="00743256">
      <w:pPr>
        <w:pStyle w:val="Default"/>
        <w:jc w:val="both"/>
        <w:rPr>
          <w:rFonts w:ascii="Trebuchet MS" w:hAnsi="Trebuchet MS" w:cs="Times New Roman"/>
          <w:color w:val="000000" w:themeColor="text1"/>
          <w:sz w:val="22"/>
          <w:szCs w:val="22"/>
          <w:lang w:val="ro-RO" w:eastAsia="ro-RO"/>
        </w:rPr>
      </w:pPr>
      <w:r w:rsidRPr="00E117B6">
        <w:rPr>
          <w:rFonts w:ascii="Trebuchet MS" w:hAnsi="Trebuchet MS" w:cs="Times New Roman"/>
          <w:color w:val="000000" w:themeColor="text1"/>
          <w:sz w:val="22"/>
          <w:szCs w:val="22"/>
          <w:lang w:val="ro-RO" w:eastAsia="ro-RO"/>
        </w:rPr>
        <w:t>Proiectele selectate vor contribui la stimularea inovării prin activităţile economice nou înfiinţate, prin contribuţia adusă la dezvoltarea resurselor umane, prin crearea de locuri de muncă şi combaterea sărăciei. Toate investiţiile realizate în cadrul acestei măsuri vor fi din categoria celor „prietenoase cu mediul” fiind selectate cu prioritate proiectele care adoptă soluţii de obţinere a energiei din surse regenerabile.</w:t>
      </w:r>
    </w:p>
    <w:p w:rsidR="00743256" w:rsidRPr="00E117B6" w:rsidRDefault="00743256" w:rsidP="00743256">
      <w:pPr>
        <w:widowControl w:val="0"/>
        <w:overflowPunct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măsura M2.2 este complementară cu măsura M2.1 a SDL prin natura intervențiilor specifice și delimitarea beneficiarilor.</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Sinergia cu alte măsuri din SDL</w:t>
      </w:r>
      <w:r w:rsidRPr="00E117B6">
        <w:rPr>
          <w:rFonts w:ascii="Trebuchet MS" w:hAnsi="Trebuchet MS" w:cs="Trebuchet MS"/>
          <w:color w:val="000000" w:themeColor="text1"/>
          <w:sz w:val="22"/>
          <w:szCs w:val="22"/>
          <w:lang w:val="ro-RO"/>
        </w:rPr>
        <w:t>: Măsura M2.2 este în sinergie cu măsura</w:t>
      </w:r>
      <w:r>
        <w:rPr>
          <w:rFonts w:ascii="Trebuchet MS" w:hAnsi="Trebuchet MS" w:cs="Trebuchet MS"/>
          <w:color w:val="000000" w:themeColor="text1"/>
          <w:sz w:val="22"/>
          <w:szCs w:val="22"/>
          <w:lang w:val="ro-RO"/>
        </w:rPr>
        <w:t xml:space="preserve"> M2.1</w:t>
      </w:r>
      <w:r w:rsidRPr="00E117B6">
        <w:rPr>
          <w:rFonts w:ascii="Trebuchet MS" w:hAnsi="Trebuchet MS" w:cs="Trebuchet MS"/>
          <w:color w:val="000000" w:themeColor="text1"/>
          <w:sz w:val="22"/>
          <w:szCs w:val="22"/>
          <w:lang w:val="ro-RO"/>
        </w:rPr>
        <w:t xml:space="preserve"> </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widowControl w:val="0"/>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cs="Trebuchet MS"/>
          <w:b/>
          <w:bCs/>
          <w:color w:val="000000" w:themeColor="text1"/>
          <w:sz w:val="22"/>
          <w:szCs w:val="22"/>
          <w:lang w:val="ro-RO"/>
        </w:rPr>
        <w:t>2.  Valoarea adăugată a măsurii</w:t>
      </w:r>
    </w:p>
    <w:p w:rsidR="00743256" w:rsidRPr="00E117B6" w:rsidRDefault="00743256" w:rsidP="00743256">
      <w:pPr>
        <w:widowControl w:val="0"/>
        <w:autoSpaceDE w:val="0"/>
        <w:autoSpaceDN w:val="0"/>
        <w:adjustRightInd w:val="0"/>
        <w:jc w:val="both"/>
        <w:rPr>
          <w:rFonts w:ascii="Trebuchet MS" w:hAnsi="Trebuchet MS"/>
          <w:b/>
          <w:color w:val="000000" w:themeColor="text1"/>
          <w:sz w:val="22"/>
          <w:szCs w:val="22"/>
          <w:u w:val="single"/>
          <w:lang w:val="ro-RO"/>
        </w:rPr>
      </w:pPr>
    </w:p>
    <w:p w:rsidR="00743256" w:rsidRPr="00E117B6" w:rsidRDefault="00743256" w:rsidP="00743256">
      <w:pPr>
        <w:numPr>
          <w:ilvl w:val="0"/>
          <w:numId w:val="8"/>
        </w:numPr>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stimularea activităţilor economice noi din sfera serviciilor pentru populaţie sau pentru alte activităţi economice agricole si neagricole din teritoriul GAL</w:t>
      </w:r>
    </w:p>
    <w:p w:rsidR="00743256" w:rsidRPr="00E117B6" w:rsidRDefault="00743256" w:rsidP="00743256">
      <w:pPr>
        <w:numPr>
          <w:ilvl w:val="0"/>
          <w:numId w:val="8"/>
        </w:numPr>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dezvoltarea resurselor umane și utilizarea de know-how</w:t>
      </w:r>
    </w:p>
    <w:p w:rsidR="00743256" w:rsidRPr="00E117B6" w:rsidRDefault="00743256" w:rsidP="00743256">
      <w:pPr>
        <w:widowControl w:val="0"/>
        <w:numPr>
          <w:ilvl w:val="0"/>
          <w:numId w:val="8"/>
        </w:numPr>
        <w:autoSpaceDE w:val="0"/>
        <w:autoSpaceDN w:val="0"/>
        <w:adjustRightInd w:val="0"/>
        <w:jc w:val="both"/>
        <w:rPr>
          <w:rFonts w:ascii="Trebuchet MS" w:hAnsi="Trebuchet MS"/>
          <w:b/>
          <w:color w:val="000000" w:themeColor="text1"/>
          <w:sz w:val="22"/>
          <w:szCs w:val="22"/>
          <w:u w:val="single"/>
          <w:lang w:val="ro-RO"/>
        </w:rPr>
      </w:pPr>
      <w:r w:rsidRPr="00E117B6">
        <w:rPr>
          <w:rFonts w:ascii="Trebuchet MS" w:hAnsi="Trebuchet MS"/>
          <w:color w:val="000000" w:themeColor="text1"/>
          <w:sz w:val="22"/>
          <w:szCs w:val="22"/>
          <w:lang w:val="ro-RO"/>
        </w:rPr>
        <w:t>crearea de noi locuri de muncă</w:t>
      </w:r>
    </w:p>
    <w:p w:rsidR="00743256" w:rsidRPr="00E117B6" w:rsidRDefault="00743256" w:rsidP="00743256">
      <w:pPr>
        <w:jc w:val="both"/>
        <w:rPr>
          <w:rFonts w:ascii="Trebuchet MS" w:hAnsi="Trebuchet MS"/>
          <w:color w:val="000000" w:themeColor="text1"/>
          <w:sz w:val="22"/>
          <w:szCs w:val="22"/>
          <w:lang w:val="ro-RO"/>
        </w:rPr>
      </w:pPr>
    </w:p>
    <w:p w:rsidR="00743256" w:rsidRPr="00E117B6" w:rsidRDefault="00743256" w:rsidP="00743256">
      <w:pPr>
        <w:jc w:val="both"/>
        <w:rPr>
          <w:rFonts w:ascii="Trebuchet MS" w:hAnsi="Trebuchet MS" w:cs="Trebuchet MS"/>
          <w:b/>
          <w:bCs/>
          <w:color w:val="000000" w:themeColor="text1"/>
          <w:sz w:val="22"/>
          <w:szCs w:val="22"/>
          <w:lang w:val="ro-RO"/>
        </w:rPr>
      </w:pPr>
      <w:r w:rsidRPr="00E117B6">
        <w:rPr>
          <w:rFonts w:ascii="Trebuchet MS" w:hAnsi="Trebuchet MS"/>
          <w:color w:val="000000" w:themeColor="text1"/>
          <w:sz w:val="22"/>
          <w:szCs w:val="22"/>
          <w:lang w:val="ro-RO"/>
        </w:rPr>
        <w:t>3.</w:t>
      </w:r>
      <w:r w:rsidRPr="00E117B6">
        <w:rPr>
          <w:rFonts w:ascii="Trebuchet MS" w:hAnsi="Trebuchet MS" w:cs="Trebuchet MS"/>
          <w:b/>
          <w:bCs/>
          <w:color w:val="000000" w:themeColor="text1"/>
          <w:sz w:val="22"/>
          <w:szCs w:val="22"/>
          <w:lang w:val="ro-RO"/>
        </w:rPr>
        <w:t xml:space="preserve">Trimiteri la alte acte legislative </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Legislaţie UE</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lastRenderedPageBreak/>
        <w:t xml:space="preserve">R (UE) nr. 1307/2013 </w:t>
      </w:r>
      <w:r w:rsidRPr="00E117B6">
        <w:rPr>
          <w:rFonts w:ascii="Trebuchet MS" w:hAnsi="Trebuchet MS"/>
          <w:color w:val="000000" w:themeColor="text1"/>
          <w:sz w:val="22"/>
          <w:szCs w:val="22"/>
          <w:lang w:val="ro-RO"/>
        </w:rPr>
        <w:t>de stabilire a unor norme privind plăţile directe acordate fermierilor prin scheme de sprijin în cadrul politicii agricole comune şi de abrogare a R (CE) nr. 637/2008 al Consiliului şi a R (CE) nr. 73/2009 al Consiliului;</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Recomandarea 2003/361/</w:t>
      </w:r>
      <w:r w:rsidRPr="00E117B6">
        <w:rPr>
          <w:rFonts w:ascii="Trebuchet MS" w:hAnsi="Trebuchet MS"/>
          <w:color w:val="000000" w:themeColor="text1"/>
          <w:sz w:val="22"/>
          <w:szCs w:val="22"/>
          <w:lang w:val="ro-RO"/>
        </w:rPr>
        <w:t>CE din 6 mai 2003 privind definirea micro-întreprinderilor şi a întreprinderilor mici şi mijlocii;</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R (CE) nr. 1242/2008</w:t>
      </w:r>
      <w:r w:rsidRPr="00E117B6">
        <w:rPr>
          <w:rFonts w:ascii="Trebuchet MS" w:hAnsi="Trebuchet MS"/>
          <w:color w:val="000000" w:themeColor="text1"/>
          <w:sz w:val="22"/>
          <w:szCs w:val="22"/>
          <w:lang w:val="ro-RO"/>
        </w:rPr>
        <w:t xml:space="preserve"> de stabilire a unei tipologii comunitare pentru exploatații agricole;</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R (UE) nr. 1303/2013 </w:t>
      </w:r>
      <w:r w:rsidRPr="00E117B6">
        <w:rPr>
          <w:rFonts w:ascii="Trebuchet MS" w:hAnsi="Trebuchet MS"/>
          <w:color w:val="000000" w:themeColor="text1"/>
          <w:sz w:val="22"/>
          <w:szCs w:val="22"/>
          <w:lang w:val="ro-RO"/>
        </w:rPr>
        <w:t>de stabilire a unor dispoziții comune privind Fondul european de dezvoltare regională, Fondul social european, Fondul de coeziune, Fondul european agricol pentru dezvoltare rurală și Fondul european pentru pescuit și afaceri maritime, precum și de stabilire a unor dispoziții generale privind Fondul european de dezvoltare regională, Fondul social european, Fondul de coeziune și Fondul european pentru pescuit și afaceri maritime;</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Actul Delegat (UE) nr. 480/2014</w:t>
      </w:r>
      <w:r w:rsidRPr="00E117B6">
        <w:rPr>
          <w:rFonts w:ascii="Trebuchet MS" w:hAnsi="Trebuchet MS"/>
          <w:color w:val="000000" w:themeColor="text1"/>
          <w:sz w:val="22"/>
          <w:szCs w:val="22"/>
          <w:lang w:val="ro-RO"/>
        </w:rPr>
        <w:t xml:space="preserve"> de completare a R (UE) nr. 1303/2013;</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R (UE) nr. 215/2014 </w:t>
      </w:r>
      <w:r w:rsidRPr="00E117B6">
        <w:rPr>
          <w:rFonts w:ascii="Trebuchet MS" w:hAnsi="Trebuchet MS"/>
          <w:color w:val="000000" w:themeColor="text1"/>
          <w:sz w:val="22"/>
          <w:szCs w:val="22"/>
          <w:lang w:val="ro-RO"/>
        </w:rPr>
        <w:t>al Comisiei de completare a R (UE) nr. 1303/2013.</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Legislaţie Naţională</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Legea nr. 346/2004 </w:t>
      </w:r>
      <w:r w:rsidRPr="00E117B6">
        <w:rPr>
          <w:rFonts w:ascii="Trebuchet MS" w:hAnsi="Trebuchet MS"/>
          <w:color w:val="000000" w:themeColor="text1"/>
          <w:sz w:val="22"/>
          <w:szCs w:val="22"/>
          <w:lang w:val="ro-RO"/>
        </w:rPr>
        <w:t>privind stimularea înființării și dezvoltării întreprinderilor mici și mijlocii cu modificările  şi completările ulterioare;</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Ordonanță de urgență nr. 44/2008 </w:t>
      </w:r>
      <w:r w:rsidRPr="00E117B6">
        <w:rPr>
          <w:rFonts w:ascii="Trebuchet MS" w:hAnsi="Trebuchet MS"/>
          <w:color w:val="000000" w:themeColor="text1"/>
          <w:sz w:val="22"/>
          <w:szCs w:val="22"/>
          <w:lang w:val="ro-RO"/>
        </w:rPr>
        <w:t>privind desfășurarea activităților economice de către persoanele fizice autorizate, întreprinderile individuale și întreprinderile familiale cu modificările și completările ulterioare;</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Ordonanţa Guvernului nr. 8/2013</w:t>
      </w:r>
      <w:r w:rsidRPr="00E117B6">
        <w:rPr>
          <w:rFonts w:ascii="Trebuchet MS" w:hAnsi="Trebuchet MS"/>
          <w:color w:val="000000" w:themeColor="text1"/>
          <w:sz w:val="22"/>
          <w:szCs w:val="22"/>
          <w:lang w:val="ro-RO"/>
        </w:rPr>
        <w:t xml:space="preserve"> pentru modificarea şi completarea Legii nr. 571/2003 privind Codul fiscal şi reglementarea unor măsuri financiar-fiscale cu modificările şi completările ulterioare.</w:t>
      </w:r>
    </w:p>
    <w:p w:rsidR="00743256" w:rsidRPr="00E117B6" w:rsidRDefault="00743256" w:rsidP="00743256">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 xml:space="preserve">Ordonanța Guvernului nr. 129/2000 </w:t>
      </w:r>
      <w:r w:rsidRPr="00E117B6">
        <w:rPr>
          <w:rFonts w:ascii="Trebuchet MS" w:hAnsi="Trebuchet MS"/>
          <w:color w:val="000000" w:themeColor="text1"/>
          <w:sz w:val="22"/>
          <w:szCs w:val="22"/>
          <w:lang w:val="ro-RO"/>
        </w:rPr>
        <w:t>privind formarea profesională a adulților, aprobată cu modificări și completări</w:t>
      </w:r>
      <w:r w:rsidRPr="00E117B6">
        <w:rPr>
          <w:rFonts w:ascii="Trebuchet MS" w:hAnsi="Trebuchet MS"/>
          <w:b/>
          <w:bCs/>
          <w:color w:val="000000" w:themeColor="text1"/>
          <w:sz w:val="22"/>
          <w:szCs w:val="22"/>
          <w:lang w:val="ro-RO"/>
        </w:rPr>
        <w:t xml:space="preserve"> prin Legea nr. 375/2002, Ordonanța Guvernului nr.76/2004, </w:t>
      </w:r>
      <w:r w:rsidRPr="00E117B6">
        <w:rPr>
          <w:rFonts w:ascii="Trebuchet MS" w:hAnsi="Trebuchet MS"/>
          <w:color w:val="000000" w:themeColor="text1"/>
          <w:sz w:val="22"/>
          <w:szCs w:val="22"/>
          <w:lang w:val="ro-RO"/>
        </w:rPr>
        <w:t>cu modificările şi completările ulterioare</w:t>
      </w:r>
      <w:r w:rsidRPr="00E117B6">
        <w:rPr>
          <w:rFonts w:ascii="Trebuchet MS" w:hAnsi="Trebuchet MS"/>
          <w:b/>
          <w:bCs/>
          <w:color w:val="000000" w:themeColor="text1"/>
          <w:sz w:val="22"/>
          <w:szCs w:val="22"/>
          <w:lang w:val="ro-RO"/>
        </w:rPr>
        <w:t>.</w:t>
      </w:r>
    </w:p>
    <w:p w:rsidR="00743256" w:rsidRPr="00E117B6" w:rsidRDefault="00743256" w:rsidP="00743256">
      <w:pPr>
        <w:widowControl w:val="0"/>
        <w:autoSpaceDE w:val="0"/>
        <w:autoSpaceDN w:val="0"/>
        <w:adjustRightInd w:val="0"/>
        <w:jc w:val="both"/>
        <w:rPr>
          <w:rFonts w:ascii="Trebuchet MS" w:hAnsi="Trebuchet MS" w:cs="Trebuchet MS"/>
          <w:b/>
          <w:bCs/>
          <w:color w:val="000000" w:themeColor="text1"/>
          <w:sz w:val="22"/>
          <w:szCs w:val="22"/>
          <w:lang w:val="ro-RO"/>
        </w:rPr>
      </w:pPr>
    </w:p>
    <w:p w:rsidR="00743256" w:rsidRPr="00E117B6" w:rsidRDefault="00743256" w:rsidP="00743256">
      <w:pPr>
        <w:widowControl w:val="0"/>
        <w:overflowPunct w:val="0"/>
        <w:autoSpaceDE w:val="0"/>
        <w:autoSpaceDN w:val="0"/>
        <w:adjustRightInd w:val="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4.Beneficiari direcți/indirecți (grup țintă) </w:t>
      </w:r>
    </w:p>
    <w:p w:rsidR="00743256" w:rsidRPr="00E117B6" w:rsidRDefault="00743256" w:rsidP="00743256">
      <w:pPr>
        <w:numPr>
          <w:ilvl w:val="0"/>
          <w:numId w:val="7"/>
        </w:num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tânărul fermier</w:t>
      </w:r>
      <w:r w:rsidRPr="00E117B6">
        <w:rPr>
          <w:rFonts w:ascii="Trebuchet MS" w:hAnsi="Trebuchet MS"/>
          <w:color w:val="000000" w:themeColor="text1"/>
          <w:sz w:val="22"/>
          <w:szCs w:val="22"/>
          <w:lang w:val="ro-RO"/>
        </w:rPr>
        <w:t xml:space="preserve"> așa cum este definit în art. 2 din R(UE) nr. 1305/2013, care se instalează ca unic șef al exploatației agricole;</w:t>
      </w:r>
    </w:p>
    <w:p w:rsidR="00743256" w:rsidRPr="00E117B6" w:rsidRDefault="00743256" w:rsidP="00743256">
      <w:pPr>
        <w:numPr>
          <w:ilvl w:val="0"/>
          <w:numId w:val="7"/>
        </w:num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persoană juridică cu mai mulți acționari </w:t>
      </w:r>
      <w:r w:rsidRPr="00E117B6">
        <w:rPr>
          <w:rFonts w:ascii="Trebuchet MS" w:hAnsi="Trebuchet MS"/>
          <w:color w:val="000000" w:themeColor="text1"/>
          <w:sz w:val="22"/>
          <w:szCs w:val="22"/>
          <w:lang w:val="ro-RO"/>
        </w:rPr>
        <w:t>unde un tânăr fermier, așa cum este definit în art. 2 din R(UE) nr. 1305/2013 se instalează și exercită un control efectiv pe termen lung în ceea ce privește deciziile referitoare la gestionare, la beneficii și la riscurile financiare legate de exploatație şi deţine cel puţin 50%+1 din acţiuni.</w:t>
      </w:r>
    </w:p>
    <w:p w:rsidR="00743256" w:rsidRPr="00E117B6" w:rsidRDefault="00743256" w:rsidP="00743256">
      <w:pPr>
        <w:pStyle w:val="Default"/>
        <w:jc w:val="both"/>
        <w:rPr>
          <w:rFonts w:ascii="Trebuchet MS" w:hAnsi="Trebuchet MS"/>
          <w:bCs/>
          <w:color w:val="000000" w:themeColor="text1"/>
          <w:sz w:val="22"/>
          <w:szCs w:val="22"/>
          <w:lang w:val="ro-RO"/>
        </w:rPr>
      </w:pPr>
    </w:p>
    <w:p w:rsidR="00743256" w:rsidRPr="00E117B6" w:rsidRDefault="00743256" w:rsidP="00743256">
      <w:pPr>
        <w:tabs>
          <w:tab w:val="left" w:pos="161"/>
        </w:tabs>
        <w:contextualSpacing/>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Beneficiarii indirecți sunt:</w:t>
      </w:r>
    </w:p>
    <w:p w:rsidR="00743256" w:rsidRPr="00E117B6" w:rsidRDefault="00743256" w:rsidP="00743256">
      <w:pPr>
        <w:numPr>
          <w:ilvl w:val="0"/>
          <w:numId w:val="6"/>
        </w:numPr>
        <w:autoSpaceDE w:val="0"/>
        <w:autoSpaceDN w:val="0"/>
        <w:adjustRightInd w:val="0"/>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consumatori din teritoriu și din regiune</w:t>
      </w:r>
    </w:p>
    <w:p w:rsidR="00743256" w:rsidRPr="00E117B6" w:rsidRDefault="00743256" w:rsidP="00743256">
      <w:pPr>
        <w:numPr>
          <w:ilvl w:val="0"/>
          <w:numId w:val="6"/>
        </w:numPr>
        <w:autoSpaceDE w:val="0"/>
        <w:autoSpaceDN w:val="0"/>
        <w:adjustRightInd w:val="0"/>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operatorii economici din microregiune</w:t>
      </w:r>
    </w:p>
    <w:p w:rsidR="00743256" w:rsidRPr="00E117B6" w:rsidRDefault="00743256" w:rsidP="00743256">
      <w:pPr>
        <w:pStyle w:val="Default"/>
        <w:jc w:val="both"/>
        <w:rPr>
          <w:rFonts w:ascii="Trebuchet MS" w:hAnsi="Trebuchet MS"/>
          <w:b/>
          <w:bCs/>
          <w:color w:val="000000" w:themeColor="text1"/>
          <w:sz w:val="22"/>
          <w:szCs w:val="22"/>
          <w:lang w:val="ro-RO"/>
        </w:rPr>
      </w:pP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5.  Tip de sprijin</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Sprijin la instalare: sprijinul va fi acordat sub formă de sumă forfetară pentru implementarea obiectivelor prevăzute în planul de afaceri pentru a facilita tânărului fermier începerea activităților agricole.</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6.  Tipuri de acțiuni eligibile și neeligibile</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p>
    <w:p w:rsidR="00743256" w:rsidRDefault="00743256" w:rsidP="00743256">
      <w:pPr>
        <w:autoSpaceDE w:val="0"/>
        <w:autoSpaceDN w:val="0"/>
        <w:adjustRightInd w:val="0"/>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lastRenderedPageBreak/>
        <w:t>Sprijinul se acordă pentru activităţile prevăzute pentru îndeplinirea obiectivelor din cadrul Planului de Afaceri. Toate cheltuielile propuse prin planul de afaceri şi activităţile relevante pentru implementarea corectă a planului de afaceri aprobat, pot fi eligibile, indiferent de natura acestora.</w:t>
      </w:r>
    </w:p>
    <w:p w:rsidR="00743256" w:rsidRPr="004F5768" w:rsidRDefault="00743256" w:rsidP="00743256">
      <w:pPr>
        <w:autoSpaceDE w:val="0"/>
        <w:autoSpaceDN w:val="0"/>
        <w:adjustRightInd w:val="0"/>
        <w:jc w:val="both"/>
        <w:rPr>
          <w:rFonts w:ascii="Trebuchet MS" w:hAnsi="Trebuchet MS"/>
          <w:bCs/>
          <w:color w:val="000000" w:themeColor="text1"/>
          <w:sz w:val="22"/>
          <w:szCs w:val="22"/>
          <w:lang w:val="ro-RO"/>
        </w:rPr>
      </w:pPr>
      <w:r w:rsidRPr="004F5768">
        <w:rPr>
          <w:rFonts w:ascii="Trebuchet MS" w:hAnsi="Trebuchet MS"/>
          <w:bCs/>
          <w:color w:val="000000" w:themeColor="text1"/>
          <w:sz w:val="22"/>
          <w:szCs w:val="22"/>
          <w:lang w:val="ro-RO"/>
        </w:rPr>
        <w:t>Actiuni neeligibile:</w:t>
      </w:r>
    </w:p>
    <w:p w:rsidR="00743256" w:rsidRPr="004F5768" w:rsidRDefault="00743256" w:rsidP="00743256">
      <w:pPr>
        <w:pStyle w:val="ListParagraph"/>
        <w:numPr>
          <w:ilvl w:val="0"/>
          <w:numId w:val="10"/>
        </w:numPr>
        <w:autoSpaceDE w:val="0"/>
        <w:autoSpaceDN w:val="0"/>
        <w:adjustRightInd w:val="0"/>
        <w:jc w:val="both"/>
        <w:rPr>
          <w:rFonts w:ascii="Trebuchet MS" w:hAnsi="Trebuchet MS"/>
          <w:color w:val="000000" w:themeColor="text1"/>
          <w:sz w:val="22"/>
          <w:szCs w:val="22"/>
          <w:lang w:val="ro-RO"/>
        </w:rPr>
      </w:pPr>
      <w:r w:rsidRPr="004F5768">
        <w:rPr>
          <w:rFonts w:ascii="Trebuchet MS" w:hAnsi="Trebuchet MS"/>
          <w:color w:val="000000" w:themeColor="text1"/>
          <w:sz w:val="22"/>
          <w:szCs w:val="22"/>
          <w:lang w:val="ro-RO"/>
        </w:rPr>
        <w:t>Achizitia de mijloace de productie, utilaje, instrumente sau mijloace de transport second-hand</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7.  Condiții de eligibilitate</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Sprijinul se acordă </w:t>
      </w:r>
      <w:r w:rsidRPr="00E117B6">
        <w:rPr>
          <w:rFonts w:ascii="Trebuchet MS" w:hAnsi="Trebuchet MS"/>
          <w:color w:val="000000" w:themeColor="text1"/>
          <w:sz w:val="22"/>
          <w:szCs w:val="22"/>
          <w:lang w:val="ro-RO"/>
        </w:rPr>
        <w:t>în vederea facilitării stabilirii tînărului fermier în baza Planului de Afaceri (PA). Toate cheltuielile propuse în PA, inclusiv capitalul de lucru şi activităţile relevante pentru implementarea corectă a</w:t>
      </w:r>
      <w:r w:rsidRPr="00E117B6">
        <w:rPr>
          <w:rFonts w:ascii="Trebuchet MS" w:hAnsi="Trebuchet MS"/>
          <w:b/>
          <w:bCs/>
          <w:color w:val="000000" w:themeColor="text1"/>
          <w:sz w:val="22"/>
          <w:szCs w:val="22"/>
          <w:lang w:val="ro-RO"/>
        </w:rPr>
        <w:t xml:space="preserve"> PA aprobat</w:t>
      </w:r>
      <w:r w:rsidRPr="00E117B6">
        <w:rPr>
          <w:rFonts w:ascii="Trebuchet MS" w:hAnsi="Trebuchet MS"/>
          <w:color w:val="000000" w:themeColor="text1"/>
          <w:sz w:val="22"/>
          <w:szCs w:val="22"/>
          <w:lang w:val="ro-RO"/>
        </w:rPr>
        <w:t xml:space="preserve"> pot fi eligibile, indiferent de natura acestora. </w:t>
      </w:r>
    </w:p>
    <w:p w:rsidR="00743256" w:rsidRPr="00E117B6" w:rsidRDefault="00743256" w:rsidP="00743256">
      <w:pPr>
        <w:widowControl w:val="0"/>
        <w:numPr>
          <w:ilvl w:val="0"/>
          <w:numId w:val="3"/>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Solicitantul este persoană juridică legal constituită;</w:t>
      </w:r>
    </w:p>
    <w:p w:rsidR="00743256" w:rsidRPr="00E117B6" w:rsidRDefault="00743256" w:rsidP="00743256">
      <w:pPr>
        <w:numPr>
          <w:ilvl w:val="0"/>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Solicitantul deţine o exploataţie agricolă cu dimensiunea economică cuprinsă între </w:t>
      </w:r>
      <w:r>
        <w:rPr>
          <w:rFonts w:ascii="Trebuchet MS" w:hAnsi="Trebuchet MS"/>
          <w:color w:val="000000" w:themeColor="text1"/>
          <w:sz w:val="22"/>
          <w:szCs w:val="22"/>
          <w:lang w:val="ro-RO"/>
        </w:rPr>
        <w:t>8.000</w:t>
      </w:r>
      <w:r w:rsidRPr="00E117B6">
        <w:rPr>
          <w:rFonts w:ascii="Trebuchet MS" w:hAnsi="Trebuchet MS"/>
          <w:color w:val="000000" w:themeColor="text1"/>
          <w:sz w:val="22"/>
          <w:szCs w:val="22"/>
          <w:lang w:val="ro-RO"/>
        </w:rPr>
        <w:t>şi 49.999 S.O. (valoare producţie standard);</w:t>
      </w:r>
    </w:p>
    <w:p w:rsidR="00743256" w:rsidRPr="00E117B6" w:rsidRDefault="00743256" w:rsidP="00743256">
      <w:pPr>
        <w:numPr>
          <w:ilvl w:val="0"/>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Solicitantul prezintă un plan de afaceri; </w:t>
      </w:r>
    </w:p>
    <w:p w:rsidR="00743256" w:rsidRPr="00E117B6" w:rsidRDefault="00743256" w:rsidP="00743256">
      <w:pPr>
        <w:numPr>
          <w:ilvl w:val="0"/>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Solicitantul deține competențe și aptitudini profesionale, îndeplinind cel puțin una dintre următoarele condiții: </w:t>
      </w:r>
    </w:p>
    <w:p w:rsidR="00743256" w:rsidRPr="00E117B6" w:rsidRDefault="00743256" w:rsidP="00743256">
      <w:pPr>
        <w:numPr>
          <w:ilvl w:val="1"/>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studii medii/superioare în domeniul agricol/veterinar/economie agrară;</w:t>
      </w:r>
    </w:p>
    <w:p w:rsidR="00743256" w:rsidRPr="00E117B6" w:rsidRDefault="00743256" w:rsidP="00743256">
      <w:pPr>
        <w:numPr>
          <w:ilvl w:val="1"/>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cunoștințe în domeniul agricol dobândite prin participarea la programe de instruire, sau</w:t>
      </w:r>
    </w:p>
    <w:p w:rsidR="00743256" w:rsidRPr="00E117B6" w:rsidRDefault="00743256" w:rsidP="00743256">
      <w:pPr>
        <w:numPr>
          <w:ilvl w:val="1"/>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angajamentul de a dobândi competențele profesionale adecvate într-o perioadă de   grație de maximum 36 de luni de la data adoptării deciziei individuale de acordare a ajutorului;</w:t>
      </w:r>
    </w:p>
    <w:p w:rsidR="00743256" w:rsidRPr="00E117B6" w:rsidRDefault="00743256" w:rsidP="00743256">
      <w:pPr>
        <w:widowControl w:val="0"/>
        <w:autoSpaceDE w:val="0"/>
        <w:autoSpaceDN w:val="0"/>
        <w:adjustRightInd w:val="0"/>
        <w:jc w:val="both"/>
        <w:rPr>
          <w:rFonts w:ascii="Trebuchet MS" w:hAnsi="Trebuchet MS" w:cs="Trebuchet MS"/>
          <w:b/>
          <w:bCs/>
          <w:color w:val="000000" w:themeColor="text1"/>
          <w:sz w:val="22"/>
          <w:szCs w:val="22"/>
          <w:lang w:val="ro-RO"/>
        </w:rPr>
      </w:pPr>
    </w:p>
    <w:p w:rsidR="00743256" w:rsidRPr="00E117B6" w:rsidRDefault="00743256" w:rsidP="00743256">
      <w:pPr>
        <w:widowControl w:val="0"/>
        <w:autoSpaceDE w:val="0"/>
        <w:autoSpaceDN w:val="0"/>
        <w:adjustRightInd w:val="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8.  Criterii de selecție</w:t>
      </w:r>
    </w:p>
    <w:p w:rsidR="00743256" w:rsidRPr="00E117B6" w:rsidRDefault="00743256" w:rsidP="00743256">
      <w:pPr>
        <w:numPr>
          <w:ilvl w:val="0"/>
          <w:numId w:val="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Principiul nivelului de calificare în domeniul agricol;</w:t>
      </w:r>
    </w:p>
    <w:p w:rsidR="00743256" w:rsidRPr="00E117B6" w:rsidRDefault="00743256" w:rsidP="00743256">
      <w:pPr>
        <w:numPr>
          <w:ilvl w:val="0"/>
          <w:numId w:val="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Principiul sectorului prioritar: zootehnie, pomicultură și apicultură;</w:t>
      </w:r>
    </w:p>
    <w:p w:rsidR="00743256" w:rsidRPr="00E117B6" w:rsidRDefault="00743256" w:rsidP="00743256">
      <w:pPr>
        <w:numPr>
          <w:ilvl w:val="0"/>
          <w:numId w:val="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Principiul raselor/ soiurilor autohtone.</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Principiile de selecție vor fi detaliate suplimentar în legislația națională subsecventă și vor avea în vedere prevederile art. 49 al R(UE) nr. 1305/2013 urmărind să asigure tratamentul egal al solicitanților, o mai bună utilizare a resurselor financiare și direcționarea acestora în conformitate cu prioritățile Uniunii în materie de dezvoltare rurală.</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9.  Sume (aplicabile) și rata sprijinului</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lang w:val="ro-RO"/>
        </w:rPr>
      </w:pP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Sprijinul public nerambursabil</w:t>
      </w:r>
      <w:r w:rsidRPr="00E117B6">
        <w:rPr>
          <w:rFonts w:ascii="Trebuchet MS" w:hAnsi="Trebuchet MS"/>
          <w:color w:val="000000" w:themeColor="text1"/>
          <w:sz w:val="22"/>
          <w:szCs w:val="22"/>
          <w:lang w:val="ro-RO"/>
        </w:rPr>
        <w:t xml:space="preserve"> se acordă pentru o perioadă de maxim trei/cinci* ani si este de:</w:t>
      </w:r>
    </w:p>
    <w:p w:rsidR="00743256" w:rsidRPr="00E117B6" w:rsidRDefault="00743256" w:rsidP="00743256">
      <w:pPr>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w:t>
      </w:r>
      <w:r w:rsidRPr="00E117B6">
        <w:rPr>
          <w:rFonts w:ascii="Trebuchet MS" w:hAnsi="Trebuchet MS"/>
          <w:b/>
          <w:bCs/>
          <w:color w:val="000000" w:themeColor="text1"/>
          <w:sz w:val="22"/>
          <w:szCs w:val="22"/>
          <w:lang w:val="ro-RO"/>
        </w:rPr>
        <w:tab/>
        <w:t>50.000 de euro pentru exploatațiile între 30.000  SO și 49.999  SO;</w:t>
      </w:r>
    </w:p>
    <w:p w:rsidR="00743256" w:rsidRPr="00E117B6" w:rsidRDefault="00743256" w:rsidP="00743256">
      <w:pPr>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w:t>
      </w:r>
      <w:r w:rsidRPr="00E117B6">
        <w:rPr>
          <w:rFonts w:ascii="Trebuchet MS" w:hAnsi="Trebuchet MS"/>
          <w:b/>
          <w:bCs/>
          <w:color w:val="000000" w:themeColor="text1"/>
          <w:sz w:val="22"/>
          <w:szCs w:val="22"/>
          <w:lang w:val="ro-RO"/>
        </w:rPr>
        <w:tab/>
        <w:t xml:space="preserve">40.000 de euro pentru exploatațiile între </w:t>
      </w:r>
      <w:r>
        <w:rPr>
          <w:rFonts w:ascii="Trebuchet MS" w:hAnsi="Trebuchet MS"/>
          <w:b/>
          <w:bCs/>
          <w:color w:val="000000" w:themeColor="text1"/>
          <w:sz w:val="22"/>
          <w:szCs w:val="22"/>
          <w:lang w:val="ro-RO"/>
        </w:rPr>
        <w:t>8.000</w:t>
      </w:r>
      <w:r w:rsidRPr="00E117B6">
        <w:rPr>
          <w:rFonts w:ascii="Trebuchet MS" w:hAnsi="Trebuchet MS"/>
          <w:b/>
          <w:bCs/>
          <w:color w:val="000000" w:themeColor="text1"/>
          <w:sz w:val="22"/>
          <w:szCs w:val="22"/>
          <w:lang w:val="ro-RO"/>
        </w:rPr>
        <w:t>SO și 29.999 SO.</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Sprijinul pentru instalarea tinerilor fermieri se va acorda sub formă de primă în două tranșe, astfel:</w:t>
      </w:r>
    </w:p>
    <w:p w:rsidR="00743256" w:rsidRPr="00E117B6" w:rsidRDefault="00743256" w:rsidP="00743256">
      <w:pPr>
        <w:numPr>
          <w:ilvl w:val="0"/>
          <w:numId w:val="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75% din cuantumul sprijinului la semnarea deciziei de finanțare;</w:t>
      </w:r>
    </w:p>
    <w:p w:rsidR="00743256" w:rsidRPr="00E117B6" w:rsidRDefault="00743256" w:rsidP="00743256">
      <w:pPr>
        <w:numPr>
          <w:ilvl w:val="0"/>
          <w:numId w:val="5"/>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25% din cuantumul sprijinului se va acorda cu condiția implementării corecte a planului de afaceri, fără a depăși trei/cinci* ani de la semnarea deciziei de finanțare.</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În cazul neimplementării corecte a planului de afaceri, sumele plătite, vor fi recuperate proporțional cu obiectivele nerealizate.</w:t>
      </w:r>
    </w:p>
    <w:p w:rsidR="00743256" w:rsidRPr="00E117B6" w:rsidRDefault="00743256" w:rsidP="00743256">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Implementarea planului de afaceri, inclusiv ultima plată, cât şi verificarea finală nu vor depăşi 5 ani de la decizia de acordare a sprijinului.</w:t>
      </w:r>
    </w:p>
    <w:p w:rsidR="00743256" w:rsidRPr="00E117B6" w:rsidRDefault="00743256" w:rsidP="00743256">
      <w:pPr>
        <w:widowControl w:val="0"/>
        <w:autoSpaceDE w:val="0"/>
        <w:autoSpaceDN w:val="0"/>
        <w:adjustRightInd w:val="0"/>
        <w:jc w:val="both"/>
        <w:rPr>
          <w:rFonts w:ascii="Trebuchet MS" w:hAnsi="Trebuchet MS" w:cs="Trebuchet MS"/>
          <w:b/>
          <w:bCs/>
          <w:color w:val="000000" w:themeColor="text1"/>
          <w:sz w:val="22"/>
          <w:szCs w:val="22"/>
          <w:lang w:val="ro-RO"/>
        </w:rPr>
      </w:pPr>
      <w:r w:rsidRPr="00E117B6">
        <w:rPr>
          <w:rFonts w:ascii="Trebuchet MS" w:hAnsi="Trebuchet MS"/>
          <w:color w:val="000000" w:themeColor="text1"/>
          <w:sz w:val="22"/>
          <w:szCs w:val="22"/>
          <w:lang w:val="ro-RO"/>
        </w:rPr>
        <w:t>*Perioada de cinci ani se aplică doar pentru sectorul pomicol.</w:t>
      </w:r>
    </w:p>
    <w:p w:rsidR="00743256" w:rsidRPr="00E117B6" w:rsidRDefault="00743256" w:rsidP="00743256">
      <w:pPr>
        <w:widowControl w:val="0"/>
        <w:autoSpaceDE w:val="0"/>
        <w:autoSpaceDN w:val="0"/>
        <w:adjustRightInd w:val="0"/>
        <w:jc w:val="both"/>
        <w:rPr>
          <w:rFonts w:ascii="Trebuchet MS" w:hAnsi="Trebuchet MS"/>
          <w:color w:val="000000" w:themeColor="text1"/>
          <w:sz w:val="22"/>
          <w:szCs w:val="22"/>
          <w:u w:val="single"/>
          <w:lang w:val="ro-RO"/>
        </w:rPr>
      </w:pPr>
      <w:r w:rsidRPr="00E117B6">
        <w:rPr>
          <w:rFonts w:ascii="Trebuchet MS" w:hAnsi="Trebuchet MS" w:cs="Trebuchet MS"/>
          <w:b/>
          <w:bCs/>
          <w:color w:val="000000" w:themeColor="text1"/>
          <w:sz w:val="22"/>
          <w:szCs w:val="22"/>
          <w:lang w:val="ro-RO"/>
        </w:rPr>
        <w:t>10</w:t>
      </w:r>
      <w:r w:rsidRPr="00E117B6">
        <w:rPr>
          <w:rFonts w:ascii="Trebuchet MS" w:hAnsi="Trebuchet MS" w:cs="Trebuchet MS"/>
          <w:b/>
          <w:bCs/>
          <w:color w:val="000000" w:themeColor="text1"/>
          <w:sz w:val="22"/>
          <w:szCs w:val="22"/>
          <w:u w:val="single"/>
          <w:lang w:val="ro-RO"/>
        </w:rPr>
        <w:t>. Indicatori de monitorizare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3932"/>
        <w:gridCol w:w="2905"/>
      </w:tblGrid>
      <w:tr w:rsidR="00743256" w:rsidRPr="00E117B6" w:rsidTr="0019602F">
        <w:tc>
          <w:tcPr>
            <w:tcW w:w="2259" w:type="dxa"/>
          </w:tcPr>
          <w:p w:rsidR="00743256" w:rsidRPr="00E117B6" w:rsidRDefault="00743256"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4002" w:type="dxa"/>
          </w:tcPr>
          <w:p w:rsidR="00743256" w:rsidRPr="00E117B6" w:rsidRDefault="00743256"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2981" w:type="dxa"/>
          </w:tcPr>
          <w:p w:rsidR="00743256" w:rsidRPr="00E117B6" w:rsidRDefault="00743256"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743256" w:rsidRPr="00E117B6" w:rsidTr="0019602F">
        <w:tc>
          <w:tcPr>
            <w:tcW w:w="2259" w:type="dxa"/>
          </w:tcPr>
          <w:p w:rsidR="00743256" w:rsidRPr="00E117B6" w:rsidRDefault="00743256"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4002" w:type="dxa"/>
          </w:tcPr>
          <w:p w:rsidR="00743256" w:rsidRPr="00E117B6" w:rsidRDefault="00743256"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2981" w:type="dxa"/>
          </w:tcPr>
          <w:p w:rsidR="00743256" w:rsidRPr="00E117B6" w:rsidRDefault="00743256"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8*</w:t>
            </w:r>
          </w:p>
        </w:tc>
      </w:tr>
      <w:tr w:rsidR="00743256" w:rsidRPr="00E117B6" w:rsidTr="0019602F">
        <w:tc>
          <w:tcPr>
            <w:tcW w:w="2259" w:type="dxa"/>
          </w:tcPr>
          <w:p w:rsidR="00743256" w:rsidRPr="00E117B6" w:rsidRDefault="00743256"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4002" w:type="dxa"/>
          </w:tcPr>
          <w:p w:rsidR="00743256" w:rsidRPr="00E117B6" w:rsidRDefault="00743256"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Cheltuieli publice totale</w:t>
            </w:r>
          </w:p>
        </w:tc>
        <w:tc>
          <w:tcPr>
            <w:tcW w:w="2981" w:type="dxa"/>
          </w:tcPr>
          <w:p w:rsidR="00743256" w:rsidRDefault="00743256" w:rsidP="0019602F">
            <w:pPr>
              <w:jc w:val="both"/>
              <w:rPr>
                <w:rFonts w:ascii="Trebuchet MS" w:hAnsi="Trebuchet MS"/>
                <w:color w:val="000000" w:themeColor="text1"/>
                <w:sz w:val="22"/>
                <w:szCs w:val="22"/>
                <w:lang w:val="ro-RO"/>
              </w:rPr>
            </w:pPr>
          </w:p>
          <w:p w:rsidR="00743256" w:rsidRPr="00E117B6" w:rsidRDefault="00743256" w:rsidP="0019602F">
            <w:pPr>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400.000 Euro</w:t>
            </w:r>
          </w:p>
        </w:tc>
      </w:tr>
      <w:tr w:rsidR="00743256" w:rsidRPr="00E117B6" w:rsidTr="0019602F">
        <w:tc>
          <w:tcPr>
            <w:tcW w:w="2259" w:type="dxa"/>
          </w:tcPr>
          <w:p w:rsidR="00743256" w:rsidRPr="00E117B6" w:rsidRDefault="00743256"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2A</w:t>
            </w:r>
          </w:p>
        </w:tc>
        <w:tc>
          <w:tcPr>
            <w:tcW w:w="4002" w:type="dxa"/>
          </w:tcPr>
          <w:p w:rsidR="00743256" w:rsidRPr="00E117B6" w:rsidRDefault="00743256"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de exploatații agricole/beneficiari sprijiniți</w:t>
            </w:r>
          </w:p>
        </w:tc>
        <w:tc>
          <w:tcPr>
            <w:tcW w:w="2981" w:type="dxa"/>
          </w:tcPr>
          <w:p w:rsidR="00743256" w:rsidRPr="00E117B6" w:rsidRDefault="00743256"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8</w:t>
            </w:r>
          </w:p>
        </w:tc>
      </w:tr>
    </w:tbl>
    <w:p w:rsidR="00743256" w:rsidRPr="00E117B6" w:rsidRDefault="00743256" w:rsidP="00743256">
      <w:pPr>
        <w:widowControl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 locurile de muncă sunt reprezentate cel puțin de constituirea de II</w:t>
      </w:r>
      <w:r>
        <w:rPr>
          <w:rFonts w:ascii="Trebuchet MS" w:hAnsi="Trebuchet MS" w:cs="Trebuchet MS"/>
          <w:color w:val="000000" w:themeColor="text1"/>
          <w:sz w:val="22"/>
          <w:szCs w:val="22"/>
          <w:lang w:val="ro-RO"/>
        </w:rPr>
        <w:t>,PFA,IF</w:t>
      </w:r>
      <w:r w:rsidRPr="00E117B6">
        <w:rPr>
          <w:rFonts w:ascii="Trebuchet MS" w:hAnsi="Trebuchet MS" w:cs="Trebuchet MS"/>
          <w:color w:val="000000" w:themeColor="text1"/>
          <w:sz w:val="22"/>
          <w:szCs w:val="22"/>
          <w:lang w:val="ro-RO"/>
        </w:rPr>
        <w:t xml:space="preserve"> în vederea asigurării eligibilității depunerii cererii de finanțare pe măsura M2.2</w:t>
      </w:r>
    </w:p>
    <w:p w:rsidR="000E593C" w:rsidRDefault="000E593C"/>
    <w:sectPr w:rsidR="000E5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400A4"/>
    <w:multiLevelType w:val="hybridMultilevel"/>
    <w:tmpl w:val="A2C60E32"/>
    <w:lvl w:ilvl="0" w:tplc="96BAFEC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25"/>
    <w:multiLevelType w:val="hybridMultilevel"/>
    <w:tmpl w:val="98D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16337"/>
    <w:multiLevelType w:val="hybridMultilevel"/>
    <w:tmpl w:val="F130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96EBA"/>
    <w:multiLevelType w:val="hybridMultilevel"/>
    <w:tmpl w:val="C85A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E5622"/>
    <w:multiLevelType w:val="hybridMultilevel"/>
    <w:tmpl w:val="6038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44C03"/>
    <w:multiLevelType w:val="hybridMultilevel"/>
    <w:tmpl w:val="C5D0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86279E"/>
    <w:multiLevelType w:val="hybridMultilevel"/>
    <w:tmpl w:val="3428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305E1"/>
    <w:multiLevelType w:val="hybridMultilevel"/>
    <w:tmpl w:val="722305E1"/>
    <w:lvl w:ilvl="0" w:tplc="B96A86BC">
      <w:start w:val="1"/>
      <w:numFmt w:val="bullet"/>
      <w:lvlText w:val=""/>
      <w:lvlJc w:val="left"/>
      <w:pPr>
        <w:ind w:left="720" w:hanging="360"/>
      </w:pPr>
      <w:rPr>
        <w:rFonts w:ascii="Symbol" w:hAnsi="Symbol"/>
      </w:rPr>
    </w:lvl>
    <w:lvl w:ilvl="1" w:tplc="61206A62">
      <w:start w:val="1"/>
      <w:numFmt w:val="bullet"/>
      <w:lvlText w:val="o"/>
      <w:lvlJc w:val="left"/>
      <w:pPr>
        <w:tabs>
          <w:tab w:val="num" w:pos="1440"/>
        </w:tabs>
        <w:ind w:left="1440" w:hanging="360"/>
      </w:pPr>
      <w:rPr>
        <w:rFonts w:ascii="Courier New" w:hAnsi="Courier New"/>
      </w:rPr>
    </w:lvl>
    <w:lvl w:ilvl="2" w:tplc="A4C6DFAC">
      <w:start w:val="1"/>
      <w:numFmt w:val="bullet"/>
      <w:lvlText w:val=""/>
      <w:lvlJc w:val="left"/>
      <w:pPr>
        <w:tabs>
          <w:tab w:val="num" w:pos="2160"/>
        </w:tabs>
        <w:ind w:left="2160" w:hanging="360"/>
      </w:pPr>
      <w:rPr>
        <w:rFonts w:ascii="Wingdings" w:hAnsi="Wingdings"/>
      </w:rPr>
    </w:lvl>
    <w:lvl w:ilvl="3" w:tplc="864A6838">
      <w:start w:val="1"/>
      <w:numFmt w:val="bullet"/>
      <w:lvlText w:val=""/>
      <w:lvlJc w:val="left"/>
      <w:pPr>
        <w:tabs>
          <w:tab w:val="num" w:pos="2880"/>
        </w:tabs>
        <w:ind w:left="2880" w:hanging="360"/>
      </w:pPr>
      <w:rPr>
        <w:rFonts w:ascii="Symbol" w:hAnsi="Symbol"/>
      </w:rPr>
    </w:lvl>
    <w:lvl w:ilvl="4" w:tplc="A8F69AD0">
      <w:start w:val="1"/>
      <w:numFmt w:val="bullet"/>
      <w:lvlText w:val="o"/>
      <w:lvlJc w:val="left"/>
      <w:pPr>
        <w:tabs>
          <w:tab w:val="num" w:pos="3600"/>
        </w:tabs>
        <w:ind w:left="3600" w:hanging="360"/>
      </w:pPr>
      <w:rPr>
        <w:rFonts w:ascii="Courier New" w:hAnsi="Courier New"/>
      </w:rPr>
    </w:lvl>
    <w:lvl w:ilvl="5" w:tplc="A3661D60">
      <w:start w:val="1"/>
      <w:numFmt w:val="bullet"/>
      <w:lvlText w:val=""/>
      <w:lvlJc w:val="left"/>
      <w:pPr>
        <w:tabs>
          <w:tab w:val="num" w:pos="4320"/>
        </w:tabs>
        <w:ind w:left="4320" w:hanging="360"/>
      </w:pPr>
      <w:rPr>
        <w:rFonts w:ascii="Wingdings" w:hAnsi="Wingdings"/>
      </w:rPr>
    </w:lvl>
    <w:lvl w:ilvl="6" w:tplc="546E6638">
      <w:start w:val="1"/>
      <w:numFmt w:val="bullet"/>
      <w:lvlText w:val=""/>
      <w:lvlJc w:val="left"/>
      <w:pPr>
        <w:tabs>
          <w:tab w:val="num" w:pos="5040"/>
        </w:tabs>
        <w:ind w:left="5040" w:hanging="360"/>
      </w:pPr>
      <w:rPr>
        <w:rFonts w:ascii="Symbol" w:hAnsi="Symbol"/>
      </w:rPr>
    </w:lvl>
    <w:lvl w:ilvl="7" w:tplc="DC5C4480">
      <w:start w:val="1"/>
      <w:numFmt w:val="bullet"/>
      <w:lvlText w:val="o"/>
      <w:lvlJc w:val="left"/>
      <w:pPr>
        <w:tabs>
          <w:tab w:val="num" w:pos="5760"/>
        </w:tabs>
        <w:ind w:left="5760" w:hanging="360"/>
      </w:pPr>
      <w:rPr>
        <w:rFonts w:ascii="Courier New" w:hAnsi="Courier New"/>
      </w:rPr>
    </w:lvl>
    <w:lvl w:ilvl="8" w:tplc="51F0BDC6">
      <w:start w:val="1"/>
      <w:numFmt w:val="bullet"/>
      <w:lvlText w:val=""/>
      <w:lvlJc w:val="left"/>
      <w:pPr>
        <w:tabs>
          <w:tab w:val="num" w:pos="6480"/>
        </w:tabs>
        <w:ind w:left="6480" w:hanging="360"/>
      </w:pPr>
      <w:rPr>
        <w:rFonts w:ascii="Wingdings" w:hAnsi="Wingdings"/>
      </w:rPr>
    </w:lvl>
  </w:abstractNum>
  <w:abstractNum w:abstractNumId="8" w15:restartNumberingAfterBreak="0">
    <w:nsid w:val="722305E3"/>
    <w:multiLevelType w:val="hybridMultilevel"/>
    <w:tmpl w:val="E00E3B0C"/>
    <w:lvl w:ilvl="0" w:tplc="96BAFECA">
      <w:start w:val="1"/>
      <w:numFmt w:val="bullet"/>
      <w:lvlText w:val=""/>
      <w:lvlJc w:val="left"/>
      <w:pPr>
        <w:ind w:left="720" w:hanging="360"/>
      </w:pPr>
      <w:rPr>
        <w:rFonts w:ascii="Symbol" w:hAnsi="Symbol"/>
      </w:rPr>
    </w:lvl>
    <w:lvl w:ilvl="1" w:tplc="58CC1D34">
      <w:start w:val="1"/>
      <w:numFmt w:val="bullet"/>
      <w:lvlText w:val="o"/>
      <w:lvlJc w:val="left"/>
      <w:pPr>
        <w:ind w:left="1440" w:hanging="360"/>
      </w:pPr>
      <w:rPr>
        <w:rFonts w:ascii="Courier New" w:hAnsi="Courier New"/>
      </w:rPr>
    </w:lvl>
    <w:lvl w:ilvl="2" w:tplc="BF387B80">
      <w:start w:val="1"/>
      <w:numFmt w:val="bullet"/>
      <w:lvlText w:val=""/>
      <w:lvlJc w:val="left"/>
      <w:pPr>
        <w:tabs>
          <w:tab w:val="num" w:pos="2160"/>
        </w:tabs>
        <w:ind w:left="2160" w:hanging="360"/>
      </w:pPr>
      <w:rPr>
        <w:rFonts w:ascii="Wingdings" w:hAnsi="Wingdings"/>
      </w:rPr>
    </w:lvl>
    <w:lvl w:ilvl="3" w:tplc="5C2EB0AC">
      <w:start w:val="1"/>
      <w:numFmt w:val="bullet"/>
      <w:lvlText w:val=""/>
      <w:lvlJc w:val="left"/>
      <w:pPr>
        <w:tabs>
          <w:tab w:val="num" w:pos="2880"/>
        </w:tabs>
        <w:ind w:left="2880" w:hanging="360"/>
      </w:pPr>
      <w:rPr>
        <w:rFonts w:ascii="Symbol" w:hAnsi="Symbol"/>
      </w:rPr>
    </w:lvl>
    <w:lvl w:ilvl="4" w:tplc="504A9586">
      <w:start w:val="1"/>
      <w:numFmt w:val="bullet"/>
      <w:lvlText w:val="o"/>
      <w:lvlJc w:val="left"/>
      <w:pPr>
        <w:tabs>
          <w:tab w:val="num" w:pos="3600"/>
        </w:tabs>
        <w:ind w:left="3600" w:hanging="360"/>
      </w:pPr>
      <w:rPr>
        <w:rFonts w:ascii="Courier New" w:hAnsi="Courier New"/>
      </w:rPr>
    </w:lvl>
    <w:lvl w:ilvl="5" w:tplc="BD62C82A">
      <w:start w:val="1"/>
      <w:numFmt w:val="bullet"/>
      <w:lvlText w:val=""/>
      <w:lvlJc w:val="left"/>
      <w:pPr>
        <w:tabs>
          <w:tab w:val="num" w:pos="4320"/>
        </w:tabs>
        <w:ind w:left="4320" w:hanging="360"/>
      </w:pPr>
      <w:rPr>
        <w:rFonts w:ascii="Wingdings" w:hAnsi="Wingdings"/>
      </w:rPr>
    </w:lvl>
    <w:lvl w:ilvl="6" w:tplc="7040CFA0">
      <w:start w:val="1"/>
      <w:numFmt w:val="bullet"/>
      <w:lvlText w:val=""/>
      <w:lvlJc w:val="left"/>
      <w:pPr>
        <w:tabs>
          <w:tab w:val="num" w:pos="5040"/>
        </w:tabs>
        <w:ind w:left="5040" w:hanging="360"/>
      </w:pPr>
      <w:rPr>
        <w:rFonts w:ascii="Symbol" w:hAnsi="Symbol"/>
      </w:rPr>
    </w:lvl>
    <w:lvl w:ilvl="7" w:tplc="D2E2B5FE">
      <w:start w:val="1"/>
      <w:numFmt w:val="bullet"/>
      <w:lvlText w:val="o"/>
      <w:lvlJc w:val="left"/>
      <w:pPr>
        <w:tabs>
          <w:tab w:val="num" w:pos="5760"/>
        </w:tabs>
        <w:ind w:left="5760" w:hanging="360"/>
      </w:pPr>
      <w:rPr>
        <w:rFonts w:ascii="Courier New" w:hAnsi="Courier New"/>
      </w:rPr>
    </w:lvl>
    <w:lvl w:ilvl="8" w:tplc="47A84D62">
      <w:start w:val="1"/>
      <w:numFmt w:val="bullet"/>
      <w:lvlText w:val=""/>
      <w:lvlJc w:val="left"/>
      <w:pPr>
        <w:tabs>
          <w:tab w:val="num" w:pos="6480"/>
        </w:tabs>
        <w:ind w:left="6480" w:hanging="360"/>
      </w:pPr>
      <w:rPr>
        <w:rFonts w:ascii="Wingdings" w:hAnsi="Wingdings"/>
      </w:rPr>
    </w:lvl>
  </w:abstractNum>
  <w:abstractNum w:abstractNumId="9" w15:restartNumberingAfterBreak="0">
    <w:nsid w:val="760329DC"/>
    <w:multiLevelType w:val="hybridMultilevel"/>
    <w:tmpl w:val="3CF2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5"/>
  </w:num>
  <w:num w:numId="5">
    <w:abstractNumId w:val="9"/>
  </w:num>
  <w:num w:numId="6">
    <w:abstractNumId w:val="2"/>
  </w:num>
  <w:num w:numId="7">
    <w:abstractNumId w:val="6"/>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E8"/>
    <w:rsid w:val="000E593C"/>
    <w:rsid w:val="00743256"/>
    <w:rsid w:val="00FD0BE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5E40"/>
  <w15:chartTrackingRefBased/>
  <w15:docId w15:val="{D33C7289-AF1C-4CAE-B0F4-05E776C8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256"/>
    <w:pPr>
      <w:spacing w:after="0" w:line="276" w:lineRule="auto"/>
      <w:jc w:val="center"/>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256"/>
    <w:pPr>
      <w:ind w:left="720"/>
      <w:contextualSpacing/>
    </w:pPr>
  </w:style>
  <w:style w:type="paragraph" w:customStyle="1" w:styleId="Default">
    <w:name w:val="Default"/>
    <w:rsid w:val="00743256"/>
    <w:pPr>
      <w:widowControl w:val="0"/>
      <w:autoSpaceDE w:val="0"/>
      <w:autoSpaceDN w:val="0"/>
      <w:adjustRightInd w:val="0"/>
      <w:spacing w:after="0" w:line="276" w:lineRule="auto"/>
      <w:jc w:val="center"/>
    </w:pPr>
    <w:rPr>
      <w:rFonts w:ascii="Tahoma"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1696</Words>
  <Characters>9837</Characters>
  <Application>Microsoft Office Word</Application>
  <DocSecurity>0</DocSecurity>
  <Lines>81</Lines>
  <Paragraphs>23</Paragraphs>
  <ScaleCrop>false</ScaleCrop>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dc:creator>
  <cp:keywords/>
  <dc:description/>
  <cp:lastModifiedBy>Bil</cp:lastModifiedBy>
  <cp:revision>2</cp:revision>
  <dcterms:created xsi:type="dcterms:W3CDTF">2018-02-04T12:04:00Z</dcterms:created>
  <dcterms:modified xsi:type="dcterms:W3CDTF">2018-02-04T12:05:00Z</dcterms:modified>
</cp:coreProperties>
</file>