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75D" w:rsidRPr="00692B67" w:rsidRDefault="00B7275D" w:rsidP="00B7275D">
      <w:pPr>
        <w:jc w:val="both"/>
        <w:rPr>
          <w:rFonts w:ascii="Trebuchet MS" w:hAnsi="Trebuchet MS"/>
          <w:b/>
          <w:color w:val="000000" w:themeColor="text1"/>
          <w:sz w:val="22"/>
          <w:szCs w:val="22"/>
          <w:lang w:val="ro-RO"/>
        </w:rPr>
      </w:pPr>
      <w:r w:rsidRPr="00E117B6">
        <w:rPr>
          <w:rFonts w:ascii="Trebuchet MS" w:hAnsi="Trebuchet MS" w:cs="Calibri"/>
          <w:b/>
          <w:color w:val="000000" w:themeColor="text1"/>
          <w:sz w:val="22"/>
          <w:szCs w:val="22"/>
          <w:lang w:val="ro-RO"/>
        </w:rPr>
        <w:t xml:space="preserve">Denumirea măsurii </w:t>
      </w:r>
      <w:r w:rsidRPr="00E117B6">
        <w:rPr>
          <w:rFonts w:ascii="Trebuchet MS" w:hAnsi="Trebuchet MS"/>
          <w:b/>
          <w:color w:val="000000" w:themeColor="text1"/>
          <w:sz w:val="22"/>
          <w:szCs w:val="22"/>
          <w:lang w:val="ro-RO"/>
        </w:rPr>
        <w:t xml:space="preserve">– </w:t>
      </w:r>
      <w:r w:rsidRPr="00E117B6">
        <w:rPr>
          <w:rFonts w:ascii="Trebuchet MS" w:hAnsi="Trebuchet MS"/>
          <w:color w:val="000000" w:themeColor="text1"/>
          <w:sz w:val="22"/>
          <w:szCs w:val="22"/>
          <w:lang w:val="ro-RO"/>
        </w:rPr>
        <w:t>Acțiuni de integrare a minorităților etnice (inclusiv minoritatea romă)</w:t>
      </w:r>
    </w:p>
    <w:p w:rsidR="00B7275D" w:rsidRPr="00E117B6" w:rsidRDefault="00B7275D" w:rsidP="00B7275D">
      <w:pPr>
        <w:pStyle w:val="Default"/>
        <w:tabs>
          <w:tab w:val="center" w:pos="4510"/>
        </w:tabs>
        <w:jc w:val="both"/>
        <w:rPr>
          <w:rFonts w:ascii="Trebuchet MS" w:hAnsi="Trebuchet MS"/>
          <w:b/>
          <w:color w:val="000000" w:themeColor="text1"/>
          <w:sz w:val="22"/>
          <w:szCs w:val="22"/>
          <w:lang w:val="ro-RO"/>
        </w:rPr>
      </w:pPr>
      <w:r w:rsidRPr="00E117B6">
        <w:rPr>
          <w:rFonts w:ascii="Trebuchet MS" w:hAnsi="Trebuchet MS" w:cs="Calibri"/>
          <w:b/>
          <w:color w:val="000000" w:themeColor="text1"/>
          <w:sz w:val="22"/>
          <w:szCs w:val="22"/>
          <w:lang w:val="ro-RO"/>
        </w:rPr>
        <w:t>CODUL Măsurii – Măsura M6.5 / 6B</w:t>
      </w:r>
    </w:p>
    <w:p w:rsidR="00B7275D" w:rsidRPr="00E117B6" w:rsidRDefault="00B7275D" w:rsidP="00B7275D">
      <w:pPr>
        <w:pStyle w:val="Default"/>
        <w:jc w:val="both"/>
        <w:rPr>
          <w:rFonts w:ascii="Trebuchet MS" w:hAnsi="Trebuchet MS" w:cs="Calibri"/>
          <w:color w:val="000000" w:themeColor="text1"/>
          <w:sz w:val="22"/>
          <w:szCs w:val="22"/>
          <w:lang w:val="ro-RO"/>
        </w:rPr>
      </w:pPr>
    </w:p>
    <w:p w:rsidR="00B7275D" w:rsidRPr="00E117B6" w:rsidRDefault="00B7275D" w:rsidP="00B7275D">
      <w:pPr>
        <w:pStyle w:val="Default"/>
        <w:jc w:val="both"/>
        <w:rPr>
          <w:rFonts w:ascii="Trebuchet MS" w:hAnsi="Trebuchet MS" w:cs="Calibri"/>
          <w:color w:val="000000" w:themeColor="text1"/>
          <w:sz w:val="22"/>
          <w:szCs w:val="22"/>
          <w:lang w:val="ro-RO"/>
        </w:rPr>
      </w:pPr>
    </w:p>
    <w:p w:rsidR="00B7275D" w:rsidRPr="00E117B6" w:rsidRDefault="00B7275D" w:rsidP="00B7275D">
      <w:pPr>
        <w:widowControl w:val="0"/>
        <w:autoSpaceDE w:val="0"/>
        <w:autoSpaceDN w:val="0"/>
        <w:adjustRightInd w:val="0"/>
        <w:jc w:val="both"/>
        <w:rPr>
          <w:rFonts w:ascii="Trebuchet MS" w:hAnsi="Trebuchet MS" w:cs="Trebuchet MS"/>
          <w:b/>
          <w:bCs/>
          <w:color w:val="000000" w:themeColor="text1"/>
          <w:sz w:val="22"/>
          <w:szCs w:val="22"/>
          <w:lang w:val="ro-RO"/>
        </w:rPr>
      </w:pPr>
      <w:r w:rsidRPr="00E117B6">
        <w:rPr>
          <w:rFonts w:ascii="Trebuchet MS" w:hAnsi="Trebuchet MS" w:cs="Calibri"/>
          <w:b/>
          <w:color w:val="000000" w:themeColor="text1"/>
          <w:sz w:val="22"/>
          <w:szCs w:val="22"/>
          <w:lang w:val="ro-RO"/>
        </w:rPr>
        <w:t>Tipul măsurii:</w:t>
      </w:r>
      <w:r w:rsidRPr="00E117B6">
        <w:rPr>
          <w:rFonts w:ascii="Trebuchet MS" w:hAnsi="Trebuchet MS" w:cs="Trebuchet MS"/>
          <w:b/>
          <w:bCs/>
          <w:color w:val="000000" w:themeColor="text1"/>
          <w:sz w:val="22"/>
          <w:szCs w:val="22"/>
          <w:lang w:val="ro-RO"/>
        </w:rPr>
        <w:t xml:space="preserve"> </w:t>
      </w:r>
      <w:r w:rsidRPr="00E117B6">
        <w:rPr>
          <w:rFonts w:ascii="Trebuchet MS" w:hAnsi="Trebuchet MS" w:cs="Trebuchet MS"/>
          <w:b/>
          <w:bCs/>
          <w:color w:val="000000" w:themeColor="text1"/>
          <w:sz w:val="22"/>
          <w:szCs w:val="22"/>
          <w:lang w:val="ro-RO"/>
        </w:rPr>
        <w:tab/>
      </w:r>
    </w:p>
    <w:p w:rsidR="00B7275D" w:rsidRPr="00E117B6" w:rsidRDefault="00B7275D" w:rsidP="00B7275D">
      <w:pPr>
        <w:widowControl w:val="0"/>
        <w:overflowPunct w:val="0"/>
        <w:autoSpaceDE w:val="0"/>
        <w:autoSpaceDN w:val="0"/>
        <w:adjustRightInd w:val="0"/>
        <w:ind w:left="1416" w:firstLine="708"/>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sym w:font="Wingdings" w:char="F06F"/>
      </w:r>
      <w:r w:rsidRPr="00E117B6">
        <w:rPr>
          <w:rFonts w:ascii="Trebuchet MS" w:hAnsi="Trebuchet MS" w:cs="Trebuchet MS"/>
          <w:b/>
          <w:bCs/>
          <w:color w:val="000000" w:themeColor="text1"/>
          <w:sz w:val="22"/>
          <w:szCs w:val="22"/>
          <w:lang w:val="ro-RO"/>
        </w:rPr>
        <w:t xml:space="preserve"> INVESTIȚII</w:t>
      </w:r>
    </w:p>
    <w:p w:rsidR="00B7275D" w:rsidRPr="00E117B6" w:rsidRDefault="00B7275D" w:rsidP="00B7275D">
      <w:pPr>
        <w:widowControl w:val="0"/>
        <w:overflowPunct w:val="0"/>
        <w:autoSpaceDE w:val="0"/>
        <w:autoSpaceDN w:val="0"/>
        <w:adjustRightInd w:val="0"/>
        <w:ind w:left="1416" w:firstLine="708"/>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sym w:font="Wingdings" w:char="F078"/>
      </w:r>
      <w:r w:rsidRPr="00E117B6">
        <w:rPr>
          <w:rFonts w:ascii="Trebuchet MS" w:hAnsi="Trebuchet MS" w:cs="Trebuchet MS"/>
          <w:b/>
          <w:bCs/>
          <w:color w:val="000000" w:themeColor="text1"/>
          <w:sz w:val="22"/>
          <w:szCs w:val="22"/>
          <w:lang w:val="ro-RO"/>
        </w:rPr>
        <w:t xml:space="preserve"> SERVICII </w:t>
      </w:r>
    </w:p>
    <w:p w:rsidR="00B7275D" w:rsidRPr="00E117B6" w:rsidRDefault="00B7275D" w:rsidP="00B7275D">
      <w:pPr>
        <w:widowControl w:val="0"/>
        <w:overflowPunct w:val="0"/>
        <w:autoSpaceDE w:val="0"/>
        <w:autoSpaceDN w:val="0"/>
        <w:adjustRightInd w:val="0"/>
        <w:ind w:left="2124"/>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sym w:font="Wingdings" w:char="F06F"/>
      </w:r>
      <w:r w:rsidRPr="00E117B6">
        <w:rPr>
          <w:rFonts w:ascii="Trebuchet MS" w:hAnsi="Trebuchet MS" w:cs="Trebuchet MS"/>
          <w:b/>
          <w:bCs/>
          <w:color w:val="000000" w:themeColor="text1"/>
          <w:sz w:val="22"/>
          <w:szCs w:val="22"/>
          <w:lang w:val="ro-RO"/>
        </w:rPr>
        <w:t xml:space="preserve"> SPRIJIN FORFETAR </w:t>
      </w:r>
    </w:p>
    <w:p w:rsidR="00B7275D" w:rsidRPr="00E117B6" w:rsidRDefault="00B7275D" w:rsidP="00B7275D">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1.Descrierea generală a măsurii</w:t>
      </w:r>
    </w:p>
    <w:p w:rsidR="00B7275D" w:rsidRPr="00E117B6" w:rsidRDefault="00B7275D" w:rsidP="00B7275D">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Obiectivul de dezvoltare rurală al Reg(UE) 1305/2013</w:t>
      </w:r>
    </w:p>
    <w:p w:rsidR="00B7275D" w:rsidRPr="00E117B6" w:rsidRDefault="00B7275D" w:rsidP="00B7275D">
      <w:pPr>
        <w:pStyle w:val="Default"/>
        <w:jc w:val="both"/>
        <w:rPr>
          <w:rFonts w:ascii="Trebuchet MS" w:hAnsi="Trebuchet MS"/>
          <w:b/>
          <w:color w:val="000000" w:themeColor="text1"/>
          <w:sz w:val="22"/>
          <w:szCs w:val="22"/>
          <w:lang w:val="ro-RO"/>
        </w:rPr>
      </w:pPr>
      <w:r w:rsidRPr="00E117B6">
        <w:rPr>
          <w:rFonts w:ascii="Trebuchet MS" w:hAnsi="Trebuchet MS"/>
          <w:color w:val="000000" w:themeColor="text1"/>
          <w:sz w:val="22"/>
          <w:szCs w:val="22"/>
          <w:lang w:val="ro-RO"/>
        </w:rPr>
        <w:t>Obiectivul de dezvoltare rurală este îmbunătățirea integrării grupurilor și minorităților etnice în viața societății.</w:t>
      </w:r>
      <w:r w:rsidRPr="00E117B6">
        <w:rPr>
          <w:rFonts w:ascii="Trebuchet MS" w:hAnsi="Trebuchet MS"/>
          <w:b/>
          <w:color w:val="000000" w:themeColor="text1"/>
          <w:sz w:val="22"/>
          <w:szCs w:val="22"/>
          <w:lang w:val="ro-RO"/>
        </w:rPr>
        <w:t>Obiectivul specific local al măsurii</w:t>
      </w:r>
    </w:p>
    <w:p w:rsidR="00B7275D" w:rsidRPr="00E117B6" w:rsidRDefault="00B7275D" w:rsidP="00B7275D">
      <w:pPr>
        <w:pStyle w:val="ListParagraph"/>
        <w:numPr>
          <w:ilvl w:val="0"/>
          <w:numId w:val="2"/>
        </w:numPr>
        <w:tabs>
          <w:tab w:val="left" w:pos="231"/>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asigurarea cadrului de manifestare a tradițiilor și elementelor specifice minorităților etnice, în special a etniei rome;</w:t>
      </w:r>
    </w:p>
    <w:p w:rsidR="00B7275D" w:rsidRPr="00E117B6" w:rsidRDefault="00B7275D" w:rsidP="00B7275D">
      <w:pPr>
        <w:pStyle w:val="ListParagraph"/>
        <w:numPr>
          <w:ilvl w:val="0"/>
          <w:numId w:val="2"/>
        </w:numPr>
        <w:tabs>
          <w:tab w:val="left" w:pos="231"/>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Asigurarea accesului la infrastructura necesară exprimării și manifestării specifice;</w:t>
      </w:r>
    </w:p>
    <w:p w:rsidR="00B7275D" w:rsidRPr="00E117B6" w:rsidRDefault="00B7275D" w:rsidP="00B7275D">
      <w:pPr>
        <w:pStyle w:val="Default"/>
        <w:widowControl/>
        <w:numPr>
          <w:ilvl w:val="0"/>
          <w:numId w:val="2"/>
        </w:numPr>
        <w:jc w:val="both"/>
        <w:rPr>
          <w:rFonts w:ascii="Trebuchet MS" w:hAnsi="Trebuchet MS" w:cs="Calibri"/>
          <w:color w:val="000000" w:themeColor="text1"/>
          <w:sz w:val="22"/>
          <w:szCs w:val="22"/>
          <w:lang w:val="ro-RO"/>
        </w:rPr>
      </w:pPr>
      <w:r w:rsidRPr="00E117B6">
        <w:rPr>
          <w:rFonts w:ascii="Trebuchet MS" w:hAnsi="Trebuchet MS"/>
          <w:color w:val="000000" w:themeColor="text1"/>
          <w:sz w:val="22"/>
          <w:szCs w:val="22"/>
          <w:lang w:val="ro-RO"/>
        </w:rPr>
        <w:t>sprijinirea promovării vizibilității grupurilor minorităților etnice și a realizărilor acestora</w:t>
      </w:r>
      <w:r w:rsidRPr="00E117B6">
        <w:rPr>
          <w:rFonts w:ascii="Trebuchet MS" w:hAnsi="Trebuchet MS" w:cs="Calibri"/>
          <w:color w:val="000000" w:themeColor="text1"/>
          <w:sz w:val="22"/>
          <w:szCs w:val="22"/>
          <w:lang w:val="ro-RO"/>
        </w:rPr>
        <w:t>.</w:t>
      </w:r>
    </w:p>
    <w:p w:rsidR="00B7275D" w:rsidRPr="00E117B6" w:rsidRDefault="00B7275D" w:rsidP="00B7275D">
      <w:pPr>
        <w:jc w:val="both"/>
        <w:rPr>
          <w:rFonts w:ascii="Trebuchet MS" w:hAnsi="Trebuchet MS"/>
          <w:color w:val="000000" w:themeColor="text1"/>
          <w:sz w:val="22"/>
          <w:szCs w:val="22"/>
          <w:lang w:val="ro-RO"/>
        </w:rPr>
      </w:pPr>
    </w:p>
    <w:p w:rsidR="00B7275D" w:rsidRPr="00E117B6" w:rsidRDefault="00B7275D" w:rsidP="00B7275D">
      <w:pPr>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Contribuţie la prioritatea/priorităţile prevăzute la art.5, Reg.(UE) nr.1305/2013</w:t>
      </w:r>
    </w:p>
    <w:p w:rsidR="00B7275D" w:rsidRPr="00E117B6" w:rsidRDefault="00B7275D" w:rsidP="00B7275D">
      <w:pPr>
        <w:tabs>
          <w:tab w:val="left" w:pos="231"/>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Măsura contribuie la prioritatea 6. Promovarea incluziunii sociale, a reducerii sărăciei și a dezvoltării economice în zonele rurale din art. 5,</w:t>
      </w:r>
      <w:r w:rsidRPr="00DB3A9B">
        <w:rPr>
          <w:rFonts w:ascii="Trebuchet MS" w:hAnsi="Trebuchet MS"/>
          <w:color w:val="000000" w:themeColor="text1"/>
        </w:rPr>
        <w:t xml:space="preserve"> </w:t>
      </w:r>
      <w:proofErr w:type="spellStart"/>
      <w:r>
        <w:rPr>
          <w:rFonts w:ascii="Trebuchet MS" w:hAnsi="Trebuchet MS"/>
          <w:color w:val="000000" w:themeColor="text1"/>
        </w:rPr>
        <w:t>alineatul</w:t>
      </w:r>
      <w:proofErr w:type="spellEnd"/>
      <w:r>
        <w:rPr>
          <w:rFonts w:ascii="Trebuchet MS" w:hAnsi="Trebuchet MS"/>
          <w:color w:val="000000" w:themeColor="text1"/>
        </w:rPr>
        <w:t xml:space="preserve"> 6 din</w:t>
      </w:r>
      <w:r w:rsidRPr="00E117B6">
        <w:rPr>
          <w:rFonts w:ascii="Trebuchet MS" w:hAnsi="Trebuchet MS"/>
          <w:color w:val="000000" w:themeColor="text1"/>
          <w:sz w:val="22"/>
          <w:szCs w:val="22"/>
          <w:lang w:val="ro-RO"/>
        </w:rPr>
        <w:t xml:space="preserve"> Reg. 1305/2013. </w:t>
      </w:r>
    </w:p>
    <w:p w:rsidR="00B7275D" w:rsidRPr="00E117B6" w:rsidRDefault="00B7275D" w:rsidP="00B7275D">
      <w:pPr>
        <w:jc w:val="both"/>
        <w:rPr>
          <w:rFonts w:ascii="Trebuchet MS" w:hAnsi="Trebuchet MS"/>
          <w:color w:val="000000" w:themeColor="text1"/>
          <w:sz w:val="22"/>
          <w:szCs w:val="22"/>
          <w:lang w:val="ro-RO"/>
        </w:rPr>
      </w:pPr>
    </w:p>
    <w:p w:rsidR="00B7275D" w:rsidRPr="00E117B6" w:rsidRDefault="00B7275D" w:rsidP="00B7275D">
      <w:pPr>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 xml:space="preserve">Masura corespunde obiectivelor art. </w:t>
      </w:r>
      <w:r>
        <w:rPr>
          <w:rFonts w:ascii="Trebuchet MS" w:hAnsi="Trebuchet MS"/>
          <w:b/>
          <w:color w:val="000000" w:themeColor="text1"/>
        </w:rPr>
        <w:t xml:space="preserve">20 lit.(f) </w:t>
      </w:r>
      <w:r w:rsidRPr="00E117B6">
        <w:rPr>
          <w:rFonts w:ascii="Trebuchet MS" w:hAnsi="Trebuchet MS"/>
          <w:b/>
          <w:color w:val="000000" w:themeColor="text1"/>
          <w:sz w:val="22"/>
          <w:szCs w:val="22"/>
          <w:lang w:val="ro-RO"/>
        </w:rPr>
        <w:t>din Reg.(UE) nr.1305/2013</w:t>
      </w:r>
    </w:p>
    <w:p w:rsidR="00B7275D" w:rsidRPr="00E117B6" w:rsidRDefault="00B7275D" w:rsidP="00B7275D">
      <w:pPr>
        <w:jc w:val="both"/>
        <w:rPr>
          <w:rFonts w:ascii="Trebuchet MS" w:hAnsi="Trebuchet MS"/>
          <w:color w:val="000000" w:themeColor="text1"/>
          <w:sz w:val="22"/>
          <w:szCs w:val="22"/>
          <w:lang w:val="ro-RO"/>
        </w:rPr>
      </w:pPr>
    </w:p>
    <w:p w:rsidR="00B7275D" w:rsidRPr="00E117B6" w:rsidRDefault="00B7275D" w:rsidP="00B7275D">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Este în concordanță cu cel de-al treilea obiectiv Strategic Obținerea unei dezvoltări teritoriale echilibrate a economiilor și comunităților rurale, inclusiv crearea și menținerea de locuri de muncă, definit în Regulamentul UE nr. 1305/2013, art.4</w:t>
      </w:r>
    </w:p>
    <w:p w:rsidR="00B7275D" w:rsidRPr="00E117B6" w:rsidRDefault="00B7275D" w:rsidP="00B7275D">
      <w:pPr>
        <w:jc w:val="both"/>
        <w:rPr>
          <w:rFonts w:ascii="Trebuchet MS" w:hAnsi="Trebuchet MS"/>
          <w:color w:val="000000" w:themeColor="text1"/>
          <w:sz w:val="22"/>
          <w:szCs w:val="22"/>
          <w:lang w:val="ro-RO"/>
        </w:rPr>
      </w:pPr>
    </w:p>
    <w:p w:rsidR="00B7275D" w:rsidRPr="00E117B6" w:rsidRDefault="00B7275D" w:rsidP="00B7275D">
      <w:pPr>
        <w:jc w:val="both"/>
        <w:rPr>
          <w:rFonts w:ascii="Trebuchet MS" w:hAnsi="Trebuchet MS"/>
          <w:color w:val="000000" w:themeColor="text1"/>
          <w:sz w:val="22"/>
          <w:szCs w:val="22"/>
          <w:lang w:val="ro-RO"/>
        </w:rPr>
      </w:pPr>
      <w:r w:rsidRPr="00E117B6">
        <w:rPr>
          <w:rFonts w:ascii="Trebuchet MS" w:hAnsi="Trebuchet MS"/>
          <w:b/>
          <w:color w:val="000000" w:themeColor="text1"/>
          <w:sz w:val="22"/>
          <w:szCs w:val="22"/>
          <w:lang w:val="ro-RO"/>
        </w:rPr>
        <w:t>Contribuţia la domeniile de intervenţie</w:t>
      </w:r>
      <w:r w:rsidRPr="00E117B6">
        <w:rPr>
          <w:rFonts w:ascii="Trebuchet MS" w:hAnsi="Trebuchet MS"/>
          <w:color w:val="000000" w:themeColor="text1"/>
          <w:sz w:val="22"/>
          <w:szCs w:val="22"/>
          <w:lang w:val="ro-RO"/>
        </w:rPr>
        <w:t>Măsura contribuie la Domeniul de intervenție 6.B. Încurajarea dezvoltării locale în zonele rurale, prevăzute la art. 5, Reg. 1305/2013</w:t>
      </w:r>
    </w:p>
    <w:p w:rsidR="00B7275D" w:rsidRPr="00E117B6" w:rsidRDefault="00B7275D" w:rsidP="00B7275D">
      <w:pPr>
        <w:jc w:val="both"/>
        <w:rPr>
          <w:rFonts w:ascii="Trebuchet MS" w:hAnsi="Trebuchet MS"/>
          <w:color w:val="000000" w:themeColor="text1"/>
          <w:sz w:val="22"/>
          <w:szCs w:val="22"/>
          <w:lang w:val="ro-RO"/>
        </w:rPr>
      </w:pPr>
    </w:p>
    <w:p w:rsidR="00B7275D" w:rsidRPr="00E117B6" w:rsidRDefault="00B7275D" w:rsidP="00B7275D">
      <w:pPr>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Contribuţia la obiectivele transversale ale Reg.(UE) 1305/2013</w:t>
      </w:r>
    </w:p>
    <w:p w:rsidR="00B7275D" w:rsidRPr="00E117B6" w:rsidRDefault="00B7275D" w:rsidP="00B7275D">
      <w:pPr>
        <w:jc w:val="both"/>
        <w:rPr>
          <w:rFonts w:ascii="Trebuchet MS" w:hAnsi="Trebuchet MS"/>
          <w:color w:val="000000" w:themeColor="text1"/>
          <w:sz w:val="22"/>
          <w:szCs w:val="22"/>
          <w:lang w:val="ro-RO"/>
        </w:rPr>
      </w:pPr>
    </w:p>
    <w:p w:rsidR="00B7275D" w:rsidRPr="00E117B6" w:rsidRDefault="00B7275D" w:rsidP="00B7275D">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Măsura contribuie la obiectivele transversale ale Reg. 1305/2013 legate de inovare prin asigurarea condițiilor favorabile pentru incluziunea socială a copiilor din grupurile minorităților etnice din mediul rural, cu accent deosebit  pe etnia romă.</w:t>
      </w:r>
    </w:p>
    <w:p w:rsidR="00B7275D" w:rsidRPr="00E117B6" w:rsidRDefault="00B7275D" w:rsidP="00B7275D">
      <w:pPr>
        <w:jc w:val="both"/>
        <w:rPr>
          <w:rFonts w:ascii="Trebuchet MS" w:hAnsi="Trebuchet MS"/>
          <w:color w:val="000000" w:themeColor="text1"/>
          <w:sz w:val="22"/>
          <w:szCs w:val="22"/>
          <w:lang w:val="ro-RO"/>
        </w:rPr>
      </w:pPr>
    </w:p>
    <w:p w:rsidR="00B7275D" w:rsidRPr="00E117B6" w:rsidRDefault="00B7275D" w:rsidP="00B7275D">
      <w:pPr>
        <w:widowControl w:val="0"/>
        <w:autoSpaceDE w:val="0"/>
        <w:autoSpaceDN w:val="0"/>
        <w:adjustRightInd w:val="0"/>
        <w:ind w:left="4"/>
        <w:jc w:val="both"/>
        <w:rPr>
          <w:rFonts w:ascii="Trebuchet MS" w:hAnsi="Trebuchet MS"/>
          <w:color w:val="000000" w:themeColor="text1"/>
          <w:sz w:val="22"/>
          <w:szCs w:val="22"/>
          <w:lang w:val="ro-RO"/>
        </w:rPr>
      </w:pPr>
      <w:r w:rsidRPr="00E117B6">
        <w:rPr>
          <w:rFonts w:ascii="Trebuchet MS" w:hAnsi="Trebuchet MS" w:cs="Trebuchet MS"/>
          <w:b/>
          <w:color w:val="000000" w:themeColor="text1"/>
          <w:sz w:val="22"/>
          <w:szCs w:val="22"/>
          <w:lang w:val="ro-RO"/>
        </w:rPr>
        <w:t>Complementaritatea cu alte măsuri din SDL</w:t>
      </w:r>
      <w:r w:rsidRPr="00E117B6">
        <w:rPr>
          <w:rFonts w:ascii="Trebuchet MS" w:hAnsi="Trebuchet MS" w:cs="Trebuchet MS"/>
          <w:color w:val="000000" w:themeColor="text1"/>
          <w:sz w:val="22"/>
          <w:szCs w:val="22"/>
          <w:lang w:val="ro-RO"/>
        </w:rPr>
        <w:t xml:space="preserve">: Complementaritatea cu măsura M6.4 este definită de destinația tipului de infrastructură (exclusiv socială) și de natura și tipul beneficiarilor indirecți, aparținând exclusiv grupurilor marginalizate. În cazul măsurii M6.3, tipul de intervenție, investițiile în principal în infrastructură și natura beneficiarilor direcți și indirecți, realizează delimitarea complementarității cu măsura M6.5 </w:t>
      </w:r>
      <w:r w:rsidRPr="00E117B6">
        <w:rPr>
          <w:rFonts w:ascii="Trebuchet MS" w:hAnsi="Trebuchet MS" w:cs="Trebuchet MS"/>
          <w:color w:val="000000" w:themeColor="text1"/>
          <w:sz w:val="22"/>
          <w:szCs w:val="22"/>
          <w:u w:val="single"/>
          <w:lang w:val="ro-RO"/>
        </w:rPr>
        <w:t>dedicată exclusiv acțiunilor de integrare a minorităților etnice, inclusiv etnia romă</w:t>
      </w:r>
      <w:r w:rsidRPr="00E117B6">
        <w:rPr>
          <w:rFonts w:ascii="Trebuchet MS" w:hAnsi="Trebuchet MS" w:cs="Trebuchet MS"/>
          <w:color w:val="000000" w:themeColor="text1"/>
          <w:sz w:val="22"/>
          <w:szCs w:val="22"/>
          <w:lang w:val="ro-RO"/>
        </w:rPr>
        <w:t>.</w:t>
      </w:r>
    </w:p>
    <w:p w:rsidR="00B7275D" w:rsidRPr="00E117B6" w:rsidRDefault="00B7275D" w:rsidP="00B7275D">
      <w:pPr>
        <w:pStyle w:val="Default"/>
        <w:jc w:val="both"/>
        <w:rPr>
          <w:rFonts w:ascii="Trebuchet MS" w:hAnsi="Trebuchet MS"/>
          <w:b/>
          <w:color w:val="000000" w:themeColor="text1"/>
          <w:sz w:val="22"/>
          <w:szCs w:val="22"/>
          <w:lang w:val="ro-RO"/>
        </w:rPr>
      </w:pPr>
    </w:p>
    <w:p w:rsidR="00B7275D" w:rsidRPr="00E117B6" w:rsidRDefault="00B7275D" w:rsidP="00B7275D">
      <w:pPr>
        <w:pStyle w:val="Default"/>
        <w:jc w:val="both"/>
        <w:rPr>
          <w:rFonts w:ascii="Trebuchet MS" w:eastAsia="Times New Roman" w:hAnsi="Trebuchet MS" w:cs="Times New Roman"/>
          <w:color w:val="000000" w:themeColor="text1"/>
          <w:sz w:val="22"/>
          <w:szCs w:val="22"/>
          <w:lang w:val="ro-RO"/>
        </w:rPr>
      </w:pPr>
      <w:r w:rsidRPr="00E117B6">
        <w:rPr>
          <w:rFonts w:ascii="Trebuchet MS" w:hAnsi="Trebuchet MS"/>
          <w:b/>
          <w:color w:val="000000" w:themeColor="text1"/>
          <w:sz w:val="22"/>
          <w:szCs w:val="22"/>
          <w:lang w:val="ro-RO"/>
        </w:rPr>
        <w:t>Sinergia cu alte măsuri din SDL</w:t>
      </w:r>
      <w:r w:rsidRPr="00E117B6">
        <w:rPr>
          <w:rFonts w:ascii="Trebuchet MS" w:hAnsi="Trebuchet MS"/>
          <w:color w:val="000000" w:themeColor="text1"/>
          <w:sz w:val="22"/>
          <w:szCs w:val="22"/>
          <w:lang w:val="ro-RO"/>
        </w:rPr>
        <w:t>: măsura M6.5 este în sinergie cu măsurile,</w:t>
      </w:r>
      <w:r>
        <w:rPr>
          <w:rFonts w:ascii="Trebuchet MS" w:hAnsi="Trebuchet MS"/>
          <w:color w:val="000000" w:themeColor="text1"/>
          <w:sz w:val="22"/>
          <w:szCs w:val="22"/>
          <w:lang w:val="ro-RO"/>
        </w:rPr>
        <w:t>M6.3,M6.4,</w:t>
      </w:r>
      <w:r w:rsidRPr="00E117B6">
        <w:rPr>
          <w:rFonts w:ascii="Trebuchet MS" w:hAnsi="Trebuchet MS"/>
          <w:color w:val="000000" w:themeColor="text1"/>
          <w:sz w:val="22"/>
          <w:szCs w:val="22"/>
          <w:lang w:val="ro-RO"/>
        </w:rPr>
        <w:t xml:space="preserve"> M6.1 și M6.2 ale SDL prin efectele convergente pe care elementele integrare socială și culturală le aduc și contribuie la impactul potențial al intervențiilor susținute prin celelalte măsuri.</w:t>
      </w:r>
      <w:r w:rsidRPr="00E117B6">
        <w:rPr>
          <w:rFonts w:ascii="Trebuchet MS" w:eastAsia="Times New Roman" w:hAnsi="Trebuchet MS" w:cs="Times New Roman"/>
          <w:color w:val="000000" w:themeColor="text1"/>
          <w:sz w:val="22"/>
          <w:szCs w:val="22"/>
          <w:lang w:val="ro-RO"/>
        </w:rPr>
        <w:t xml:space="preserve"> </w:t>
      </w:r>
      <w:r w:rsidRPr="00E117B6">
        <w:rPr>
          <w:rFonts w:ascii="Trebuchet MS" w:hAnsi="Trebuchet MS"/>
          <w:color w:val="000000" w:themeColor="text1"/>
          <w:sz w:val="22"/>
          <w:szCs w:val="22"/>
          <w:lang w:val="ro-RO"/>
        </w:rPr>
        <w:lastRenderedPageBreak/>
        <w:t>Sinergia este amplificată de posibilitatea integrării experiențelor și cunoștințelor generate de implementarea celorlalte măsuri spre persoanele din minoritățile etnice în scopul multiplicării efectului produs de acestea și a creșterii șanselor de integrare economică și socială sustenabilă pentru populația de alte etnii, in special de etnie romă.</w:t>
      </w:r>
    </w:p>
    <w:p w:rsidR="00B7275D" w:rsidRDefault="00B7275D" w:rsidP="00B7275D">
      <w:pPr>
        <w:jc w:val="both"/>
        <w:rPr>
          <w:rFonts w:ascii="Trebuchet MS" w:hAnsi="Trebuchet MS"/>
          <w:color w:val="000000" w:themeColor="text1"/>
          <w:sz w:val="22"/>
          <w:szCs w:val="22"/>
          <w:lang w:val="ro-RO"/>
        </w:rPr>
      </w:pPr>
    </w:p>
    <w:p w:rsidR="00B7275D" w:rsidRPr="00E117B6" w:rsidRDefault="00B7275D" w:rsidP="00B7275D">
      <w:pPr>
        <w:jc w:val="both"/>
        <w:rPr>
          <w:rFonts w:ascii="Trebuchet MS" w:hAnsi="Trebuchet MS"/>
          <w:b/>
          <w:color w:val="000000" w:themeColor="text1"/>
          <w:sz w:val="22"/>
          <w:szCs w:val="22"/>
          <w:lang w:val="ro-RO"/>
        </w:rPr>
      </w:pPr>
      <w:r w:rsidRPr="00E117B6">
        <w:rPr>
          <w:rFonts w:ascii="Trebuchet MS" w:hAnsi="Trebuchet MS"/>
          <w:color w:val="000000" w:themeColor="text1"/>
          <w:sz w:val="22"/>
          <w:szCs w:val="22"/>
          <w:lang w:val="ro-RO"/>
        </w:rPr>
        <w:t xml:space="preserve">2. </w:t>
      </w:r>
      <w:r w:rsidRPr="00E117B6">
        <w:rPr>
          <w:rFonts w:ascii="Trebuchet MS" w:hAnsi="Trebuchet MS"/>
          <w:b/>
          <w:color w:val="000000" w:themeColor="text1"/>
          <w:sz w:val="22"/>
          <w:szCs w:val="22"/>
          <w:lang w:val="ro-RO"/>
        </w:rPr>
        <w:t>Valoarea adăugată a măsurii</w:t>
      </w:r>
    </w:p>
    <w:p w:rsidR="00B7275D" w:rsidRPr="00E117B6" w:rsidRDefault="00B7275D" w:rsidP="00B7275D">
      <w:pPr>
        <w:jc w:val="both"/>
        <w:rPr>
          <w:rFonts w:ascii="Trebuchet MS" w:hAnsi="Trebuchet MS"/>
          <w:b/>
          <w:color w:val="000000" w:themeColor="text1"/>
          <w:sz w:val="22"/>
          <w:szCs w:val="22"/>
          <w:lang w:val="ro-RO"/>
        </w:rPr>
      </w:pPr>
    </w:p>
    <w:p w:rsidR="00B7275D" w:rsidRPr="00E117B6" w:rsidRDefault="00B7275D" w:rsidP="00B7275D">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Valoarea adaugată a măsurii constă din posibilitatea organizării de evenimente special dedicate minorităților etnice și în special etniei rome, evenimente prin care aceștia pot proceda la o integrare activă în viața comunităților din care fac parte. Integrarea poate fi realizată prin activități de promovare a valorilor specifice grupurilor etnice, a deschiderii spre dezvoltarea colaborarii inter-etnice, la integrarea profesională și/sau economică a tradițiilor, obiceiurilor și produselor rezultate din implementarea activităților meșteșugărești tradiționale.</w:t>
      </w:r>
    </w:p>
    <w:p w:rsidR="00B7275D" w:rsidRPr="00E117B6" w:rsidRDefault="00B7275D" w:rsidP="00B7275D">
      <w:pPr>
        <w:jc w:val="both"/>
        <w:rPr>
          <w:rFonts w:ascii="Trebuchet MS" w:hAnsi="Trebuchet MS"/>
          <w:color w:val="000000" w:themeColor="text1"/>
          <w:sz w:val="22"/>
          <w:szCs w:val="22"/>
          <w:lang w:val="ro-RO"/>
        </w:rPr>
      </w:pPr>
    </w:p>
    <w:p w:rsidR="00B7275D" w:rsidRPr="00E117B6" w:rsidRDefault="00B7275D" w:rsidP="00B7275D">
      <w:pPr>
        <w:jc w:val="both"/>
        <w:rPr>
          <w:rFonts w:ascii="Trebuchet MS" w:hAnsi="Trebuchet MS"/>
          <w:b/>
          <w:color w:val="000000" w:themeColor="text1"/>
          <w:sz w:val="22"/>
          <w:szCs w:val="22"/>
          <w:lang w:val="ro-RO"/>
        </w:rPr>
      </w:pPr>
      <w:r w:rsidRPr="00E117B6">
        <w:rPr>
          <w:rFonts w:ascii="Trebuchet MS" w:hAnsi="Trebuchet MS"/>
          <w:color w:val="000000" w:themeColor="text1"/>
          <w:sz w:val="22"/>
          <w:szCs w:val="22"/>
          <w:lang w:val="ro-RO"/>
        </w:rPr>
        <w:t xml:space="preserve">3. </w:t>
      </w:r>
      <w:r w:rsidRPr="00E117B6">
        <w:rPr>
          <w:rFonts w:ascii="Trebuchet MS" w:hAnsi="Trebuchet MS"/>
          <w:b/>
          <w:color w:val="000000" w:themeColor="text1"/>
          <w:sz w:val="22"/>
          <w:szCs w:val="22"/>
          <w:lang w:val="ro-RO"/>
        </w:rPr>
        <w:t>Trimiteri la alte acte legislative</w:t>
      </w:r>
    </w:p>
    <w:p w:rsidR="00B7275D" w:rsidRPr="00E117B6" w:rsidRDefault="00B7275D" w:rsidP="00B7275D">
      <w:pPr>
        <w:jc w:val="both"/>
        <w:rPr>
          <w:rFonts w:ascii="Trebuchet MS" w:hAnsi="Trebuchet MS"/>
          <w:b/>
          <w:color w:val="000000" w:themeColor="text1"/>
          <w:sz w:val="22"/>
          <w:szCs w:val="22"/>
          <w:lang w:val="ro-RO"/>
        </w:rPr>
      </w:pPr>
    </w:p>
    <w:p w:rsidR="00B7275D" w:rsidRPr="00E117B6" w:rsidRDefault="00B7275D" w:rsidP="00B7275D">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Hotărârea Guvernului nr. 18/2015 pentru aprobarea Strategiei Guvernului României de incluziune a cetăţenilor români aparţinând minorităţii rome pentru perioada 2015-2020, cu modificările și completările ulterioare;</w:t>
      </w:r>
    </w:p>
    <w:p w:rsidR="00B7275D" w:rsidRPr="00E117B6" w:rsidRDefault="00B7275D" w:rsidP="00B7275D">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Hotărârea Guvernului nr. 383/2015 pentru aprobarea Strategiei naţionale privind incluziunea socială și reducerea sărăciei pentru perioada 2015-2020</w:t>
      </w:r>
    </w:p>
    <w:p w:rsidR="00B7275D" w:rsidRPr="00E117B6" w:rsidRDefault="00B7275D" w:rsidP="00B7275D">
      <w:pPr>
        <w:jc w:val="both"/>
        <w:rPr>
          <w:rFonts w:ascii="Trebuchet MS" w:hAnsi="Trebuchet MS"/>
          <w:color w:val="000000" w:themeColor="text1"/>
          <w:sz w:val="22"/>
          <w:szCs w:val="22"/>
          <w:lang w:val="ro-RO"/>
        </w:rPr>
      </w:pPr>
    </w:p>
    <w:p w:rsidR="00B7275D" w:rsidRPr="00E117B6" w:rsidRDefault="00B7275D" w:rsidP="00B7275D">
      <w:pPr>
        <w:jc w:val="both"/>
        <w:rPr>
          <w:rFonts w:ascii="Trebuchet MS" w:hAnsi="Trebuchet MS"/>
          <w:b/>
          <w:color w:val="000000" w:themeColor="text1"/>
          <w:sz w:val="22"/>
          <w:szCs w:val="22"/>
          <w:lang w:val="ro-RO"/>
        </w:rPr>
      </w:pPr>
      <w:r w:rsidRPr="00E117B6">
        <w:rPr>
          <w:rFonts w:ascii="Trebuchet MS" w:hAnsi="Trebuchet MS"/>
          <w:color w:val="000000" w:themeColor="text1"/>
          <w:sz w:val="22"/>
          <w:szCs w:val="22"/>
          <w:lang w:val="ro-RO"/>
        </w:rPr>
        <w:t xml:space="preserve">4. </w:t>
      </w:r>
      <w:r w:rsidRPr="00E117B6">
        <w:rPr>
          <w:rFonts w:ascii="Trebuchet MS" w:hAnsi="Trebuchet MS"/>
          <w:b/>
          <w:color w:val="000000" w:themeColor="text1"/>
          <w:sz w:val="22"/>
          <w:szCs w:val="22"/>
          <w:lang w:val="ro-RO"/>
        </w:rPr>
        <w:t>Beneficiari direcţi/indirecţi (grup ţintă)</w:t>
      </w:r>
    </w:p>
    <w:p w:rsidR="00B7275D" w:rsidRPr="00E117B6" w:rsidRDefault="00B7275D" w:rsidP="00B7275D">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4.1. Beneficiari direcţi</w:t>
      </w:r>
    </w:p>
    <w:p w:rsidR="00B7275D" w:rsidRPr="00FA10BC" w:rsidRDefault="00B7275D" w:rsidP="00B7275D">
      <w:pPr>
        <w:numPr>
          <w:ilvl w:val="0"/>
          <w:numId w:val="1"/>
        </w:numPr>
        <w:ind w:left="270" w:hanging="270"/>
        <w:jc w:val="both"/>
        <w:rPr>
          <w:rFonts w:ascii="Trebuchet MS" w:hAnsi="Trebuchet MS"/>
          <w:color w:val="000000" w:themeColor="text1"/>
          <w:sz w:val="22"/>
          <w:szCs w:val="22"/>
          <w:lang w:val="ro-RO"/>
        </w:rPr>
      </w:pPr>
      <w:r>
        <w:rPr>
          <w:rFonts w:ascii="Trebuchet MS" w:hAnsi="Trebuchet MS"/>
          <w:color w:val="000000" w:themeColor="text1"/>
        </w:rPr>
        <w:t>UAT-</w:t>
      </w:r>
      <w:proofErr w:type="spellStart"/>
      <w:r>
        <w:rPr>
          <w:rFonts w:ascii="Trebuchet MS" w:hAnsi="Trebuchet MS"/>
          <w:color w:val="000000" w:themeColor="text1"/>
        </w:rPr>
        <w:t>urile</w:t>
      </w:r>
      <w:proofErr w:type="spellEnd"/>
      <w:r>
        <w:rPr>
          <w:rFonts w:ascii="Trebuchet MS" w:hAnsi="Trebuchet MS"/>
          <w:color w:val="000000" w:themeColor="text1"/>
        </w:rPr>
        <w:t xml:space="preserve"> din </w:t>
      </w:r>
      <w:proofErr w:type="spellStart"/>
      <w:r>
        <w:rPr>
          <w:rFonts w:ascii="Trebuchet MS" w:hAnsi="Trebuchet MS"/>
          <w:color w:val="000000" w:themeColor="text1"/>
        </w:rPr>
        <w:t>spatiul</w:t>
      </w:r>
      <w:proofErr w:type="spellEnd"/>
      <w:r>
        <w:rPr>
          <w:rFonts w:ascii="Trebuchet MS" w:hAnsi="Trebuchet MS"/>
          <w:color w:val="000000" w:themeColor="text1"/>
        </w:rPr>
        <w:t xml:space="preserve"> rural LEADER</w:t>
      </w:r>
      <w:r w:rsidRPr="007B7268">
        <w:rPr>
          <w:rFonts w:ascii="Trebuchet MS" w:hAnsi="Trebuchet MS"/>
          <w:color w:val="000000" w:themeColor="text1"/>
        </w:rPr>
        <w:t xml:space="preserve"> </w:t>
      </w:r>
      <w:r w:rsidRPr="00FA10BC">
        <w:rPr>
          <w:rFonts w:ascii="Trebuchet MS" w:hAnsi="Trebuchet MS"/>
          <w:color w:val="000000" w:themeColor="text1"/>
          <w:sz w:val="22"/>
          <w:szCs w:val="22"/>
          <w:lang w:val="ro-RO"/>
        </w:rPr>
        <w:t>definite conform legislației în vigoare;</w:t>
      </w:r>
    </w:p>
    <w:p w:rsidR="00B7275D" w:rsidRPr="00FA10BC" w:rsidRDefault="00B7275D" w:rsidP="00B7275D">
      <w:pPr>
        <w:numPr>
          <w:ilvl w:val="0"/>
          <w:numId w:val="1"/>
        </w:numPr>
        <w:ind w:left="270" w:hanging="270"/>
        <w:jc w:val="both"/>
        <w:rPr>
          <w:rFonts w:ascii="Trebuchet MS" w:hAnsi="Trebuchet MS"/>
          <w:color w:val="000000" w:themeColor="text1"/>
          <w:sz w:val="22"/>
          <w:szCs w:val="22"/>
          <w:lang w:val="ro-RO"/>
        </w:rPr>
      </w:pPr>
      <w:r w:rsidRPr="00FA10BC">
        <w:rPr>
          <w:rFonts w:ascii="Trebuchet MS" w:hAnsi="Trebuchet MS"/>
          <w:color w:val="000000" w:themeColor="text1"/>
          <w:sz w:val="22"/>
          <w:szCs w:val="22"/>
          <w:lang w:val="ro-RO"/>
        </w:rPr>
        <w:t>ADI-uri format exclusiv din UAT-uri semnatare ale acordului de parteneriat;</w:t>
      </w:r>
    </w:p>
    <w:p w:rsidR="00B7275D" w:rsidRPr="00FA10BC" w:rsidRDefault="00B7275D" w:rsidP="00B7275D">
      <w:pPr>
        <w:numPr>
          <w:ilvl w:val="0"/>
          <w:numId w:val="1"/>
        </w:numPr>
        <w:ind w:left="270" w:hanging="270"/>
        <w:jc w:val="both"/>
        <w:rPr>
          <w:rFonts w:ascii="Trebuchet MS" w:hAnsi="Trebuchet MS"/>
          <w:color w:val="000000" w:themeColor="text1"/>
          <w:sz w:val="22"/>
          <w:szCs w:val="22"/>
          <w:lang w:val="ro-RO"/>
        </w:rPr>
      </w:pPr>
      <w:r w:rsidRPr="00FA10BC">
        <w:rPr>
          <w:rFonts w:ascii="Trebuchet MS" w:hAnsi="Trebuchet MS"/>
          <w:color w:val="000000" w:themeColor="text1"/>
          <w:sz w:val="22"/>
          <w:szCs w:val="22"/>
          <w:lang w:val="ro-RO"/>
        </w:rPr>
        <w:t>ONG-uri definite conform legislației în vigoare;</w:t>
      </w:r>
    </w:p>
    <w:p w:rsidR="00B7275D" w:rsidRPr="00E117B6" w:rsidRDefault="00B7275D" w:rsidP="00B7275D">
      <w:pPr>
        <w:jc w:val="both"/>
        <w:rPr>
          <w:rFonts w:ascii="Trebuchet MS" w:hAnsi="Trebuchet MS"/>
          <w:color w:val="000000" w:themeColor="text1"/>
          <w:sz w:val="22"/>
          <w:szCs w:val="22"/>
          <w:lang w:val="ro-RO"/>
        </w:rPr>
      </w:pPr>
    </w:p>
    <w:p w:rsidR="00B7275D" w:rsidRPr="00E117B6" w:rsidRDefault="00B7275D" w:rsidP="00B7275D">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4.2. Beneficiarii indirecţi</w:t>
      </w:r>
    </w:p>
    <w:p w:rsidR="00B7275D" w:rsidRPr="00E117B6" w:rsidRDefault="00B7275D" w:rsidP="00B7275D">
      <w:pPr>
        <w:pStyle w:val="ListParagraph"/>
        <w:numPr>
          <w:ilvl w:val="0"/>
          <w:numId w:val="3"/>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Grupuri ale minorităților etnice</w:t>
      </w:r>
    </w:p>
    <w:p w:rsidR="00B7275D" w:rsidRPr="00E117B6" w:rsidRDefault="00B7275D" w:rsidP="00B7275D">
      <w:pPr>
        <w:jc w:val="both"/>
        <w:rPr>
          <w:rFonts w:ascii="Trebuchet MS" w:hAnsi="Trebuchet MS"/>
          <w:b/>
          <w:color w:val="000000" w:themeColor="text1"/>
          <w:sz w:val="22"/>
          <w:szCs w:val="22"/>
          <w:lang w:val="ro-RO"/>
        </w:rPr>
      </w:pPr>
      <w:bookmarkStart w:id="0" w:name="_GoBack"/>
      <w:bookmarkEnd w:id="0"/>
      <w:r w:rsidRPr="00E117B6">
        <w:rPr>
          <w:rFonts w:ascii="Trebuchet MS" w:hAnsi="Trebuchet MS"/>
          <w:color w:val="000000" w:themeColor="text1"/>
          <w:sz w:val="22"/>
          <w:szCs w:val="22"/>
          <w:lang w:val="ro-RO"/>
        </w:rPr>
        <w:t xml:space="preserve">5. </w:t>
      </w:r>
      <w:r w:rsidRPr="00E117B6">
        <w:rPr>
          <w:rFonts w:ascii="Trebuchet MS" w:hAnsi="Trebuchet MS"/>
          <w:b/>
          <w:color w:val="000000" w:themeColor="text1"/>
          <w:sz w:val="22"/>
          <w:szCs w:val="22"/>
          <w:lang w:val="ro-RO"/>
        </w:rPr>
        <w:t>Tip de sprijin (conform art. 67 din Reg. (UE) nr.1303/2013)</w:t>
      </w:r>
    </w:p>
    <w:p w:rsidR="00B7275D" w:rsidRPr="00E117B6" w:rsidRDefault="00B7275D" w:rsidP="00B7275D">
      <w:pPr>
        <w:jc w:val="both"/>
        <w:rPr>
          <w:rFonts w:ascii="Trebuchet MS" w:hAnsi="Trebuchet MS"/>
          <w:color w:val="000000" w:themeColor="text1"/>
          <w:sz w:val="22"/>
          <w:szCs w:val="22"/>
          <w:lang w:val="ro-RO"/>
        </w:rPr>
      </w:pPr>
    </w:p>
    <w:p w:rsidR="00B7275D" w:rsidRPr="00E117B6" w:rsidRDefault="00B7275D" w:rsidP="00B7275D">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Rambursarea cheltuielilor eligibile suportate</w:t>
      </w:r>
    </w:p>
    <w:p w:rsidR="00B7275D" w:rsidRPr="00E117B6" w:rsidRDefault="00B7275D" w:rsidP="00B7275D">
      <w:pPr>
        <w:jc w:val="both"/>
        <w:rPr>
          <w:rFonts w:ascii="Trebuchet MS" w:hAnsi="Trebuchet MS"/>
          <w:color w:val="000000" w:themeColor="text1"/>
          <w:sz w:val="22"/>
          <w:szCs w:val="22"/>
          <w:lang w:val="ro-RO"/>
        </w:rPr>
      </w:pPr>
    </w:p>
    <w:p w:rsidR="00B7275D" w:rsidRPr="00330FBE" w:rsidRDefault="00B7275D" w:rsidP="00B7275D">
      <w:pPr>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 xml:space="preserve">6.Tipuri de acţiuni eligibile </w:t>
      </w:r>
    </w:p>
    <w:p w:rsidR="00B7275D" w:rsidRPr="00E117B6" w:rsidRDefault="00B7275D" w:rsidP="00B7275D">
      <w:pPr>
        <w:pStyle w:val="ListParagraph"/>
        <w:numPr>
          <w:ilvl w:val="0"/>
          <w:numId w:val="4"/>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Organizare de evenimente ocazionate de sărbători sau obiceiuri și tradiții;</w:t>
      </w:r>
    </w:p>
    <w:p w:rsidR="00B7275D" w:rsidRPr="00E117B6" w:rsidRDefault="00B7275D" w:rsidP="00B7275D">
      <w:pPr>
        <w:pStyle w:val="ListParagraph"/>
        <w:numPr>
          <w:ilvl w:val="0"/>
          <w:numId w:val="4"/>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Achiziționarea de costume tradiționale, instrumente muzicale, scenă, instalații de sonorizare și lumini, corturi de evenimente (inclusiv dotarea acestora);</w:t>
      </w:r>
    </w:p>
    <w:p w:rsidR="00B7275D" w:rsidRPr="00E117B6" w:rsidRDefault="00B7275D" w:rsidP="00B7275D">
      <w:pPr>
        <w:pStyle w:val="ListParagraph"/>
        <w:numPr>
          <w:ilvl w:val="0"/>
          <w:numId w:val="4"/>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Achiziționarea sau producerea de materiale specifice în scopul promovării;</w:t>
      </w:r>
    </w:p>
    <w:p w:rsidR="00B7275D" w:rsidRPr="00E117B6" w:rsidRDefault="00B7275D" w:rsidP="00B7275D">
      <w:pPr>
        <w:pStyle w:val="ListParagraph"/>
        <w:numPr>
          <w:ilvl w:val="0"/>
          <w:numId w:val="4"/>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Organizarea de ateliere de transmitere a tradițiilor și meșteșugurilor;</w:t>
      </w:r>
    </w:p>
    <w:p w:rsidR="00B7275D" w:rsidRPr="00E117B6" w:rsidRDefault="00B7275D" w:rsidP="00B7275D">
      <w:pPr>
        <w:pStyle w:val="ListParagraph"/>
        <w:numPr>
          <w:ilvl w:val="0"/>
          <w:numId w:val="4"/>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Organizare de zile deschise în producerea de produse tradiționale, artizanale și meșteșugărești;</w:t>
      </w:r>
    </w:p>
    <w:p w:rsidR="00B7275D" w:rsidRPr="00E117B6" w:rsidRDefault="00B7275D" w:rsidP="00B7275D">
      <w:pPr>
        <w:pStyle w:val="ListParagraph"/>
        <w:numPr>
          <w:ilvl w:val="0"/>
          <w:numId w:val="4"/>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Producerea și distribuirea de materiale informative și de promovare;</w:t>
      </w:r>
    </w:p>
    <w:p w:rsidR="00B7275D" w:rsidRDefault="00B7275D" w:rsidP="00B7275D">
      <w:pPr>
        <w:jc w:val="both"/>
        <w:rPr>
          <w:rFonts w:ascii="Trebuchet MS" w:hAnsi="Trebuchet MS"/>
          <w:color w:val="000000" w:themeColor="text1"/>
          <w:sz w:val="22"/>
          <w:szCs w:val="22"/>
          <w:lang w:val="ro-RO"/>
        </w:rPr>
      </w:pPr>
    </w:p>
    <w:p w:rsidR="00B7275D" w:rsidRPr="00FA10BC" w:rsidRDefault="00B7275D" w:rsidP="00B7275D">
      <w:pPr>
        <w:jc w:val="both"/>
        <w:rPr>
          <w:rFonts w:ascii="Trebuchet MS" w:hAnsi="Trebuchet MS"/>
          <w:color w:val="000000" w:themeColor="text1"/>
          <w:sz w:val="22"/>
          <w:szCs w:val="22"/>
          <w:lang w:val="ro-RO"/>
        </w:rPr>
      </w:pPr>
      <w:r w:rsidRPr="00FA10BC">
        <w:rPr>
          <w:rFonts w:ascii="Trebuchet MS" w:hAnsi="Trebuchet MS"/>
          <w:color w:val="000000" w:themeColor="text1"/>
          <w:sz w:val="22"/>
          <w:szCs w:val="22"/>
          <w:lang w:val="ro-RO"/>
        </w:rPr>
        <w:t>Actiuni neeligibile:</w:t>
      </w:r>
    </w:p>
    <w:p w:rsidR="00B7275D" w:rsidRPr="00FA10BC" w:rsidRDefault="00B7275D" w:rsidP="00B7275D">
      <w:pPr>
        <w:pStyle w:val="ListParagraph"/>
        <w:numPr>
          <w:ilvl w:val="0"/>
          <w:numId w:val="7"/>
        </w:numPr>
        <w:jc w:val="both"/>
        <w:rPr>
          <w:rFonts w:ascii="Trebuchet MS" w:hAnsi="Trebuchet MS"/>
          <w:color w:val="000000" w:themeColor="text1"/>
          <w:sz w:val="22"/>
          <w:szCs w:val="22"/>
          <w:lang w:val="ro-RO"/>
        </w:rPr>
      </w:pPr>
      <w:r w:rsidRPr="00FA10BC">
        <w:rPr>
          <w:rFonts w:ascii="Trebuchet MS" w:hAnsi="Trebuchet MS"/>
          <w:color w:val="000000" w:themeColor="text1"/>
          <w:sz w:val="22"/>
          <w:szCs w:val="22"/>
          <w:lang w:val="ro-RO"/>
        </w:rPr>
        <w:t>Investitii in infrastructura de orice fel, inclusiv sociala (hard);</w:t>
      </w:r>
    </w:p>
    <w:p w:rsidR="00B7275D" w:rsidRPr="00FA10BC" w:rsidRDefault="00B7275D" w:rsidP="00B7275D">
      <w:pPr>
        <w:pStyle w:val="ListParagraph"/>
        <w:numPr>
          <w:ilvl w:val="0"/>
          <w:numId w:val="7"/>
        </w:numPr>
        <w:jc w:val="both"/>
        <w:rPr>
          <w:rFonts w:ascii="Trebuchet MS" w:hAnsi="Trebuchet MS"/>
          <w:color w:val="000000" w:themeColor="text1"/>
          <w:sz w:val="22"/>
          <w:szCs w:val="22"/>
          <w:lang w:val="ro-RO"/>
        </w:rPr>
      </w:pPr>
      <w:r w:rsidRPr="00FA10BC">
        <w:rPr>
          <w:rFonts w:ascii="Trebuchet MS" w:hAnsi="Trebuchet MS"/>
          <w:color w:val="000000" w:themeColor="text1"/>
          <w:sz w:val="22"/>
          <w:szCs w:val="22"/>
          <w:lang w:val="ro-RO"/>
        </w:rPr>
        <w:lastRenderedPageBreak/>
        <w:t>Achizitia de bunuri second-hand;</w:t>
      </w:r>
    </w:p>
    <w:p w:rsidR="00B7275D" w:rsidRPr="00FA10BC" w:rsidRDefault="00B7275D" w:rsidP="00B7275D">
      <w:pPr>
        <w:pStyle w:val="ListParagraph"/>
        <w:numPr>
          <w:ilvl w:val="0"/>
          <w:numId w:val="7"/>
        </w:numPr>
        <w:jc w:val="both"/>
        <w:rPr>
          <w:rFonts w:ascii="Trebuchet MS" w:hAnsi="Trebuchet MS"/>
          <w:color w:val="000000" w:themeColor="text1"/>
          <w:sz w:val="22"/>
          <w:szCs w:val="22"/>
          <w:lang w:val="ro-RO"/>
        </w:rPr>
      </w:pPr>
      <w:r w:rsidRPr="00FA10BC">
        <w:rPr>
          <w:rFonts w:ascii="Trebuchet MS" w:hAnsi="Trebuchet MS"/>
          <w:color w:val="000000" w:themeColor="text1"/>
          <w:sz w:val="22"/>
          <w:szCs w:val="22"/>
          <w:lang w:val="ro-RO"/>
        </w:rPr>
        <w:t>Cheltuieli ocazionate de activitati productive in vederea comercializarii.</w:t>
      </w:r>
    </w:p>
    <w:p w:rsidR="00B7275D" w:rsidRPr="00E117B6" w:rsidRDefault="00B7275D" w:rsidP="00B7275D">
      <w:pPr>
        <w:jc w:val="both"/>
        <w:rPr>
          <w:rFonts w:ascii="Trebuchet MS" w:hAnsi="Trebuchet MS"/>
          <w:color w:val="000000" w:themeColor="text1"/>
          <w:sz w:val="22"/>
          <w:szCs w:val="22"/>
          <w:lang w:val="ro-RO"/>
        </w:rPr>
      </w:pPr>
    </w:p>
    <w:p w:rsidR="00B7275D" w:rsidRPr="00E117B6" w:rsidRDefault="00B7275D" w:rsidP="00B7275D">
      <w:pPr>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7. Condiţii de eligibilitate</w:t>
      </w:r>
    </w:p>
    <w:p w:rsidR="00B7275D" w:rsidRPr="00E117B6" w:rsidRDefault="00B7275D" w:rsidP="00B7275D">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Sunt eligibile toate tipurile de operațiuni care sunt în concordanță cu regulile generale din Regulamentele Europene, prioritățile stabilite pentru dezvoltarea locală – LEADER și obiectivele și prioritățile stabilite în Strategia de Dezvoltare Locală:</w:t>
      </w:r>
    </w:p>
    <w:p w:rsidR="00B7275D" w:rsidRPr="00E117B6" w:rsidRDefault="00B7275D" w:rsidP="00B7275D">
      <w:pPr>
        <w:pStyle w:val="ListParagraph"/>
        <w:numPr>
          <w:ilvl w:val="0"/>
          <w:numId w:val="5"/>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achiziționarea de echipamente;</w:t>
      </w:r>
    </w:p>
    <w:p w:rsidR="00B7275D" w:rsidRPr="00E117B6" w:rsidRDefault="00B7275D" w:rsidP="00B7275D">
      <w:pPr>
        <w:pStyle w:val="ListParagraph"/>
        <w:numPr>
          <w:ilvl w:val="0"/>
          <w:numId w:val="5"/>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achiziționarea de costume tradiționale, instrumente muzicale, scenă, instalații de sonorizare și lumini, corturi de evenimente (inclusiv dotarea acestora);</w:t>
      </w:r>
    </w:p>
    <w:p w:rsidR="00B7275D" w:rsidRPr="00E117B6" w:rsidRDefault="00B7275D" w:rsidP="00B7275D">
      <w:pPr>
        <w:pStyle w:val="ListParagraph"/>
        <w:numPr>
          <w:ilvl w:val="0"/>
          <w:numId w:val="5"/>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achiziționare de rechizite;</w:t>
      </w:r>
    </w:p>
    <w:p w:rsidR="00B7275D" w:rsidRPr="00E117B6" w:rsidRDefault="00B7275D" w:rsidP="00B7275D">
      <w:pPr>
        <w:pStyle w:val="ListParagraph"/>
        <w:numPr>
          <w:ilvl w:val="0"/>
          <w:numId w:val="5"/>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plata experților;</w:t>
      </w:r>
    </w:p>
    <w:p w:rsidR="00B7275D" w:rsidRPr="00E117B6" w:rsidRDefault="00B7275D" w:rsidP="00B7275D">
      <w:pPr>
        <w:pStyle w:val="ListParagraph"/>
        <w:numPr>
          <w:ilvl w:val="0"/>
          <w:numId w:val="5"/>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transport;</w:t>
      </w:r>
    </w:p>
    <w:p w:rsidR="00B7275D" w:rsidRPr="00E117B6" w:rsidRDefault="00B7275D" w:rsidP="00B7275D">
      <w:pPr>
        <w:pStyle w:val="ListParagraph"/>
        <w:numPr>
          <w:ilvl w:val="0"/>
          <w:numId w:val="5"/>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organizarea activităților;</w:t>
      </w:r>
    </w:p>
    <w:p w:rsidR="00B7275D" w:rsidRPr="00E117B6" w:rsidRDefault="00B7275D" w:rsidP="00B7275D">
      <w:pPr>
        <w:pStyle w:val="ListParagraph"/>
        <w:numPr>
          <w:ilvl w:val="0"/>
          <w:numId w:val="5"/>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realizare de materiale informative și promoționale; </w:t>
      </w:r>
    </w:p>
    <w:p w:rsidR="00B7275D" w:rsidRPr="00E117B6" w:rsidRDefault="00B7275D" w:rsidP="00B7275D">
      <w:pPr>
        <w:pStyle w:val="ListParagraph"/>
        <w:numPr>
          <w:ilvl w:val="0"/>
          <w:numId w:val="5"/>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alte cheltuieli justificate pentru implementarea proiectului</w:t>
      </w:r>
    </w:p>
    <w:p w:rsidR="00B7275D" w:rsidRPr="00E117B6" w:rsidRDefault="00B7275D" w:rsidP="00B7275D">
      <w:pPr>
        <w:jc w:val="both"/>
        <w:rPr>
          <w:rFonts w:ascii="Trebuchet MS" w:hAnsi="Trebuchet MS"/>
          <w:color w:val="000000" w:themeColor="text1"/>
          <w:sz w:val="22"/>
          <w:szCs w:val="22"/>
          <w:lang w:val="ro-RO"/>
        </w:rPr>
      </w:pPr>
    </w:p>
    <w:p w:rsidR="00B7275D" w:rsidRPr="00E117B6" w:rsidRDefault="00B7275D" w:rsidP="00B7275D">
      <w:pPr>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8. Criterii de selecţie</w:t>
      </w:r>
    </w:p>
    <w:p w:rsidR="00B7275D" w:rsidRPr="00E117B6" w:rsidRDefault="00B7275D" w:rsidP="00B7275D">
      <w:pPr>
        <w:pStyle w:val="ListParagraph"/>
        <w:numPr>
          <w:ilvl w:val="0"/>
          <w:numId w:val="6"/>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caracterul etnic al beneficiarilor, cu prioritate pentru populația de etnie romă</w:t>
      </w:r>
    </w:p>
    <w:p w:rsidR="00B7275D" w:rsidRPr="00E117B6" w:rsidRDefault="00B7275D" w:rsidP="00B7275D">
      <w:pPr>
        <w:pStyle w:val="ListParagraph"/>
        <w:numPr>
          <w:ilvl w:val="0"/>
          <w:numId w:val="6"/>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numărul populației țintă; </w:t>
      </w:r>
    </w:p>
    <w:p w:rsidR="00B7275D" w:rsidRPr="00E117B6" w:rsidRDefault="00B7275D" w:rsidP="00B7275D">
      <w:pPr>
        <w:jc w:val="both"/>
        <w:rPr>
          <w:rFonts w:ascii="Trebuchet MS" w:hAnsi="Trebuchet MS"/>
          <w:color w:val="000000" w:themeColor="text1"/>
          <w:sz w:val="22"/>
          <w:szCs w:val="22"/>
          <w:lang w:val="ro-RO"/>
        </w:rPr>
      </w:pPr>
    </w:p>
    <w:p w:rsidR="00B7275D" w:rsidRDefault="00B7275D" w:rsidP="00B7275D">
      <w:pPr>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9. Sume aplicabile şi rata sprijinului</w:t>
      </w:r>
    </w:p>
    <w:p w:rsidR="00B7275D" w:rsidRPr="00B7275D" w:rsidRDefault="00B7275D" w:rsidP="00B7275D">
      <w:pPr>
        <w:jc w:val="both"/>
        <w:rPr>
          <w:rFonts w:ascii="Trebuchet MS" w:hAnsi="Trebuchet MS"/>
          <w:color w:val="000000" w:themeColor="text1"/>
          <w:sz w:val="22"/>
          <w:szCs w:val="22"/>
          <w:lang w:val="ro-RO"/>
        </w:rPr>
      </w:pPr>
      <w:r w:rsidRPr="00B7275D">
        <w:rPr>
          <w:rFonts w:ascii="Trebuchet MS" w:hAnsi="Trebuchet MS"/>
          <w:color w:val="000000" w:themeColor="text1"/>
          <w:sz w:val="22"/>
          <w:szCs w:val="22"/>
          <w:lang w:val="ro-RO"/>
        </w:rPr>
        <w:t>Valoarea maxima a sprijinului  public nerambursabil nu va depasi 200.000 euro</w:t>
      </w:r>
      <w:r>
        <w:rPr>
          <w:rFonts w:ascii="Trebuchet MS" w:hAnsi="Trebuchet MS"/>
          <w:color w:val="000000" w:themeColor="text1"/>
          <w:sz w:val="22"/>
          <w:szCs w:val="22"/>
          <w:lang w:val="ro-RO"/>
        </w:rPr>
        <w:t>.</w:t>
      </w:r>
    </w:p>
    <w:p w:rsidR="00B7275D" w:rsidRPr="00E117B6" w:rsidRDefault="00B7275D" w:rsidP="00B7275D">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Ponderea maximă a intensității sprijinului public nerambursabil din totalul cheltuielilor eligibile este de 100%</w:t>
      </w:r>
      <w:r>
        <w:rPr>
          <w:rFonts w:ascii="Trebuchet MS" w:hAnsi="Trebuchet MS"/>
          <w:color w:val="000000" w:themeColor="text1"/>
          <w:sz w:val="22"/>
          <w:szCs w:val="22"/>
          <w:lang w:val="ro-RO"/>
        </w:rPr>
        <w:t xml:space="preserve"> in cazul proiectelor de utilitate publica negeneratoare de venit,</w:t>
      </w:r>
      <w:r w:rsidRPr="00E117B6">
        <w:rPr>
          <w:rFonts w:ascii="Trebuchet MS" w:hAnsi="Trebuchet MS"/>
          <w:color w:val="000000" w:themeColor="text1"/>
          <w:sz w:val="22"/>
          <w:szCs w:val="22"/>
          <w:lang w:val="ro-RO"/>
        </w:rPr>
        <w:t xml:space="preserve"> pentru proiecte înaintate de</w:t>
      </w:r>
      <w:r w:rsidRPr="009501E8">
        <w:rPr>
          <w:rFonts w:ascii="Trebuchet MS" w:hAnsi="Trebuchet MS"/>
          <w:color w:val="000000" w:themeColor="text1"/>
        </w:rPr>
        <w:t xml:space="preserve"> </w:t>
      </w:r>
      <w:proofErr w:type="spellStart"/>
      <w:r>
        <w:rPr>
          <w:rFonts w:ascii="Trebuchet MS" w:hAnsi="Trebuchet MS"/>
          <w:color w:val="000000" w:themeColor="text1"/>
        </w:rPr>
        <w:t>toti</w:t>
      </w:r>
      <w:proofErr w:type="spellEnd"/>
      <w:r>
        <w:rPr>
          <w:rFonts w:ascii="Trebuchet MS" w:hAnsi="Trebuchet MS"/>
          <w:color w:val="000000" w:themeColor="text1"/>
        </w:rPr>
        <w:t xml:space="preserve"> </w:t>
      </w:r>
      <w:proofErr w:type="spellStart"/>
      <w:r>
        <w:rPr>
          <w:rFonts w:ascii="Trebuchet MS" w:hAnsi="Trebuchet MS"/>
          <w:color w:val="000000" w:themeColor="text1"/>
        </w:rPr>
        <w:t>beneficiarii</w:t>
      </w:r>
      <w:proofErr w:type="spellEnd"/>
      <w:r>
        <w:rPr>
          <w:rFonts w:ascii="Trebuchet MS" w:hAnsi="Trebuchet MS"/>
          <w:color w:val="000000" w:themeColor="text1"/>
        </w:rPr>
        <w:t xml:space="preserve"> </w:t>
      </w:r>
      <w:proofErr w:type="spellStart"/>
      <w:r>
        <w:rPr>
          <w:rFonts w:ascii="Trebuchet MS" w:hAnsi="Trebuchet MS"/>
          <w:color w:val="000000" w:themeColor="text1"/>
        </w:rPr>
        <w:t>eligibili</w:t>
      </w:r>
      <w:proofErr w:type="spellEnd"/>
      <w:r>
        <w:rPr>
          <w:rFonts w:ascii="Trebuchet MS" w:hAnsi="Trebuchet MS"/>
          <w:color w:val="000000" w:themeColor="text1"/>
        </w:rPr>
        <w:t xml:space="preserve">  </w:t>
      </w:r>
    </w:p>
    <w:p w:rsidR="00B7275D" w:rsidRPr="00E117B6" w:rsidRDefault="00B7275D" w:rsidP="00B7275D">
      <w:pPr>
        <w:pStyle w:val="Default"/>
        <w:jc w:val="both"/>
        <w:rPr>
          <w:rFonts w:ascii="Trebuchet MS" w:eastAsia="Times New Roman" w:hAnsi="Trebuchet MS" w:cs="Times New Roman"/>
          <w:color w:val="000000" w:themeColor="text1"/>
          <w:sz w:val="22"/>
          <w:szCs w:val="22"/>
          <w:lang w:val="ro-RO"/>
        </w:rPr>
      </w:pPr>
    </w:p>
    <w:p w:rsidR="00B7275D" w:rsidRPr="00E117B6" w:rsidRDefault="00B7275D" w:rsidP="00B7275D">
      <w:pPr>
        <w:pStyle w:val="Default"/>
        <w:jc w:val="both"/>
        <w:rPr>
          <w:rFonts w:ascii="Trebuchet MS" w:hAnsi="Trebuchet MS"/>
          <w:color w:val="000000" w:themeColor="text1"/>
          <w:sz w:val="22"/>
          <w:szCs w:val="22"/>
          <w:lang w:val="ro-RO"/>
        </w:rPr>
      </w:pPr>
      <w:r w:rsidRPr="00E117B6">
        <w:rPr>
          <w:rFonts w:ascii="Trebuchet MS" w:hAnsi="Trebuchet MS"/>
          <w:b/>
          <w:bCs/>
          <w:color w:val="000000" w:themeColor="text1"/>
          <w:sz w:val="22"/>
          <w:szCs w:val="22"/>
          <w:lang w:val="ro-RO"/>
        </w:rPr>
        <w:t xml:space="preserve">10. Indicatori de monitorizare </w:t>
      </w:r>
    </w:p>
    <w:tbl>
      <w:tblPr>
        <w:tblW w:w="9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3471"/>
        <w:gridCol w:w="2879"/>
      </w:tblGrid>
      <w:tr w:rsidR="00B7275D" w:rsidRPr="00E117B6" w:rsidTr="0019602F">
        <w:tc>
          <w:tcPr>
            <w:tcW w:w="2660" w:type="dxa"/>
          </w:tcPr>
          <w:p w:rsidR="00B7275D" w:rsidRPr="00E117B6" w:rsidRDefault="00B7275D" w:rsidP="0019602F">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Domenii de intervenție</w:t>
            </w:r>
          </w:p>
        </w:tc>
        <w:tc>
          <w:tcPr>
            <w:tcW w:w="3471" w:type="dxa"/>
          </w:tcPr>
          <w:p w:rsidR="00B7275D" w:rsidRPr="00E117B6" w:rsidRDefault="00B7275D" w:rsidP="0019602F">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Indicator de monitorizare</w:t>
            </w:r>
          </w:p>
        </w:tc>
        <w:tc>
          <w:tcPr>
            <w:tcW w:w="2879" w:type="dxa"/>
          </w:tcPr>
          <w:p w:rsidR="00B7275D" w:rsidRPr="00E117B6" w:rsidRDefault="00B7275D" w:rsidP="0019602F">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Valoare</w:t>
            </w:r>
          </w:p>
        </w:tc>
      </w:tr>
      <w:tr w:rsidR="00B7275D" w:rsidRPr="00E117B6" w:rsidTr="0019602F">
        <w:trPr>
          <w:trHeight w:val="598"/>
        </w:trPr>
        <w:tc>
          <w:tcPr>
            <w:tcW w:w="2660" w:type="dxa"/>
          </w:tcPr>
          <w:p w:rsidR="00B7275D" w:rsidRPr="00E117B6" w:rsidRDefault="00B7275D" w:rsidP="0019602F">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6B</w:t>
            </w:r>
          </w:p>
        </w:tc>
        <w:tc>
          <w:tcPr>
            <w:tcW w:w="3471" w:type="dxa"/>
          </w:tcPr>
          <w:p w:rsidR="00B7275D" w:rsidRPr="00E117B6" w:rsidRDefault="00B7275D" w:rsidP="0019602F">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Populația netă care beneficiază de servicii/infrastructuri îmbunătățite</w:t>
            </w:r>
          </w:p>
        </w:tc>
        <w:tc>
          <w:tcPr>
            <w:tcW w:w="2879" w:type="dxa"/>
          </w:tcPr>
          <w:p w:rsidR="00B7275D" w:rsidRPr="00E117B6" w:rsidRDefault="00B7275D" w:rsidP="0019602F">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50</w:t>
            </w:r>
          </w:p>
        </w:tc>
      </w:tr>
      <w:tr w:rsidR="00B7275D" w:rsidRPr="00E117B6" w:rsidTr="0019602F">
        <w:tc>
          <w:tcPr>
            <w:tcW w:w="2660" w:type="dxa"/>
          </w:tcPr>
          <w:p w:rsidR="00B7275D" w:rsidRPr="00E117B6" w:rsidRDefault="00B7275D" w:rsidP="0019602F">
            <w:pPr>
              <w:pStyle w:val="Default"/>
              <w:jc w:val="both"/>
              <w:rPr>
                <w:rFonts w:ascii="Trebuchet MS" w:hAnsi="Trebuchet MS"/>
                <w:color w:val="000000" w:themeColor="text1"/>
                <w:sz w:val="22"/>
                <w:szCs w:val="22"/>
                <w:lang w:val="ro-RO"/>
              </w:rPr>
            </w:pPr>
            <w:r>
              <w:rPr>
                <w:rFonts w:ascii="Trebuchet MS" w:hAnsi="Trebuchet MS"/>
                <w:color w:val="000000" w:themeColor="text1"/>
                <w:sz w:val="22"/>
                <w:szCs w:val="22"/>
                <w:lang w:val="ro-RO"/>
              </w:rPr>
              <w:t xml:space="preserve">6A </w:t>
            </w:r>
          </w:p>
        </w:tc>
        <w:tc>
          <w:tcPr>
            <w:tcW w:w="3471" w:type="dxa"/>
          </w:tcPr>
          <w:p w:rsidR="00B7275D" w:rsidRPr="00E117B6" w:rsidRDefault="00B7275D" w:rsidP="0019602F">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Număr de locuri de muncă nou create</w:t>
            </w:r>
          </w:p>
        </w:tc>
        <w:tc>
          <w:tcPr>
            <w:tcW w:w="2879" w:type="dxa"/>
          </w:tcPr>
          <w:p w:rsidR="00B7275D" w:rsidRPr="00E117B6" w:rsidRDefault="00B7275D" w:rsidP="0019602F">
            <w:pPr>
              <w:jc w:val="both"/>
              <w:rPr>
                <w:rFonts w:ascii="Trebuchet MS" w:hAnsi="Trebuchet MS"/>
                <w:color w:val="000000" w:themeColor="text1"/>
                <w:sz w:val="22"/>
                <w:szCs w:val="22"/>
                <w:lang w:val="ro-RO"/>
              </w:rPr>
            </w:pPr>
            <w:r>
              <w:rPr>
                <w:rFonts w:ascii="Trebuchet MS" w:hAnsi="Trebuchet MS"/>
                <w:color w:val="000000" w:themeColor="text1"/>
                <w:sz w:val="22"/>
                <w:szCs w:val="22"/>
                <w:lang w:val="ro-RO"/>
              </w:rPr>
              <w:t xml:space="preserve"> 0</w:t>
            </w:r>
          </w:p>
        </w:tc>
      </w:tr>
      <w:tr w:rsidR="00B7275D" w:rsidRPr="00E117B6" w:rsidTr="0019602F">
        <w:tc>
          <w:tcPr>
            <w:tcW w:w="2660" w:type="dxa"/>
          </w:tcPr>
          <w:p w:rsidR="00B7275D" w:rsidRPr="00E117B6" w:rsidRDefault="00B7275D" w:rsidP="0019602F">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6B</w:t>
            </w:r>
          </w:p>
        </w:tc>
        <w:tc>
          <w:tcPr>
            <w:tcW w:w="3471" w:type="dxa"/>
          </w:tcPr>
          <w:p w:rsidR="00B7275D" w:rsidRPr="00E117B6" w:rsidRDefault="00B7275D" w:rsidP="0019602F">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Cheltuieli publice totale </w:t>
            </w:r>
          </w:p>
        </w:tc>
        <w:tc>
          <w:tcPr>
            <w:tcW w:w="2879" w:type="dxa"/>
          </w:tcPr>
          <w:p w:rsidR="00B7275D" w:rsidRPr="00E117B6" w:rsidRDefault="00B7275D" w:rsidP="0019602F">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20.000 Euro</w:t>
            </w:r>
          </w:p>
        </w:tc>
      </w:tr>
    </w:tbl>
    <w:p w:rsidR="00B7275D" w:rsidRPr="00E117B6" w:rsidRDefault="00B7275D" w:rsidP="00B7275D">
      <w:pPr>
        <w:pStyle w:val="Default"/>
        <w:jc w:val="both"/>
        <w:rPr>
          <w:rFonts w:ascii="Trebuchet MS" w:hAnsi="Trebuchet MS"/>
          <w:color w:val="000000" w:themeColor="text1"/>
          <w:sz w:val="22"/>
          <w:szCs w:val="22"/>
          <w:lang w:val="ro-RO"/>
        </w:rPr>
      </w:pPr>
    </w:p>
    <w:p w:rsidR="00B7275D" w:rsidRPr="00E117B6" w:rsidRDefault="00B7275D" w:rsidP="00B7275D">
      <w:pPr>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 xml:space="preserve">Caracterul inovativ al măsurii </w:t>
      </w:r>
      <w:r w:rsidRPr="00E117B6">
        <w:rPr>
          <w:rFonts w:ascii="Trebuchet MS" w:hAnsi="Trebuchet MS"/>
          <w:color w:val="000000" w:themeColor="text1"/>
          <w:sz w:val="22"/>
          <w:szCs w:val="22"/>
          <w:lang w:val="ro-RO"/>
        </w:rPr>
        <w:t>derivă din următoarele:</w:t>
      </w:r>
    </w:p>
    <w:p w:rsidR="00B7275D" w:rsidRPr="00E117B6" w:rsidRDefault="00B7275D" w:rsidP="00B7275D">
      <w:pPr>
        <w:jc w:val="both"/>
        <w:rPr>
          <w:rFonts w:ascii="Trebuchet MS" w:hAnsi="Trebuchet MS"/>
          <w:color w:val="000000" w:themeColor="text1"/>
          <w:sz w:val="22"/>
          <w:szCs w:val="22"/>
          <w:lang w:val="ro-RO"/>
        </w:rPr>
      </w:pPr>
    </w:p>
    <w:p w:rsidR="00B7275D" w:rsidRPr="00E117B6" w:rsidRDefault="00B7275D" w:rsidP="00B7275D">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Asigurarea condițiilor favorabile pentru incluziunea minorităților etnice din mediul rural bazat pe moștenirea culturală, tradiții, obiceiuri, specificități și meșteșuguri sau produse artizanale și culturale ale acestora, cu accent deosebit pe caracterul etnic și în special din etnia romă.</w:t>
      </w:r>
    </w:p>
    <w:p w:rsidR="00B7275D" w:rsidRPr="00E117B6" w:rsidRDefault="00B7275D" w:rsidP="00B7275D">
      <w:pPr>
        <w:jc w:val="both"/>
        <w:rPr>
          <w:rFonts w:ascii="Trebuchet MS" w:hAnsi="Trebuchet MS"/>
          <w:color w:val="000000" w:themeColor="text1"/>
          <w:sz w:val="22"/>
          <w:szCs w:val="22"/>
          <w:lang w:val="ro-RO"/>
        </w:rPr>
      </w:pPr>
    </w:p>
    <w:p w:rsidR="000E593C" w:rsidRDefault="000E593C"/>
    <w:sectPr w:rsidR="000E59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Trebuchet MS">
    <w:panose1 w:val="020B0603020202020204"/>
    <w:charset w:val="EE"/>
    <w:family w:val="swiss"/>
    <w:pitch w:val="variable"/>
    <w:sig w:usb0="00000287" w:usb1="00000000" w:usb2="00000000" w:usb3="00000000" w:csb0="000000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1F07"/>
    <w:multiLevelType w:val="hybridMultilevel"/>
    <w:tmpl w:val="151AC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33260"/>
    <w:multiLevelType w:val="hybridMultilevel"/>
    <w:tmpl w:val="80524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62A85"/>
    <w:multiLevelType w:val="hybridMultilevel"/>
    <w:tmpl w:val="C0D40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F1142F"/>
    <w:multiLevelType w:val="hybridMultilevel"/>
    <w:tmpl w:val="27CAC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AF25E4"/>
    <w:multiLevelType w:val="hybridMultilevel"/>
    <w:tmpl w:val="B9A68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4803AC"/>
    <w:multiLevelType w:val="hybridMultilevel"/>
    <w:tmpl w:val="796A3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0D1150"/>
    <w:multiLevelType w:val="hybridMultilevel"/>
    <w:tmpl w:val="AE48A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3"/>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9D8"/>
    <w:rsid w:val="000E593C"/>
    <w:rsid w:val="002479D8"/>
    <w:rsid w:val="00B7275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34C96"/>
  <w15:chartTrackingRefBased/>
  <w15:docId w15:val="{5D82112D-69AC-47ED-B024-DFC2A782D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75D"/>
    <w:pPr>
      <w:spacing w:after="0" w:line="276" w:lineRule="auto"/>
      <w:jc w:val="center"/>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75D"/>
    <w:pPr>
      <w:ind w:left="720"/>
      <w:contextualSpacing/>
    </w:pPr>
  </w:style>
  <w:style w:type="paragraph" w:customStyle="1" w:styleId="Default">
    <w:name w:val="Default"/>
    <w:rsid w:val="00B7275D"/>
    <w:pPr>
      <w:widowControl w:val="0"/>
      <w:autoSpaceDE w:val="0"/>
      <w:autoSpaceDN w:val="0"/>
      <w:adjustRightInd w:val="0"/>
      <w:spacing w:after="0" w:line="276" w:lineRule="auto"/>
      <w:jc w:val="center"/>
    </w:pPr>
    <w:rPr>
      <w:rFonts w:ascii="Tahoma" w:hAnsi="Tahoma" w:cs="Tahom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1021</Words>
  <Characters>5922</Characters>
  <Application>Microsoft Office Word</Application>
  <DocSecurity>0</DocSecurity>
  <Lines>49</Lines>
  <Paragraphs>13</Paragraphs>
  <ScaleCrop>false</ScaleCrop>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dc:creator>
  <cp:keywords/>
  <dc:description/>
  <cp:lastModifiedBy>Bil</cp:lastModifiedBy>
  <cp:revision>2</cp:revision>
  <dcterms:created xsi:type="dcterms:W3CDTF">2018-02-04T12:21:00Z</dcterms:created>
  <dcterms:modified xsi:type="dcterms:W3CDTF">2018-02-04T12:22:00Z</dcterms:modified>
</cp:coreProperties>
</file>