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74" w:rsidRDefault="009B5574">
      <w:pPr>
        <w:spacing w:after="7"/>
        <w:ind w:left="-5"/>
        <w:jc w:val="left"/>
        <w:rPr>
          <w:b/>
          <w:sz w:val="22"/>
        </w:rPr>
      </w:pPr>
    </w:p>
    <w:p w:rsidR="0037587C" w:rsidRPr="00E117B6" w:rsidRDefault="0037587C" w:rsidP="0037587C">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Infiintarea de activitati neagricole</w:t>
      </w:r>
    </w:p>
    <w:p w:rsidR="0037587C" w:rsidRPr="00E117B6" w:rsidRDefault="0037587C" w:rsidP="0037587C">
      <w:pPr>
        <w:widowControl w:val="0"/>
        <w:tabs>
          <w:tab w:val="center" w:pos="4510"/>
        </w:tabs>
        <w:autoSpaceDE w:val="0"/>
        <w:autoSpaceDN w:val="0"/>
        <w:adjustRightInd w:val="0"/>
        <w:rPr>
          <w:color w:val="000000" w:themeColor="text1"/>
          <w:sz w:val="22"/>
        </w:rPr>
      </w:pPr>
      <w:r w:rsidRPr="00E117B6">
        <w:rPr>
          <w:b/>
          <w:bCs/>
          <w:color w:val="000000" w:themeColor="text1"/>
          <w:sz w:val="22"/>
        </w:rPr>
        <w:t xml:space="preserve">CODUL Măsurii -  Măsura 6.1 / 6A </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r w:rsidRPr="00E117B6">
        <w:rPr>
          <w:b/>
          <w:bCs/>
          <w:color w:val="000000" w:themeColor="text1"/>
          <w:sz w:val="22"/>
        </w:rPr>
        <w:t>Tipul măsurii:</w:t>
      </w:r>
      <w:r w:rsidRPr="00E117B6">
        <w:rPr>
          <w:b/>
          <w:bCs/>
          <w:color w:val="000000" w:themeColor="text1"/>
          <w:sz w:val="22"/>
        </w:rPr>
        <w:tab/>
      </w:r>
      <w:r w:rsidRPr="00E117B6">
        <w:rPr>
          <w:b/>
          <w:bCs/>
          <w:color w:val="000000" w:themeColor="text1"/>
          <w:sz w:val="22"/>
        </w:rPr>
        <w:sym w:font="Wingdings" w:char="F06F"/>
      </w:r>
      <w:r w:rsidRPr="00E117B6">
        <w:rPr>
          <w:b/>
          <w:bCs/>
          <w:color w:val="000000" w:themeColor="text1"/>
          <w:sz w:val="22"/>
        </w:rPr>
        <w:t xml:space="preserve"> INVESTIȚII</w:t>
      </w:r>
    </w:p>
    <w:p w:rsidR="0037587C" w:rsidRPr="00E117B6" w:rsidRDefault="0037587C" w:rsidP="0037587C">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37587C" w:rsidRPr="00E117B6" w:rsidRDefault="0037587C" w:rsidP="0037587C">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78"/>
      </w:r>
      <w:r w:rsidRPr="00E117B6">
        <w:rPr>
          <w:b/>
          <w:bCs/>
          <w:color w:val="000000" w:themeColor="text1"/>
          <w:sz w:val="22"/>
        </w:rPr>
        <w:t xml:space="preserve"> SPRIJIN FORFETAR </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pStyle w:val="ListParagraph"/>
        <w:widowControl w:val="0"/>
        <w:numPr>
          <w:ilvl w:val="0"/>
          <w:numId w:val="18"/>
        </w:numPr>
        <w:overflowPunct w:val="0"/>
        <w:autoSpaceDE w:val="0"/>
        <w:autoSpaceDN w:val="0"/>
        <w:adjustRightInd w:val="0"/>
        <w:ind w:right="2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rPr>
          <w:bCs/>
          <w:color w:val="000000" w:themeColor="text1"/>
          <w:sz w:val="22"/>
        </w:rPr>
      </w:pPr>
      <w:r w:rsidRPr="00E117B6">
        <w:rPr>
          <w:bCs/>
          <w:color w:val="000000" w:themeColor="text1"/>
          <w:sz w:val="22"/>
        </w:rPr>
        <w:t xml:space="preserve">In randul activitatilor non agricole, </w:t>
      </w:r>
      <w:r w:rsidRPr="00E117B6">
        <w:rPr>
          <w:b/>
          <w:bCs/>
          <w:color w:val="000000" w:themeColor="text1"/>
          <w:sz w:val="22"/>
        </w:rPr>
        <w:t xml:space="preserve">atat industria prelucratoare, cat si turismul, sectoare ce  </w:t>
      </w:r>
      <w:r w:rsidRPr="00E117B6">
        <w:rPr>
          <w:bCs/>
          <w:color w:val="000000" w:themeColor="text1"/>
          <w:sz w:val="22"/>
        </w:rPr>
        <w:t>ar putea valorifica resursele si potentialul natural si cultural al zonei</w:t>
      </w:r>
      <w:r w:rsidRPr="00E117B6">
        <w:rPr>
          <w:b/>
          <w:bCs/>
          <w:color w:val="000000" w:themeColor="text1"/>
          <w:sz w:val="22"/>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bCs/>
          <w:color w:val="000000" w:themeColor="text1"/>
          <w:sz w:val="22"/>
        </w:rPr>
        <w:t xml:space="preserve"> </w:t>
      </w:r>
    </w:p>
    <w:p w:rsidR="0037587C" w:rsidRPr="00E117B6" w:rsidRDefault="0037587C" w:rsidP="0037587C">
      <w:pPr>
        <w:rPr>
          <w:color w:val="000000" w:themeColor="text1"/>
          <w:sz w:val="22"/>
        </w:rPr>
      </w:pPr>
      <w:r w:rsidRPr="00E117B6">
        <w:rPr>
          <w:color w:val="000000" w:themeColor="text1"/>
          <w:sz w:val="22"/>
        </w:rPr>
        <w:t>Infrastrucura de agrement este insuficientă pentru populația și potențialul turistic de dezvoltare al zonei.</w:t>
      </w:r>
    </w:p>
    <w:p w:rsidR="0037587C" w:rsidRPr="00E117B6" w:rsidRDefault="0037587C" w:rsidP="0037587C">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 activităţi neagricole pentru prima dată (start-up în baza unui plan de afaceri). Măsura contribuie la: ocuparea unei părţi din excedentul de forţă de muncă existent, la diversificarea economiei din teritoriul LEADER, la creşterea veniturilor populaţiei şi a nivelului de trai, la scăderea sărăciei şi la combaterea excluderii sociale.</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overflowPunct w:val="0"/>
        <w:autoSpaceDE w:val="0"/>
        <w:autoSpaceDN w:val="0"/>
        <w:adjustRightInd w:val="0"/>
        <w:rPr>
          <w:b/>
          <w:color w:val="000000" w:themeColor="text1"/>
          <w:sz w:val="22"/>
        </w:rPr>
      </w:pPr>
      <w:r w:rsidRPr="00E117B6">
        <w:rPr>
          <w:b/>
          <w:color w:val="000000" w:themeColor="text1"/>
          <w:sz w:val="22"/>
        </w:rPr>
        <w:t>Obiectiv(e) de dezvoltare rurală</w:t>
      </w:r>
    </w:p>
    <w:p w:rsidR="0037587C" w:rsidRPr="00E117B6" w:rsidRDefault="0037587C" w:rsidP="0037587C">
      <w:pPr>
        <w:pStyle w:val="Default"/>
        <w:widowControl/>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rurale,inclusiv crearea si mentinerea de locuri de munca</w:t>
      </w:r>
    </w:p>
    <w:p w:rsidR="0037587C" w:rsidRPr="00E117B6" w:rsidRDefault="0037587C" w:rsidP="0037587C">
      <w:pPr>
        <w:widowControl w:val="0"/>
        <w:overflowPunct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overflowPunct w:val="0"/>
        <w:autoSpaceDE w:val="0"/>
        <w:autoSpaceDN w:val="0"/>
        <w:adjustRightInd w:val="0"/>
        <w:ind w:right="20"/>
        <w:rPr>
          <w:color w:val="000000" w:themeColor="text1"/>
          <w:sz w:val="22"/>
        </w:rPr>
      </w:pPr>
      <w:r w:rsidRPr="00E117B6">
        <w:rPr>
          <w:b/>
          <w:color w:val="000000" w:themeColor="text1"/>
          <w:sz w:val="22"/>
        </w:rPr>
        <w:t xml:space="preserve">Obiective specifice ale masurii </w:t>
      </w:r>
    </w:p>
    <w:p w:rsidR="0037587C" w:rsidRPr="00E117B6" w:rsidRDefault="0037587C" w:rsidP="0037587C">
      <w:pPr>
        <w:numPr>
          <w:ilvl w:val="0"/>
          <w:numId w:val="10"/>
        </w:numPr>
        <w:tabs>
          <w:tab w:val="left" w:pos="231"/>
        </w:tabs>
        <w:spacing w:after="0" w:line="276" w:lineRule="auto"/>
        <w:contextualSpacing/>
        <w:rPr>
          <w:rFonts w:eastAsia="Times New Roman"/>
          <w:color w:val="000000" w:themeColor="text1"/>
          <w:sz w:val="22"/>
        </w:rPr>
      </w:pPr>
      <w:r w:rsidRPr="00E117B6">
        <w:rPr>
          <w:rFonts w:eastAsia="Times New Roman"/>
          <w:color w:val="000000" w:themeColor="text1"/>
          <w:sz w:val="22"/>
        </w:rPr>
        <w:t>Diversificarea economiei teritoriul LEADER, dezvoltarea economică a zonei şi eradicarea sărăciei</w:t>
      </w:r>
    </w:p>
    <w:p w:rsidR="0037587C" w:rsidRPr="00E117B6" w:rsidRDefault="0037587C" w:rsidP="0037587C">
      <w:pPr>
        <w:numPr>
          <w:ilvl w:val="0"/>
          <w:numId w:val="10"/>
        </w:numPr>
        <w:tabs>
          <w:tab w:val="left" w:pos="231"/>
        </w:tabs>
        <w:spacing w:after="0" w:line="276" w:lineRule="auto"/>
        <w:ind w:left="0" w:firstLine="15"/>
        <w:contextualSpacing/>
        <w:rPr>
          <w:rFonts w:eastAsia="Times New Roman"/>
          <w:color w:val="000000" w:themeColor="text1"/>
          <w:sz w:val="22"/>
        </w:rPr>
      </w:pPr>
      <w:r w:rsidRPr="00E117B6">
        <w:rPr>
          <w:rFonts w:eastAsia="Times New Roman"/>
          <w:color w:val="000000" w:themeColor="text1"/>
          <w:sz w:val="22"/>
        </w:rPr>
        <w:t xml:space="preserve">  dezvoltarea serviciilor pentru populaţie şi alte activităţi economice</w:t>
      </w:r>
    </w:p>
    <w:p w:rsidR="0037587C" w:rsidRPr="00E117B6" w:rsidRDefault="0037587C" w:rsidP="0037587C">
      <w:pPr>
        <w:numPr>
          <w:ilvl w:val="0"/>
          <w:numId w:val="10"/>
        </w:numPr>
        <w:tabs>
          <w:tab w:val="left" w:pos="231"/>
        </w:tabs>
        <w:spacing w:after="0" w:line="276" w:lineRule="auto"/>
        <w:contextualSpacing/>
        <w:rPr>
          <w:rFonts w:eastAsia="Times New Roman"/>
          <w:color w:val="000000" w:themeColor="text1"/>
          <w:sz w:val="22"/>
        </w:rPr>
      </w:pPr>
      <w:r w:rsidRPr="00E117B6">
        <w:rPr>
          <w:rFonts w:eastAsia="Times New Roman"/>
          <w:color w:val="000000" w:themeColor="text1"/>
          <w:sz w:val="22"/>
        </w:rPr>
        <w:t xml:space="preserve">  crearea de locuri de muncă de calitate în teritoriul LEADER</w:t>
      </w:r>
    </w:p>
    <w:p w:rsidR="0037587C" w:rsidRPr="00E117B6" w:rsidRDefault="0037587C" w:rsidP="0037587C">
      <w:pPr>
        <w:numPr>
          <w:ilvl w:val="0"/>
          <w:numId w:val="10"/>
        </w:numPr>
        <w:tabs>
          <w:tab w:val="left" w:pos="231"/>
        </w:tabs>
        <w:spacing w:after="0" w:line="276" w:lineRule="auto"/>
        <w:ind w:left="0" w:firstLine="15"/>
        <w:contextualSpacing/>
        <w:rPr>
          <w:rFonts w:eastAsia="Times New Roman"/>
          <w:color w:val="000000" w:themeColor="text1"/>
          <w:sz w:val="22"/>
        </w:rPr>
      </w:pPr>
      <w:r w:rsidRPr="00E117B6">
        <w:rPr>
          <w:rFonts w:eastAsia="Times New Roman"/>
          <w:color w:val="000000" w:themeColor="text1"/>
          <w:sz w:val="22"/>
        </w:rPr>
        <w:t xml:space="preserve">  încurajarea menținerii și dezvoltării activităților meșteșugărești tradiționale</w:t>
      </w:r>
    </w:p>
    <w:p w:rsidR="0037587C" w:rsidRPr="00E117B6" w:rsidRDefault="0037587C" w:rsidP="0037587C">
      <w:pPr>
        <w:widowControl w:val="0"/>
        <w:numPr>
          <w:ilvl w:val="0"/>
          <w:numId w:val="10"/>
        </w:numPr>
        <w:autoSpaceDE w:val="0"/>
        <w:autoSpaceDN w:val="0"/>
        <w:adjustRightInd w:val="0"/>
        <w:spacing w:after="0" w:line="276" w:lineRule="auto"/>
        <w:rPr>
          <w:color w:val="000000" w:themeColor="text1"/>
          <w:sz w:val="22"/>
        </w:rPr>
      </w:pPr>
      <w:r w:rsidRPr="00E117B6">
        <w:rPr>
          <w:color w:val="000000" w:themeColor="text1"/>
          <w:sz w:val="22"/>
        </w:rPr>
        <w:t>dezvoltarea turismului prin incurajarea infiintarii unor structuri de cazare altele decat pensiunile agroturistice,baza de agrement etc.</w:t>
      </w:r>
    </w:p>
    <w:p w:rsidR="0037587C" w:rsidRPr="00E117B6" w:rsidRDefault="0037587C" w:rsidP="0037587C">
      <w:pPr>
        <w:widowControl w:val="0"/>
        <w:autoSpaceDE w:val="0"/>
        <w:autoSpaceDN w:val="0"/>
        <w:adjustRightInd w:val="0"/>
        <w:ind w:left="360"/>
        <w:rPr>
          <w:color w:val="000000" w:themeColor="text1"/>
          <w:sz w:val="22"/>
        </w:rPr>
      </w:pPr>
    </w:p>
    <w:p w:rsidR="0037587C" w:rsidRPr="00E117B6" w:rsidRDefault="0037587C" w:rsidP="0037587C">
      <w:pPr>
        <w:widowControl w:val="0"/>
        <w:overflowPunct w:val="0"/>
        <w:autoSpaceDE w:val="0"/>
        <w:autoSpaceDN w:val="0"/>
        <w:adjustRightInd w:val="0"/>
        <w:rPr>
          <w:color w:val="000000" w:themeColor="text1"/>
          <w:sz w:val="22"/>
        </w:rPr>
      </w:pPr>
      <w:r w:rsidRPr="00E117B6">
        <w:rPr>
          <w:b/>
          <w:color w:val="000000" w:themeColor="text1"/>
          <w:sz w:val="22"/>
        </w:rPr>
        <w:t>Măsura contribuie</w:t>
      </w:r>
      <w:r w:rsidRPr="00E117B6">
        <w:rPr>
          <w:color w:val="000000" w:themeColor="text1"/>
          <w:sz w:val="22"/>
        </w:rPr>
        <w:t xml:space="preserve"> </w:t>
      </w:r>
      <w:r w:rsidRPr="00E117B6">
        <w:rPr>
          <w:b/>
          <w:color w:val="000000" w:themeColor="text1"/>
          <w:sz w:val="22"/>
        </w:rPr>
        <w:t>la prioritatea/prioritățile</w:t>
      </w:r>
      <w:r w:rsidRPr="00E117B6">
        <w:rPr>
          <w:color w:val="000000" w:themeColor="text1"/>
          <w:sz w:val="22"/>
        </w:rPr>
        <w:t xml:space="preserve"> prevăzute la art. 5, Reg. (UE) nr. 1305/2013 </w:t>
      </w:r>
    </w:p>
    <w:p w:rsidR="0037587C" w:rsidRPr="00E117B6" w:rsidRDefault="0037587C" w:rsidP="0037587C">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overflowPunct w:val="0"/>
        <w:autoSpaceDE w:val="0"/>
        <w:autoSpaceDN w:val="0"/>
        <w:adjustRightInd w:val="0"/>
        <w:rPr>
          <w:b/>
          <w:color w:val="000000" w:themeColor="text1"/>
          <w:sz w:val="22"/>
        </w:rPr>
      </w:pPr>
      <w:r w:rsidRPr="00E117B6">
        <w:rPr>
          <w:b/>
          <w:color w:val="000000" w:themeColor="text1"/>
          <w:sz w:val="22"/>
        </w:rPr>
        <w:t>Măsura corespunde obiectivelor art.</w:t>
      </w:r>
      <w:r w:rsidRPr="00E117B6">
        <w:rPr>
          <w:color w:val="000000" w:themeColor="text1"/>
          <w:sz w:val="22"/>
        </w:rPr>
        <w:t xml:space="preserve"> 19 Dezvoltarea exploatatiilor si a intreprinderilor </w:t>
      </w:r>
      <w:r w:rsidRPr="00E117B6">
        <w:rPr>
          <w:b/>
          <w:color w:val="000000" w:themeColor="text1"/>
          <w:sz w:val="22"/>
        </w:rPr>
        <w:t>alineatul 1a, punctul ii)</w:t>
      </w:r>
      <w:r w:rsidRPr="00E117B6">
        <w:rPr>
          <w:color w:val="000000" w:themeColor="text1"/>
          <w:sz w:val="22"/>
        </w:rPr>
        <w:t xml:space="preserve"> activități neagricole in zone rurale</w:t>
      </w:r>
    </w:p>
    <w:p w:rsidR="0037587C" w:rsidRPr="00E117B6" w:rsidRDefault="0037587C" w:rsidP="0037587C">
      <w:pPr>
        <w:widowControl w:val="0"/>
        <w:overflowPunct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r w:rsidRPr="00E117B6">
        <w:rPr>
          <w:b/>
          <w:color w:val="000000" w:themeColor="text1"/>
          <w:sz w:val="22"/>
        </w:rPr>
        <w:t>Măsura contribuie la Domeniul de intervenție</w:t>
      </w:r>
      <w:r w:rsidRPr="00E117B6">
        <w:rPr>
          <w:color w:val="000000" w:themeColor="text1"/>
          <w:sz w:val="22"/>
        </w:rPr>
        <w:t xml:space="preserve"> </w:t>
      </w:r>
      <w:r w:rsidRPr="00E117B6">
        <w:rPr>
          <w:b/>
          <w:color w:val="000000" w:themeColor="text1"/>
          <w:sz w:val="22"/>
        </w:rPr>
        <w:t>6A</w:t>
      </w:r>
      <w:r w:rsidRPr="00E117B6">
        <w:rPr>
          <w:rFonts w:eastAsia="Times New Roman"/>
          <w:b/>
          <w:color w:val="000000" w:themeColor="text1"/>
          <w:sz w:val="22"/>
        </w:rPr>
        <w:t xml:space="preserve"> Facilitarea diversificării, a înfiinţării şi a dezvoltării de întreprinderi mici, precum şi crearea de locuri de muncă</w:t>
      </w:r>
      <w:r w:rsidRPr="00E117B6">
        <w:rPr>
          <w:color w:val="000000" w:themeColor="text1"/>
          <w:sz w:val="22"/>
        </w:rPr>
        <w:t>.</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overflowPunct w:val="0"/>
        <w:autoSpaceDE w:val="0"/>
        <w:autoSpaceDN w:val="0"/>
        <w:adjustRightInd w:val="0"/>
        <w:ind w:left="4"/>
        <w:rPr>
          <w:color w:val="000000" w:themeColor="text1"/>
          <w:sz w:val="22"/>
        </w:rPr>
      </w:pPr>
      <w:r w:rsidRPr="00E117B6">
        <w:rPr>
          <w:b/>
          <w:color w:val="000000" w:themeColor="text1"/>
          <w:sz w:val="22"/>
        </w:rPr>
        <w:t>Măsura contribuie la obiectivele transversale</w:t>
      </w:r>
      <w:r w:rsidRPr="00E117B6">
        <w:rPr>
          <w:color w:val="000000" w:themeColor="text1"/>
          <w:sz w:val="22"/>
        </w:rPr>
        <w:t xml:space="preserve"> ale Reg. (UE) nr. 1305/2013: </w:t>
      </w:r>
    </w:p>
    <w:p w:rsidR="0037587C" w:rsidRPr="00E117B6" w:rsidRDefault="0037587C" w:rsidP="0037587C">
      <w:pPr>
        <w:widowControl w:val="0"/>
        <w:overflowPunct w:val="0"/>
        <w:autoSpaceDE w:val="0"/>
        <w:autoSpaceDN w:val="0"/>
        <w:adjustRightInd w:val="0"/>
        <w:ind w:left="4"/>
        <w:rPr>
          <w:color w:val="000000" w:themeColor="text1"/>
          <w:sz w:val="22"/>
        </w:rPr>
      </w:pPr>
    </w:p>
    <w:p w:rsidR="0037587C" w:rsidRPr="00E117B6" w:rsidRDefault="0037587C" w:rsidP="0037587C">
      <w:pPr>
        <w:rPr>
          <w:rFonts w:eastAsia="Times New Roman"/>
          <w:color w:val="000000" w:themeColor="text1"/>
          <w:sz w:val="22"/>
        </w:rPr>
      </w:pPr>
      <w:r w:rsidRPr="00E117B6">
        <w:rPr>
          <w:rFonts w:eastAsia="Times New Roman"/>
          <w:color w:val="000000" w:themeColor="text1"/>
          <w:sz w:val="22"/>
        </w:rPr>
        <w:t>Măsura contribuie la inovare şi protecţia mediului</w:t>
      </w:r>
    </w:p>
    <w:p w:rsidR="0037587C" w:rsidRPr="00E117B6" w:rsidRDefault="0037587C" w:rsidP="0037587C">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37587C" w:rsidRPr="00E117B6" w:rsidRDefault="0037587C" w:rsidP="0037587C">
      <w:pPr>
        <w:widowControl w:val="0"/>
        <w:overflowPunct w:val="0"/>
        <w:autoSpaceDE w:val="0"/>
        <w:autoSpaceDN w:val="0"/>
        <w:adjustRightInd w:val="0"/>
        <w:ind w:left="4"/>
        <w:rPr>
          <w:color w:val="000000" w:themeColor="text1"/>
          <w:sz w:val="22"/>
        </w:rPr>
      </w:pPr>
    </w:p>
    <w:p w:rsidR="0037587C" w:rsidRPr="00E117B6" w:rsidRDefault="0037587C" w:rsidP="0037587C">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măsura M6.1 este complementara cu măsura M6.2 a SDL prin delimitarea tipului de intervenție, astfel dezvoltarea prin investiții a activităților de producție, modernizare a întreprinderilor și turism sunt sprijinită exclusiv de M6.2 în timp ce alte activități de diversificare a economiei rurale neagricole sunt sprijinite forfetar prin M6.1.</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
        <w:rPr>
          <w:color w:val="000000" w:themeColor="text1"/>
          <w:sz w:val="22"/>
        </w:rPr>
      </w:pPr>
      <w:r w:rsidRPr="00E117B6">
        <w:rPr>
          <w:b/>
          <w:color w:val="000000" w:themeColor="text1"/>
          <w:sz w:val="22"/>
        </w:rPr>
        <w:t>Sinergia cu alte măsuri din SDL</w:t>
      </w:r>
      <w:r w:rsidRPr="00E117B6">
        <w:rPr>
          <w:color w:val="000000" w:themeColor="text1"/>
          <w:sz w:val="22"/>
        </w:rPr>
        <w:t>: măsura M6.1 este în sinergie cu măsura M1 pentru aportul acestei măsuri la dezvoltarea și sustenabilitatea investițiilor sprijinite de M6.1 pe baza formării, informării, transferului de cunoștințe și inovație. Sinergia cu măsura M3 este asigurată de posibilitățile de integrare superioară și de orientare de piața a investițiilor sprijinite de M6.1 spre scheme de calitate.</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24"/>
        <w:rPr>
          <w:b/>
          <w:color w:val="000000" w:themeColor="text1"/>
          <w:sz w:val="22"/>
        </w:rPr>
      </w:pPr>
      <w:r w:rsidRPr="00E117B6">
        <w:rPr>
          <w:b/>
          <w:bCs/>
          <w:color w:val="000000" w:themeColor="text1"/>
          <w:sz w:val="22"/>
        </w:rPr>
        <w:t>2.  Valoarea adăugată a măsurii</w:t>
      </w:r>
    </w:p>
    <w:p w:rsidR="0037587C" w:rsidRPr="00E117B6" w:rsidRDefault="0037587C" w:rsidP="0037587C">
      <w:pPr>
        <w:widowControl w:val="0"/>
        <w:autoSpaceDE w:val="0"/>
        <w:autoSpaceDN w:val="0"/>
        <w:adjustRightInd w:val="0"/>
        <w:rPr>
          <w:b/>
          <w:color w:val="000000" w:themeColor="text1"/>
          <w:sz w:val="22"/>
          <w:u w:val="single"/>
        </w:rPr>
      </w:pPr>
    </w:p>
    <w:p w:rsidR="0037587C" w:rsidRPr="00E117B6" w:rsidRDefault="0037587C" w:rsidP="0037587C">
      <w:pPr>
        <w:numPr>
          <w:ilvl w:val="0"/>
          <w:numId w:val="11"/>
        </w:numPr>
        <w:spacing w:after="0" w:line="276" w:lineRule="auto"/>
        <w:contextualSpacing/>
        <w:rPr>
          <w:color w:val="000000" w:themeColor="text1"/>
          <w:sz w:val="22"/>
        </w:rPr>
      </w:pPr>
      <w:r w:rsidRPr="00E117B6">
        <w:rPr>
          <w:color w:val="000000" w:themeColor="text1"/>
          <w:sz w:val="22"/>
        </w:rPr>
        <w:t>stimularea activităţilor economice noi din sfera serviciilor turistice, serviciilor pentru populaţie sau pentru alte activităţi economice neagricole din teritoriul GAL;</w:t>
      </w:r>
    </w:p>
    <w:p w:rsidR="0037587C" w:rsidRPr="00E117B6" w:rsidRDefault="0037587C" w:rsidP="0037587C">
      <w:pPr>
        <w:numPr>
          <w:ilvl w:val="0"/>
          <w:numId w:val="11"/>
        </w:numPr>
        <w:spacing w:after="0" w:line="276" w:lineRule="auto"/>
        <w:contextualSpacing/>
        <w:rPr>
          <w:color w:val="000000" w:themeColor="text1"/>
          <w:sz w:val="22"/>
        </w:rPr>
      </w:pPr>
      <w:r w:rsidRPr="00E117B6">
        <w:rPr>
          <w:color w:val="000000" w:themeColor="text1"/>
          <w:sz w:val="22"/>
        </w:rPr>
        <w:t>dezvoltarea resurselor umane și utilizarea de know-how;</w:t>
      </w:r>
    </w:p>
    <w:p w:rsidR="0037587C" w:rsidRPr="00E117B6" w:rsidRDefault="0037587C" w:rsidP="0037587C">
      <w:pPr>
        <w:widowControl w:val="0"/>
        <w:numPr>
          <w:ilvl w:val="0"/>
          <w:numId w:val="11"/>
        </w:numPr>
        <w:autoSpaceDE w:val="0"/>
        <w:autoSpaceDN w:val="0"/>
        <w:adjustRightInd w:val="0"/>
        <w:spacing w:after="0" w:line="276" w:lineRule="auto"/>
        <w:rPr>
          <w:b/>
          <w:color w:val="000000" w:themeColor="text1"/>
          <w:sz w:val="22"/>
          <w:u w:val="single"/>
        </w:rPr>
      </w:pPr>
      <w:r w:rsidRPr="00E117B6">
        <w:rPr>
          <w:color w:val="000000" w:themeColor="text1"/>
          <w:sz w:val="22"/>
        </w:rPr>
        <w:t>crearea de noi locuri de muncă.</w:t>
      </w:r>
    </w:p>
    <w:p w:rsidR="0037587C" w:rsidRPr="00E117B6" w:rsidRDefault="0037587C" w:rsidP="0037587C">
      <w:pPr>
        <w:rPr>
          <w:color w:val="000000" w:themeColor="text1"/>
          <w:sz w:val="22"/>
        </w:rPr>
      </w:pPr>
    </w:p>
    <w:p w:rsidR="0037587C" w:rsidRPr="00E117B6" w:rsidRDefault="0037587C" w:rsidP="0037587C">
      <w:pPr>
        <w:rPr>
          <w:b/>
          <w:bCs/>
          <w:color w:val="000000" w:themeColor="text1"/>
          <w:sz w:val="22"/>
        </w:rPr>
      </w:pPr>
      <w:r w:rsidRPr="00E117B6">
        <w:rPr>
          <w:color w:val="000000" w:themeColor="text1"/>
          <w:sz w:val="22"/>
        </w:rPr>
        <w:t>3.</w:t>
      </w:r>
      <w:r w:rsidRPr="00E117B6">
        <w:rPr>
          <w:b/>
          <w:bCs/>
          <w:color w:val="000000" w:themeColor="text1"/>
          <w:sz w:val="22"/>
        </w:rPr>
        <w:t xml:space="preserve">Trimiteri la alte acte legislative </w:t>
      </w:r>
    </w:p>
    <w:p w:rsidR="0037587C" w:rsidRPr="00E117B6" w:rsidRDefault="0037587C" w:rsidP="0037587C">
      <w:pPr>
        <w:rPr>
          <w:color w:val="000000" w:themeColor="text1"/>
          <w:sz w:val="22"/>
        </w:rPr>
      </w:pPr>
      <w:r w:rsidRPr="00E117B6">
        <w:rPr>
          <w:color w:val="000000" w:themeColor="text1"/>
          <w:sz w:val="22"/>
        </w:rPr>
        <w:t>Regulamentul nr.1305/2013 cu modificările și completările ulterioare;</w:t>
      </w:r>
    </w:p>
    <w:p w:rsidR="0037587C" w:rsidRPr="00E117B6" w:rsidRDefault="0037587C" w:rsidP="0037587C">
      <w:pPr>
        <w:rPr>
          <w:color w:val="000000" w:themeColor="text1"/>
          <w:sz w:val="22"/>
        </w:rPr>
      </w:pPr>
      <w:r w:rsidRPr="00E117B6">
        <w:rPr>
          <w:color w:val="000000" w:themeColor="text1"/>
          <w:sz w:val="22"/>
        </w:rPr>
        <w:t>Regulamentul nr.1303/2013 cu modificările și completările ulterioare;</w:t>
      </w:r>
    </w:p>
    <w:p w:rsidR="0037587C" w:rsidRPr="00E117B6" w:rsidRDefault="0037587C" w:rsidP="0037587C">
      <w:pPr>
        <w:rPr>
          <w:color w:val="000000" w:themeColor="text1"/>
          <w:sz w:val="22"/>
        </w:rPr>
      </w:pPr>
      <w:r w:rsidRPr="00E117B6">
        <w:rPr>
          <w:color w:val="000000" w:themeColor="text1"/>
          <w:sz w:val="22"/>
        </w:rPr>
        <w:t>Regulamentul nr.1407/2013 cu modificările și completările ulterioare;</w:t>
      </w:r>
    </w:p>
    <w:p w:rsidR="0037587C" w:rsidRPr="00E117B6" w:rsidRDefault="0037587C" w:rsidP="0037587C">
      <w:pPr>
        <w:rPr>
          <w:color w:val="000000" w:themeColor="text1"/>
          <w:sz w:val="22"/>
        </w:rPr>
      </w:pPr>
      <w:r w:rsidRPr="00E117B6">
        <w:rPr>
          <w:color w:val="000000" w:themeColor="text1"/>
          <w:sz w:val="22"/>
        </w:rPr>
        <w:t>Regulamentul nr.807/2014 cu modificările și completările ulterioare;</w:t>
      </w:r>
    </w:p>
    <w:p w:rsidR="0037587C" w:rsidRPr="00E117B6" w:rsidRDefault="0037587C" w:rsidP="0037587C">
      <w:pPr>
        <w:autoSpaceDE w:val="0"/>
        <w:autoSpaceDN w:val="0"/>
        <w:adjustRightInd w:val="0"/>
        <w:rPr>
          <w:color w:val="000000" w:themeColor="text1"/>
          <w:sz w:val="22"/>
        </w:rPr>
      </w:pPr>
      <w:r w:rsidRPr="00E117B6">
        <w:rPr>
          <w:color w:val="000000" w:themeColor="text1"/>
          <w:sz w:val="22"/>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37587C" w:rsidRPr="00E117B6" w:rsidRDefault="0037587C" w:rsidP="0037587C">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37587C" w:rsidRPr="00E117B6" w:rsidRDefault="0037587C" w:rsidP="0037587C">
      <w:pPr>
        <w:pStyle w:val="Default"/>
        <w:jc w:val="both"/>
        <w:rPr>
          <w:rFonts w:ascii="Trebuchet MS" w:hAnsi="Trebuchet MS"/>
          <w:b/>
          <w:color w:val="000000" w:themeColor="text1"/>
          <w:sz w:val="22"/>
          <w:szCs w:val="22"/>
          <w:lang w:val="ro-RO"/>
        </w:rPr>
      </w:pPr>
    </w:p>
    <w:p w:rsidR="0037587C" w:rsidRPr="00E117B6" w:rsidRDefault="0037587C" w:rsidP="0037587C">
      <w:pPr>
        <w:widowControl w:val="0"/>
        <w:autoSpaceDE w:val="0"/>
        <w:autoSpaceDN w:val="0"/>
        <w:adjustRightInd w:val="0"/>
        <w:rPr>
          <w:b/>
          <w:bCs/>
          <w:color w:val="000000" w:themeColor="text1"/>
          <w:sz w:val="22"/>
        </w:rPr>
      </w:pPr>
    </w:p>
    <w:p w:rsidR="0037587C" w:rsidRPr="00E117B6" w:rsidRDefault="0037587C" w:rsidP="0037587C">
      <w:pPr>
        <w:widowControl w:val="0"/>
        <w:overflowPunct w:val="0"/>
        <w:autoSpaceDE w:val="0"/>
        <w:autoSpaceDN w:val="0"/>
        <w:adjustRightInd w:val="0"/>
        <w:ind w:left="360"/>
        <w:rPr>
          <w:b/>
          <w:bCs/>
          <w:color w:val="000000" w:themeColor="text1"/>
          <w:sz w:val="22"/>
        </w:rPr>
      </w:pPr>
      <w:r w:rsidRPr="00E117B6">
        <w:rPr>
          <w:b/>
          <w:bCs/>
          <w:color w:val="000000" w:themeColor="text1"/>
          <w:sz w:val="22"/>
        </w:rPr>
        <w:t xml:space="preserve">4.Beneficiari direcți/indirecți (grup țintă) </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tabs>
          <w:tab w:val="left" w:pos="161"/>
        </w:tabs>
        <w:contextualSpacing/>
        <w:rPr>
          <w:rFonts w:eastAsia="Times New Roman"/>
          <w:b/>
          <w:color w:val="000000" w:themeColor="text1"/>
          <w:sz w:val="22"/>
        </w:rPr>
      </w:pPr>
      <w:r w:rsidRPr="00E117B6">
        <w:rPr>
          <w:rFonts w:eastAsia="Times New Roman"/>
          <w:b/>
          <w:color w:val="000000" w:themeColor="text1"/>
          <w:sz w:val="22"/>
        </w:rPr>
        <w:lastRenderedPageBreak/>
        <w:t>Microîntreprinderile, întreprinderile mici și persoanele fizice din zone rurale (Start-up)</w:t>
      </w:r>
      <w:r w:rsidRPr="00E117B6">
        <w:rPr>
          <w:rFonts w:eastAsia="Times New Roman"/>
          <w:color w:val="000000" w:themeColor="text1"/>
          <w:sz w:val="22"/>
        </w:rPr>
        <w:t xml:space="preserve">.  –art 19. alin. 1, litera a, punctul ii: </w:t>
      </w:r>
    </w:p>
    <w:p w:rsidR="0037587C" w:rsidRPr="00E117B6" w:rsidRDefault="0037587C" w:rsidP="0037587C">
      <w:pPr>
        <w:numPr>
          <w:ilvl w:val="1"/>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 xml:space="preserve">Micro-întreprinderi și întreprinderi mici existente din spațiul rural, care își propun activități neagricole, pe care pe care nu le-au mai efectuat până la data aplicării pentru sprijin; </w:t>
      </w:r>
    </w:p>
    <w:p w:rsidR="0037587C" w:rsidRPr="00E117B6" w:rsidRDefault="0037587C" w:rsidP="0037587C">
      <w:pPr>
        <w:numPr>
          <w:ilvl w:val="1"/>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Micro-întreprinderi și întreprinderi mici noi, înființate în anul depunerii aplicației de finanțare sau cu o vechime de maxim 3 ani fiscali, care nu au desfășurat activități până în momentul depunerii acesteia.</w:t>
      </w:r>
    </w:p>
    <w:p w:rsidR="0037587C" w:rsidRPr="00E117B6" w:rsidRDefault="0037587C" w:rsidP="0037587C">
      <w:pPr>
        <w:numPr>
          <w:ilvl w:val="1"/>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Persoanele fizice - fermieri sau membrii unei gospodării agricole care își propun activități non-gricole.</w:t>
      </w:r>
    </w:p>
    <w:p w:rsidR="0037587C" w:rsidRPr="00E117B6" w:rsidRDefault="0037587C" w:rsidP="0037587C">
      <w:pPr>
        <w:pStyle w:val="Default"/>
        <w:ind w:left="36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w:t>
      </w:r>
    </w:p>
    <w:p w:rsidR="0037587C" w:rsidRPr="00E117B6" w:rsidRDefault="0037587C" w:rsidP="0037587C">
      <w:pPr>
        <w:tabs>
          <w:tab w:val="left" w:pos="161"/>
        </w:tabs>
        <w:contextualSpacing/>
        <w:rPr>
          <w:b/>
          <w:color w:val="000000" w:themeColor="text1"/>
          <w:sz w:val="22"/>
        </w:rPr>
      </w:pPr>
      <w:r w:rsidRPr="00E117B6">
        <w:rPr>
          <w:b/>
          <w:color w:val="000000" w:themeColor="text1"/>
          <w:sz w:val="22"/>
        </w:rPr>
        <w:t>Beneficiarii indirecți sunt:</w:t>
      </w:r>
    </w:p>
    <w:p w:rsidR="0037587C" w:rsidRPr="00E117B6" w:rsidRDefault="0037587C" w:rsidP="0037587C">
      <w:pPr>
        <w:numPr>
          <w:ilvl w:val="0"/>
          <w:numId w:val="13"/>
        </w:numPr>
        <w:autoSpaceDE w:val="0"/>
        <w:autoSpaceDN w:val="0"/>
        <w:adjustRightInd w:val="0"/>
        <w:spacing w:after="0" w:line="276" w:lineRule="auto"/>
        <w:contextualSpacing/>
        <w:rPr>
          <w:color w:val="000000" w:themeColor="text1"/>
          <w:sz w:val="22"/>
        </w:rPr>
      </w:pPr>
      <w:r w:rsidRPr="00E117B6">
        <w:rPr>
          <w:color w:val="000000" w:themeColor="text1"/>
          <w:sz w:val="22"/>
        </w:rPr>
        <w:t>consumatori din teritoriu și din regiune</w:t>
      </w:r>
    </w:p>
    <w:p w:rsidR="0037587C" w:rsidRPr="00E117B6" w:rsidRDefault="0037587C" w:rsidP="0037587C">
      <w:pPr>
        <w:numPr>
          <w:ilvl w:val="0"/>
          <w:numId w:val="13"/>
        </w:numPr>
        <w:autoSpaceDE w:val="0"/>
        <w:autoSpaceDN w:val="0"/>
        <w:adjustRightInd w:val="0"/>
        <w:spacing w:after="0" w:line="276" w:lineRule="auto"/>
        <w:contextualSpacing/>
        <w:rPr>
          <w:color w:val="000000" w:themeColor="text1"/>
          <w:sz w:val="22"/>
        </w:rPr>
      </w:pPr>
      <w:r w:rsidRPr="00E117B6">
        <w:rPr>
          <w:color w:val="000000" w:themeColor="text1"/>
          <w:sz w:val="22"/>
        </w:rPr>
        <w:t>Persoanele din categoria populaţiei active aflate în căutarea unui loc de muncă</w:t>
      </w:r>
    </w:p>
    <w:p w:rsidR="0037587C" w:rsidRPr="00E117B6" w:rsidRDefault="0037587C" w:rsidP="0037587C">
      <w:pPr>
        <w:pStyle w:val="Default"/>
        <w:jc w:val="both"/>
        <w:rPr>
          <w:rFonts w:ascii="Trebuchet MS" w:hAnsi="Trebuchet MS"/>
          <w:b/>
          <w:bCs/>
          <w:color w:val="000000" w:themeColor="text1"/>
          <w:sz w:val="22"/>
          <w:szCs w:val="22"/>
          <w:lang w:val="ro-RO"/>
        </w:rPr>
      </w:pP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24"/>
        <w:rPr>
          <w:color w:val="000000" w:themeColor="text1"/>
          <w:sz w:val="22"/>
        </w:rPr>
      </w:pPr>
      <w:r w:rsidRPr="00E117B6">
        <w:rPr>
          <w:b/>
          <w:bCs/>
          <w:color w:val="000000" w:themeColor="text1"/>
          <w:sz w:val="22"/>
        </w:rPr>
        <w:t>5.  Tip de sprijin</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tabs>
          <w:tab w:val="left" w:pos="180"/>
        </w:tabs>
        <w:contextualSpacing/>
        <w:rPr>
          <w:rFonts w:eastAsia="Times New Roman"/>
          <w:color w:val="000000" w:themeColor="text1"/>
          <w:sz w:val="22"/>
        </w:rPr>
      </w:pPr>
      <w:r w:rsidRPr="00E117B6">
        <w:rPr>
          <w:rFonts w:eastAsia="Times New Roman"/>
          <w:color w:val="000000" w:themeColor="text1"/>
          <w:sz w:val="22"/>
        </w:rPr>
        <w:t xml:space="preserve">Sprijinul va fi acordat sub formă de </w:t>
      </w:r>
      <w:r w:rsidRPr="00E117B6">
        <w:rPr>
          <w:rFonts w:eastAsia="Times New Roman"/>
          <w:b/>
          <w:color w:val="000000" w:themeColor="text1"/>
          <w:sz w:val="22"/>
        </w:rPr>
        <w:t>sumă forfetară</w:t>
      </w:r>
      <w:r w:rsidRPr="00E117B6">
        <w:rPr>
          <w:rFonts w:eastAsia="Times New Roman"/>
          <w:color w:val="000000" w:themeColor="text1"/>
          <w:sz w:val="22"/>
        </w:rPr>
        <w:t xml:space="preserve"> pentru finanțarea înfiinţării de noi activități neagricole în teritoriul LEADER pe baza unui plan de afaceri.</w:t>
      </w:r>
    </w:p>
    <w:p w:rsidR="0037587C" w:rsidRPr="00E117B6" w:rsidRDefault="0037587C" w:rsidP="0037587C">
      <w:pPr>
        <w:contextualSpacing/>
        <w:rPr>
          <w:rFonts w:eastAsia="Times New Roman"/>
          <w:b/>
          <w:color w:val="000000" w:themeColor="text1"/>
          <w:sz w:val="22"/>
        </w:rPr>
      </w:pPr>
      <w:r w:rsidRPr="00E117B6">
        <w:rPr>
          <w:rFonts w:eastAsia="Times New Roman"/>
          <w:b/>
          <w:color w:val="000000" w:themeColor="text1"/>
          <w:sz w:val="22"/>
        </w:rPr>
        <w:t>Cerințele minime al planului de afaceri:</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Planul de afaceri nu poate cuprinde alte acţiuni din cadrul PNDR 2014-2020, în afara celor specifice prezentei măsuri.</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 xml:space="preserve">Acordarea celei de-a doua transe este conditionată de implementarea corectă a obiectivelor stabilite prin Planul de Afaceri. </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În cazul nerespectării planului de afaceri, se recuperează prima transă, proportional în raport cu obiectivele realizate.</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Implementarea planului de afaceri trebuie să înceapă în termen de nouă luni de la data deciziei de acordare a ajutorului.</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Situaţia economica iniţială a beneficiarului</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Descrierea etapelor pentru dezvoltarea activității neagricole</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Modalitatea de gestionare si implementare a planului de afaceri</w:t>
      </w:r>
    </w:p>
    <w:p w:rsidR="0037587C" w:rsidRPr="00E117B6" w:rsidRDefault="0037587C" w:rsidP="0037587C">
      <w:pPr>
        <w:numPr>
          <w:ilvl w:val="0"/>
          <w:numId w:val="14"/>
        </w:numPr>
        <w:spacing w:after="0" w:line="276" w:lineRule="auto"/>
        <w:contextualSpacing/>
        <w:rPr>
          <w:rFonts w:eastAsia="Times New Roman"/>
          <w:color w:val="000000" w:themeColor="text1"/>
          <w:sz w:val="22"/>
        </w:rPr>
      </w:pPr>
      <w:r w:rsidRPr="00E117B6">
        <w:rPr>
          <w:color w:val="000000" w:themeColor="text1"/>
          <w:sz w:val="22"/>
        </w:rPr>
        <w:t>Activitățile previzionate în scopul atingerii obiectivelor specifice propuse prin planul de afaceri</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24"/>
        <w:rPr>
          <w:color w:val="000000" w:themeColor="text1"/>
          <w:sz w:val="22"/>
        </w:rPr>
      </w:pPr>
      <w:r w:rsidRPr="00E117B6">
        <w:rPr>
          <w:b/>
          <w:bCs/>
          <w:color w:val="000000" w:themeColor="text1"/>
          <w:sz w:val="22"/>
        </w:rPr>
        <w:t>6.  Tipuri de acțiuni eligibile și neeligibile</w:t>
      </w:r>
    </w:p>
    <w:p w:rsidR="0037587C" w:rsidRPr="00E117B6" w:rsidRDefault="0037587C" w:rsidP="0037587C">
      <w:pPr>
        <w:widowControl w:val="0"/>
        <w:autoSpaceDE w:val="0"/>
        <w:autoSpaceDN w:val="0"/>
        <w:adjustRightInd w:val="0"/>
        <w:rPr>
          <w:color w:val="000000" w:themeColor="text1"/>
          <w:sz w:val="22"/>
        </w:rPr>
      </w:pPr>
    </w:p>
    <w:p w:rsidR="0037587C" w:rsidRDefault="0037587C" w:rsidP="0037587C">
      <w:pPr>
        <w:autoSpaceDE w:val="0"/>
        <w:autoSpaceDN w:val="0"/>
        <w:adjustRightInd w:val="0"/>
        <w:rPr>
          <w:bCs/>
          <w:color w:val="000000" w:themeColor="text1"/>
          <w:sz w:val="22"/>
        </w:rPr>
      </w:pPr>
      <w:r w:rsidRPr="00E117B6">
        <w:rPr>
          <w:bCs/>
          <w:color w:val="000000" w:themeColor="text1"/>
          <w:sz w:val="22"/>
        </w:rPr>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rsidR="0037587C" w:rsidRPr="0037587C" w:rsidRDefault="0037587C" w:rsidP="0037587C">
      <w:pPr>
        <w:rPr>
          <w:rStyle w:val="Emphasis"/>
          <w:i w:val="0"/>
          <w:color w:val="000000" w:themeColor="text1"/>
          <w:sz w:val="22"/>
        </w:rPr>
      </w:pPr>
      <w:r w:rsidRPr="0037587C">
        <w:rPr>
          <w:rStyle w:val="Emphasis"/>
          <w:color w:val="000000" w:themeColor="text1"/>
          <w:sz w:val="22"/>
        </w:rPr>
        <w:t>Actiuni neeligibile:</w:t>
      </w:r>
    </w:p>
    <w:p w:rsidR="0037587C" w:rsidRPr="0037587C" w:rsidRDefault="0037587C" w:rsidP="0037587C">
      <w:pPr>
        <w:pStyle w:val="ListParagraph"/>
        <w:numPr>
          <w:ilvl w:val="0"/>
          <w:numId w:val="19"/>
        </w:numPr>
        <w:tabs>
          <w:tab w:val="left" w:pos="270"/>
        </w:tabs>
        <w:jc w:val="both"/>
        <w:rPr>
          <w:rFonts w:ascii="Trebuchet MS" w:hAnsi="Trebuchet MS"/>
          <w:color w:val="000000" w:themeColor="text1"/>
          <w:sz w:val="22"/>
          <w:szCs w:val="22"/>
          <w:lang w:val="ro-RO"/>
        </w:rPr>
      </w:pPr>
      <w:r w:rsidRPr="0037587C">
        <w:rPr>
          <w:rFonts w:ascii="Trebuchet MS" w:hAnsi="Trebuchet MS"/>
          <w:color w:val="000000" w:themeColor="text1"/>
          <w:sz w:val="22"/>
          <w:szCs w:val="22"/>
          <w:lang w:val="ro-RO"/>
        </w:rPr>
        <w:t>Achizitia de echipamente second-hand;</w:t>
      </w:r>
    </w:p>
    <w:p w:rsidR="0037587C" w:rsidRPr="0037587C" w:rsidRDefault="0037587C" w:rsidP="0037587C">
      <w:pPr>
        <w:pStyle w:val="ListParagraph"/>
        <w:numPr>
          <w:ilvl w:val="0"/>
          <w:numId w:val="19"/>
        </w:numPr>
        <w:tabs>
          <w:tab w:val="left" w:pos="270"/>
        </w:tabs>
        <w:jc w:val="both"/>
        <w:rPr>
          <w:rFonts w:ascii="Trebuchet MS" w:hAnsi="Trebuchet MS"/>
          <w:color w:val="000000" w:themeColor="text1"/>
          <w:sz w:val="22"/>
          <w:szCs w:val="22"/>
          <w:lang w:val="ro-RO"/>
        </w:rPr>
      </w:pPr>
      <w:r w:rsidRPr="0037587C">
        <w:rPr>
          <w:rFonts w:ascii="Trebuchet MS" w:hAnsi="Trebuchet MS"/>
          <w:color w:val="000000" w:themeColor="text1"/>
          <w:sz w:val="22"/>
          <w:szCs w:val="22"/>
          <w:lang w:val="ro-RO"/>
        </w:rPr>
        <w:t>Achizitia de mijloace de productie destinate activitatilor agricole</w:t>
      </w:r>
    </w:p>
    <w:p w:rsidR="0037587C" w:rsidRPr="00E117B6" w:rsidRDefault="0037587C" w:rsidP="0037587C">
      <w:pPr>
        <w:tabs>
          <w:tab w:val="left" w:pos="270"/>
        </w:tabs>
        <w:ind w:left="360"/>
        <w:rPr>
          <w:color w:val="000000" w:themeColor="text1"/>
          <w:sz w:val="22"/>
        </w:rPr>
      </w:pP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24"/>
        <w:rPr>
          <w:color w:val="000000" w:themeColor="text1"/>
          <w:sz w:val="22"/>
        </w:rPr>
      </w:pPr>
      <w:r w:rsidRPr="00E117B6">
        <w:rPr>
          <w:b/>
          <w:bCs/>
          <w:color w:val="000000" w:themeColor="text1"/>
          <w:sz w:val="22"/>
        </w:rPr>
        <w:t>7.  Condiții de eligibilitate</w:t>
      </w:r>
    </w:p>
    <w:p w:rsidR="0037587C" w:rsidRPr="00E117B6" w:rsidRDefault="0037587C" w:rsidP="0037587C">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Pentru proiectele de tip start-up</w:t>
      </w:r>
    </w:p>
    <w:p w:rsidR="0037587C" w:rsidRPr="00E117B6" w:rsidRDefault="0037587C" w:rsidP="0037587C">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se încadreze în categoria beneficiarilor eligibili;</w:t>
      </w:r>
    </w:p>
    <w:p w:rsidR="0037587C" w:rsidRPr="00E117B6" w:rsidRDefault="0037587C" w:rsidP="0037587C">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prezinte un plan de afaceri;</w:t>
      </w:r>
    </w:p>
    <w:p w:rsidR="0037587C" w:rsidRPr="00E117B6" w:rsidRDefault="0037587C" w:rsidP="0037587C">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Sediul social trebuie să fie situat în teritoriul GAL iar activitatea va fi desfășurată în teritoriul GAL;</w:t>
      </w:r>
    </w:p>
    <w:p w:rsidR="0037587C" w:rsidRPr="00E117B6" w:rsidRDefault="0037587C" w:rsidP="0037587C">
      <w:pPr>
        <w:numPr>
          <w:ilvl w:val="0"/>
          <w:numId w:val="17"/>
        </w:numPr>
        <w:spacing w:after="0" w:line="276" w:lineRule="auto"/>
        <w:rPr>
          <w:rFonts w:eastAsia="Times New Roman" w:cs="Arial"/>
          <w:color w:val="000000" w:themeColor="text1"/>
          <w:sz w:val="22"/>
        </w:rPr>
      </w:pPr>
      <w:r w:rsidRPr="00E117B6">
        <w:rPr>
          <w:rFonts w:eastAsia="Times New Roman"/>
          <w:color w:val="000000" w:themeColor="text1"/>
          <w:sz w:val="22"/>
        </w:rPr>
        <w:t xml:space="preserve">Implementarea planului de afaceri trebuie să înceapă în termen de nouă luni </w:t>
      </w:r>
      <w:r w:rsidRPr="00E117B6">
        <w:rPr>
          <w:rFonts w:eastAsia="Times New Roman" w:cs="Arial"/>
          <w:color w:val="000000" w:themeColor="text1"/>
          <w:sz w:val="22"/>
        </w:rPr>
        <w:t>de la data deciziei de acordare a sprijinului.</w:t>
      </w:r>
    </w:p>
    <w:p w:rsidR="0037587C" w:rsidRPr="00E117B6" w:rsidRDefault="0037587C" w:rsidP="0037587C">
      <w:pPr>
        <w:pStyle w:val="Default"/>
        <w:widowControl/>
        <w:numPr>
          <w:ilvl w:val="0"/>
          <w:numId w:val="17"/>
        </w:numPr>
        <w:jc w:val="both"/>
        <w:rPr>
          <w:rFonts w:ascii="Trebuchet MS" w:hAnsi="Trebuchet MS" w:cs="Arial"/>
          <w:color w:val="000000" w:themeColor="text1"/>
          <w:sz w:val="22"/>
          <w:szCs w:val="22"/>
          <w:lang w:val="ro-RO" w:eastAsia="ro-RO"/>
        </w:rPr>
      </w:pPr>
      <w:r w:rsidRPr="00E117B6">
        <w:rPr>
          <w:rFonts w:ascii="Trebuchet MS" w:hAnsi="Trebuchet MS" w:cs="Arial"/>
          <w:color w:val="000000" w:themeColor="text1"/>
          <w:sz w:val="22"/>
          <w:szCs w:val="22"/>
          <w:lang w:val="ro-RO" w:eastAsia="ro-RO"/>
        </w:rPr>
        <w:t>Implementarea planului de afaceri cel târziu până la sfârșitul anului 4;</w:t>
      </w:r>
    </w:p>
    <w:p w:rsidR="0037587C" w:rsidRPr="00E117B6" w:rsidRDefault="0037587C" w:rsidP="0037587C">
      <w:pPr>
        <w:widowControl w:val="0"/>
        <w:autoSpaceDE w:val="0"/>
        <w:autoSpaceDN w:val="0"/>
        <w:adjustRightInd w:val="0"/>
        <w:rPr>
          <w:b/>
          <w:bCs/>
          <w:color w:val="000000" w:themeColor="text1"/>
          <w:sz w:val="22"/>
        </w:rPr>
      </w:pPr>
    </w:p>
    <w:p w:rsidR="0037587C" w:rsidRPr="00E117B6" w:rsidRDefault="0037587C" w:rsidP="0037587C">
      <w:pPr>
        <w:widowControl w:val="0"/>
        <w:autoSpaceDE w:val="0"/>
        <w:autoSpaceDN w:val="0"/>
        <w:adjustRightInd w:val="0"/>
        <w:ind w:left="424"/>
        <w:rPr>
          <w:b/>
          <w:bCs/>
          <w:color w:val="000000" w:themeColor="text1"/>
          <w:sz w:val="22"/>
        </w:rPr>
      </w:pPr>
    </w:p>
    <w:p w:rsidR="0037587C" w:rsidRPr="00E117B6" w:rsidRDefault="0037587C" w:rsidP="0037587C">
      <w:pPr>
        <w:widowControl w:val="0"/>
        <w:autoSpaceDE w:val="0"/>
        <w:autoSpaceDN w:val="0"/>
        <w:adjustRightInd w:val="0"/>
        <w:ind w:left="424"/>
        <w:rPr>
          <w:b/>
          <w:bCs/>
          <w:color w:val="000000" w:themeColor="text1"/>
          <w:sz w:val="22"/>
        </w:rPr>
      </w:pPr>
      <w:r w:rsidRPr="00E117B6">
        <w:rPr>
          <w:b/>
          <w:bCs/>
          <w:color w:val="000000" w:themeColor="text1"/>
          <w:sz w:val="22"/>
        </w:rPr>
        <w:t>8.  Criterii de selecție</w:t>
      </w:r>
    </w:p>
    <w:p w:rsidR="0037587C" w:rsidRPr="00E117B6" w:rsidRDefault="0037587C" w:rsidP="0037587C">
      <w:pPr>
        <w:widowControl w:val="0"/>
        <w:autoSpaceDE w:val="0"/>
        <w:autoSpaceDN w:val="0"/>
        <w:adjustRightInd w:val="0"/>
        <w:ind w:left="424"/>
        <w:rPr>
          <w:rFonts w:eastAsia="Times New Roman"/>
          <w:color w:val="000000" w:themeColor="text1"/>
          <w:sz w:val="22"/>
        </w:rPr>
      </w:pPr>
      <w:r w:rsidRPr="00E117B6">
        <w:rPr>
          <w:color w:val="000000" w:themeColor="text1"/>
          <w:sz w:val="22"/>
        </w:rPr>
        <w:t>-</w:t>
      </w:r>
      <w:r w:rsidRPr="00E117B6">
        <w:rPr>
          <w:rFonts w:eastAsia="Times New Roman"/>
          <w:color w:val="000000" w:themeColor="text1"/>
          <w:sz w:val="22"/>
        </w:rPr>
        <w:t xml:space="preserve"> Vor fi selectate cu prioritate proiectele care utilizează energia produsă din surse regenerabile;</w:t>
      </w:r>
    </w:p>
    <w:p w:rsidR="0037587C" w:rsidRPr="00E117B6" w:rsidRDefault="0037587C" w:rsidP="0037587C">
      <w:pPr>
        <w:widowControl w:val="0"/>
        <w:autoSpaceDE w:val="0"/>
        <w:autoSpaceDN w:val="0"/>
        <w:adjustRightInd w:val="0"/>
        <w:ind w:left="424"/>
        <w:rPr>
          <w:rFonts w:eastAsia="Times New Roman"/>
          <w:color w:val="000000" w:themeColor="text1"/>
          <w:sz w:val="22"/>
        </w:rPr>
      </w:pPr>
      <w:r w:rsidRPr="00E117B6">
        <w:rPr>
          <w:rFonts w:eastAsia="Times New Roman"/>
          <w:color w:val="000000" w:themeColor="text1"/>
          <w:sz w:val="22"/>
        </w:rPr>
        <w:t>- investitii in diversificarea antreprenoriatului rural;</w:t>
      </w:r>
    </w:p>
    <w:p w:rsidR="0037587C" w:rsidRPr="00E117B6" w:rsidRDefault="0037587C" w:rsidP="0037587C">
      <w:pPr>
        <w:widowControl w:val="0"/>
        <w:overflowPunct w:val="0"/>
        <w:autoSpaceDE w:val="0"/>
        <w:autoSpaceDN w:val="0"/>
        <w:adjustRightInd w:val="0"/>
        <w:ind w:right="20"/>
        <w:rPr>
          <w:color w:val="000000" w:themeColor="text1"/>
          <w:sz w:val="22"/>
        </w:rPr>
      </w:pPr>
    </w:p>
    <w:p w:rsidR="0037587C" w:rsidRPr="00E117B6" w:rsidRDefault="0037587C" w:rsidP="0037587C">
      <w:pPr>
        <w:widowControl w:val="0"/>
        <w:overflowPunct w:val="0"/>
        <w:autoSpaceDE w:val="0"/>
        <w:autoSpaceDN w:val="0"/>
        <w:adjustRightInd w:val="0"/>
        <w:ind w:right="20"/>
        <w:rPr>
          <w:color w:val="000000" w:themeColor="text1"/>
          <w:sz w:val="22"/>
        </w:rPr>
      </w:pPr>
      <w:r w:rsidRPr="00E117B6">
        <w:rPr>
          <w:color w:val="000000" w:themeColor="text1"/>
          <w:sz w:val="22"/>
        </w:rPr>
        <w:t xml:space="preserve">Criteriile de selecție vor fi detaliate suplimentar in ghidul solicitantului si vor respecta prevederile art. 49 al Reg. (UE) nr. 1305/2013 </w:t>
      </w:r>
      <w:r w:rsidRPr="00E117B6">
        <w:rPr>
          <w:rFonts w:ascii="Arial" w:hAnsi="Arial" w:cs="Arial"/>
          <w:color w:val="000000" w:themeColor="text1"/>
          <w:sz w:val="22"/>
        </w:rPr>
        <w:t>ȋ</w:t>
      </w:r>
      <w:r w:rsidRPr="00E117B6">
        <w:rPr>
          <w:color w:val="000000" w:themeColor="text1"/>
          <w:sz w:val="22"/>
        </w:rPr>
        <w:t>n ceea ce priveşte tratamentul egal al solicitanților, o mai bună utilizare a resurselor financiare și direcționarea măsurilor în conformitate cu prioritățile Uniunii în materie de dezvoltare rurală.</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widowControl w:val="0"/>
        <w:autoSpaceDE w:val="0"/>
        <w:autoSpaceDN w:val="0"/>
        <w:adjustRightInd w:val="0"/>
        <w:ind w:left="420"/>
        <w:rPr>
          <w:color w:val="000000" w:themeColor="text1"/>
          <w:sz w:val="22"/>
        </w:rPr>
      </w:pPr>
      <w:r w:rsidRPr="00E117B6">
        <w:rPr>
          <w:b/>
          <w:bCs/>
          <w:color w:val="000000" w:themeColor="text1"/>
          <w:sz w:val="22"/>
        </w:rPr>
        <w:t xml:space="preserve">9.  Sume (aplicabile) și rata sprijinului </w:t>
      </w:r>
    </w:p>
    <w:p w:rsidR="0037587C" w:rsidRPr="00E117B6" w:rsidRDefault="0037587C" w:rsidP="0037587C">
      <w:pPr>
        <w:widowControl w:val="0"/>
        <w:autoSpaceDE w:val="0"/>
        <w:autoSpaceDN w:val="0"/>
        <w:adjustRightInd w:val="0"/>
        <w:rPr>
          <w:color w:val="000000" w:themeColor="text1"/>
          <w:sz w:val="22"/>
        </w:rPr>
      </w:pPr>
    </w:p>
    <w:p w:rsidR="0037587C" w:rsidRPr="00E117B6" w:rsidRDefault="0037587C" w:rsidP="0037587C">
      <w:pPr>
        <w:numPr>
          <w:ilvl w:val="0"/>
          <w:numId w:val="15"/>
        </w:numPr>
        <w:spacing w:after="0" w:line="276" w:lineRule="auto"/>
        <w:contextualSpacing/>
        <w:rPr>
          <w:rFonts w:eastAsia="Times New Roman"/>
          <w:color w:val="000000" w:themeColor="text1"/>
          <w:sz w:val="22"/>
        </w:rPr>
      </w:pPr>
      <w:r w:rsidRPr="00E117B6">
        <w:rPr>
          <w:rFonts w:eastAsia="Times New Roman"/>
          <w:color w:val="000000" w:themeColor="text1"/>
          <w:sz w:val="22"/>
        </w:rPr>
        <w:t>Cuantumul sprijinului este de:</w:t>
      </w:r>
      <w:r w:rsidRPr="00E117B6">
        <w:rPr>
          <w:rFonts w:eastAsia="Times New Roman"/>
          <w:b/>
          <w:color w:val="000000" w:themeColor="text1"/>
          <w:sz w:val="22"/>
        </w:rPr>
        <w:t xml:space="preserve"> </w:t>
      </w:r>
    </w:p>
    <w:p w:rsidR="0037587C" w:rsidRPr="00E117B6" w:rsidRDefault="0037587C" w:rsidP="0037587C">
      <w:pPr>
        <w:numPr>
          <w:ilvl w:val="1"/>
          <w:numId w:val="15"/>
        </w:numPr>
        <w:spacing w:after="0" w:line="276" w:lineRule="auto"/>
        <w:contextualSpacing/>
        <w:rPr>
          <w:rFonts w:eastAsia="Times New Roman"/>
          <w:color w:val="000000" w:themeColor="text1"/>
          <w:sz w:val="22"/>
        </w:rPr>
      </w:pPr>
      <w:r w:rsidRPr="00E117B6">
        <w:rPr>
          <w:rFonts w:eastAsia="Times New Roman"/>
          <w:b/>
          <w:color w:val="000000" w:themeColor="text1"/>
          <w:sz w:val="22"/>
        </w:rPr>
        <w:t xml:space="preserve">30.000 Euro/proiect pentru startup-uri prestatoare de servicii, fără activități de producție, fără cheltuieli de construcții și/sau montaj; </w:t>
      </w:r>
    </w:p>
    <w:p w:rsidR="0037587C" w:rsidRPr="00E117B6" w:rsidRDefault="0037587C" w:rsidP="0037587C">
      <w:pPr>
        <w:numPr>
          <w:ilvl w:val="1"/>
          <w:numId w:val="15"/>
        </w:numPr>
        <w:spacing w:after="0" w:line="276" w:lineRule="auto"/>
        <w:contextualSpacing/>
        <w:rPr>
          <w:rFonts w:eastAsia="Times New Roman"/>
          <w:color w:val="000000" w:themeColor="text1"/>
          <w:sz w:val="22"/>
        </w:rPr>
      </w:pPr>
      <w:r w:rsidRPr="00E117B6">
        <w:rPr>
          <w:rFonts w:eastAsia="Times New Roman"/>
          <w:b/>
          <w:color w:val="000000" w:themeColor="text1"/>
          <w:sz w:val="22"/>
        </w:rPr>
        <w:t xml:space="preserve">70.000 Euro/proiect pentru startup-uri cu activități de producție sau startup-uri prestatoare de servicii cu cheltuieli de construcții și/sau montaj; </w:t>
      </w:r>
    </w:p>
    <w:p w:rsidR="0037587C" w:rsidRPr="00E117B6" w:rsidRDefault="0037587C" w:rsidP="0037587C">
      <w:pPr>
        <w:numPr>
          <w:ilvl w:val="0"/>
          <w:numId w:val="15"/>
        </w:numPr>
        <w:spacing w:after="0" w:line="276" w:lineRule="auto"/>
        <w:contextualSpacing/>
        <w:rPr>
          <w:rFonts w:eastAsia="Times New Roman"/>
          <w:color w:val="000000" w:themeColor="text1"/>
          <w:sz w:val="22"/>
        </w:rPr>
      </w:pPr>
      <w:r w:rsidRPr="00E117B6">
        <w:rPr>
          <w:rFonts w:eastAsia="Times New Roman"/>
          <w:color w:val="000000" w:themeColor="text1"/>
          <w:sz w:val="22"/>
        </w:rPr>
        <w:t>Intensitatea sprijinului este de 100% din cuantumul cheltuielilor eligibile.</w:t>
      </w:r>
    </w:p>
    <w:p w:rsidR="0037587C" w:rsidRPr="00E117B6" w:rsidRDefault="0037587C" w:rsidP="0037587C">
      <w:pPr>
        <w:rPr>
          <w:rFonts w:eastAsia="Times New Roman"/>
          <w:color w:val="000000" w:themeColor="text1"/>
          <w:sz w:val="22"/>
        </w:rPr>
      </w:pPr>
      <w:r w:rsidRPr="00E117B6">
        <w:rPr>
          <w:rFonts w:eastAsia="Times New Roman"/>
          <w:color w:val="000000" w:themeColor="text1"/>
          <w:sz w:val="22"/>
        </w:rPr>
        <w:t>Sprijinul se va acorda în 2 rate pe o perioadă de maximum 3 ani, astfel:</w:t>
      </w:r>
    </w:p>
    <w:p w:rsidR="0037587C" w:rsidRPr="00E117B6" w:rsidRDefault="0037587C" w:rsidP="0037587C">
      <w:pPr>
        <w:numPr>
          <w:ilvl w:val="0"/>
          <w:numId w:val="16"/>
        </w:numPr>
        <w:spacing w:after="0" w:line="276" w:lineRule="auto"/>
        <w:contextualSpacing/>
        <w:rPr>
          <w:rFonts w:eastAsia="Times New Roman"/>
          <w:color w:val="000000" w:themeColor="text1"/>
          <w:sz w:val="22"/>
        </w:rPr>
      </w:pPr>
      <w:r w:rsidRPr="00E117B6">
        <w:rPr>
          <w:rFonts w:eastAsia="Times New Roman"/>
          <w:color w:val="000000" w:themeColor="text1"/>
          <w:sz w:val="22"/>
        </w:rPr>
        <w:t>75% din cuantumul sprijinului la semnarea deciziei de finanțare;</w:t>
      </w:r>
    </w:p>
    <w:p w:rsidR="0037587C" w:rsidRPr="00E117B6" w:rsidRDefault="0037587C" w:rsidP="0037587C">
      <w:pPr>
        <w:numPr>
          <w:ilvl w:val="0"/>
          <w:numId w:val="16"/>
        </w:numPr>
        <w:spacing w:after="0" w:line="276" w:lineRule="auto"/>
        <w:contextualSpacing/>
        <w:rPr>
          <w:rFonts w:eastAsia="Times New Roman"/>
          <w:color w:val="000000" w:themeColor="text1"/>
          <w:sz w:val="22"/>
        </w:rPr>
      </w:pPr>
      <w:r w:rsidRPr="00E117B6">
        <w:rPr>
          <w:rFonts w:eastAsia="Times New Roman"/>
          <w:color w:val="000000" w:themeColor="text1"/>
          <w:sz w:val="22"/>
        </w:rPr>
        <w:t>25% in cuantumul sprijinului se va acorda cu condiția implementării corecte a planului de afaceri.</w:t>
      </w:r>
    </w:p>
    <w:p w:rsidR="0037587C" w:rsidRPr="00E117B6" w:rsidRDefault="0037587C" w:rsidP="0037587C">
      <w:pPr>
        <w:autoSpaceDE w:val="0"/>
        <w:autoSpaceDN w:val="0"/>
        <w:adjustRightInd w:val="0"/>
        <w:rPr>
          <w:rFonts w:eastAsia="Times New Roman" w:cs="Times-Roman"/>
          <w:color w:val="000000" w:themeColor="text1"/>
          <w:sz w:val="22"/>
        </w:rPr>
      </w:pPr>
      <w:r w:rsidRPr="00E117B6">
        <w:rPr>
          <w:rFonts w:eastAsia="Times New Roman" w:cs="Times-Roman"/>
          <w:color w:val="000000" w:themeColor="text1"/>
          <w:sz w:val="22"/>
        </w:rPr>
        <w:t>Dosarul cererii de plat</w:t>
      </w:r>
      <w:r w:rsidRPr="00E117B6">
        <w:rPr>
          <w:rFonts w:eastAsia="Times New Roman" w:cs="TTE2t00"/>
          <w:color w:val="000000" w:themeColor="text1"/>
          <w:sz w:val="22"/>
        </w:rPr>
        <w:t xml:space="preserve">ă </w:t>
      </w:r>
      <w:r w:rsidRPr="00E117B6">
        <w:rPr>
          <w:rFonts w:eastAsia="Times New Roman" w:cs="Times-Roman"/>
          <w:color w:val="000000" w:themeColor="text1"/>
          <w:sz w:val="22"/>
        </w:rPr>
        <w:t>pentru a doua tran</w:t>
      </w:r>
      <w:r w:rsidRPr="00E117B6">
        <w:rPr>
          <w:rFonts w:eastAsia="Times New Roman" w:cs="TTE2t00"/>
          <w:color w:val="000000" w:themeColor="text1"/>
          <w:sz w:val="22"/>
        </w:rPr>
        <w:t xml:space="preserve">șă </w:t>
      </w:r>
      <w:r w:rsidRPr="00E117B6">
        <w:rPr>
          <w:rFonts w:eastAsia="Times New Roman" w:cs="Times-Roman"/>
          <w:color w:val="000000" w:themeColor="text1"/>
          <w:sz w:val="22"/>
        </w:rPr>
        <w:t>se depune dup</w:t>
      </w:r>
      <w:r w:rsidRPr="00E117B6">
        <w:rPr>
          <w:rFonts w:eastAsia="Times New Roman" w:cs="TTE2t00"/>
          <w:color w:val="000000" w:themeColor="text1"/>
          <w:sz w:val="22"/>
        </w:rPr>
        <w:t xml:space="preserve">ă </w:t>
      </w:r>
      <w:r w:rsidRPr="00E117B6">
        <w:rPr>
          <w:rFonts w:eastAsia="Times New Roman" w:cs="Times-Roman"/>
          <w:color w:val="000000" w:themeColor="text1"/>
          <w:sz w:val="22"/>
        </w:rPr>
        <w:t>îndeplinirea conformit</w:t>
      </w:r>
      <w:r w:rsidRPr="00E117B6">
        <w:rPr>
          <w:rFonts w:eastAsia="Times New Roman" w:cs="TTE2t00"/>
          <w:color w:val="000000" w:themeColor="text1"/>
          <w:sz w:val="22"/>
        </w:rPr>
        <w:t>ăț</w:t>
      </w:r>
      <w:r w:rsidRPr="00E117B6">
        <w:rPr>
          <w:rFonts w:eastAsia="Times New Roman" w:cs="Times-Roman"/>
          <w:color w:val="000000" w:themeColor="text1"/>
          <w:sz w:val="22"/>
        </w:rPr>
        <w:t xml:space="preserve">ii </w:t>
      </w:r>
      <w:r w:rsidRPr="00E117B6">
        <w:rPr>
          <w:rFonts w:eastAsia="Times New Roman" w:cs="TTE2t00"/>
          <w:color w:val="000000" w:themeColor="text1"/>
          <w:sz w:val="22"/>
        </w:rPr>
        <w:t>ș</w:t>
      </w:r>
      <w:r w:rsidRPr="00E117B6">
        <w:rPr>
          <w:rFonts w:eastAsia="Times New Roman" w:cs="Times-Roman"/>
          <w:color w:val="000000" w:themeColor="text1"/>
          <w:sz w:val="22"/>
        </w:rPr>
        <w:t>i a investi</w:t>
      </w:r>
      <w:r w:rsidRPr="00E117B6">
        <w:rPr>
          <w:rFonts w:eastAsia="Times New Roman" w:cs="TTE2t00"/>
          <w:color w:val="000000" w:themeColor="text1"/>
          <w:sz w:val="22"/>
        </w:rPr>
        <w:t>ț</w:t>
      </w:r>
      <w:r w:rsidRPr="00E117B6">
        <w:rPr>
          <w:rFonts w:eastAsia="Times New Roman" w:cs="Times-Roman"/>
          <w:color w:val="000000" w:themeColor="text1"/>
          <w:sz w:val="22"/>
        </w:rPr>
        <w:t>iilor propuse de beneficiar în planul de afaceri, dar nu mai devreme de al doilea an din Planul de afaceri.</w:t>
      </w:r>
    </w:p>
    <w:p w:rsidR="0037587C" w:rsidRPr="00E117B6" w:rsidRDefault="0037587C" w:rsidP="0037587C">
      <w:pPr>
        <w:widowControl w:val="0"/>
        <w:autoSpaceDE w:val="0"/>
        <w:autoSpaceDN w:val="0"/>
        <w:adjustRightInd w:val="0"/>
        <w:ind w:left="420"/>
        <w:rPr>
          <w:b/>
          <w:bCs/>
          <w:color w:val="000000" w:themeColor="text1"/>
          <w:sz w:val="22"/>
        </w:rPr>
      </w:pPr>
    </w:p>
    <w:p w:rsidR="0037587C" w:rsidRPr="00E117B6" w:rsidRDefault="0037587C" w:rsidP="0037587C">
      <w:pPr>
        <w:widowControl w:val="0"/>
        <w:autoSpaceDE w:val="0"/>
        <w:autoSpaceDN w:val="0"/>
        <w:adjustRightInd w:val="0"/>
        <w:ind w:left="420"/>
        <w:rPr>
          <w:color w:val="000000" w:themeColor="text1"/>
          <w:sz w:val="22"/>
          <w:u w:val="single"/>
        </w:rPr>
      </w:pPr>
      <w:r w:rsidRPr="00E117B6">
        <w:rPr>
          <w:b/>
          <w:bCs/>
          <w:color w:val="000000" w:themeColor="text1"/>
          <w:sz w:val="22"/>
        </w:rPr>
        <w:t>10</w:t>
      </w:r>
      <w:r w:rsidRPr="00E117B6">
        <w:rPr>
          <w:b/>
          <w:bCs/>
          <w:color w:val="000000" w:themeColor="text1"/>
          <w:sz w:val="22"/>
          <w:u w:val="single"/>
        </w:rPr>
        <w:t>. Indicatori de monitorizare</w:t>
      </w:r>
    </w:p>
    <w:p w:rsidR="0037587C" w:rsidRPr="00E117B6" w:rsidRDefault="0037587C" w:rsidP="0037587C">
      <w:pPr>
        <w:widowControl w:val="0"/>
        <w:autoSpaceDE w:val="0"/>
        <w:autoSpaceDN w:val="0"/>
        <w:adjustRightInd w:val="0"/>
        <w:rPr>
          <w:color w:val="000000" w:themeColor="text1"/>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3717"/>
        <w:gridCol w:w="3065"/>
      </w:tblGrid>
      <w:tr w:rsidR="0037587C" w:rsidRPr="00E117B6" w:rsidTr="00700412">
        <w:tc>
          <w:tcPr>
            <w:tcW w:w="2310" w:type="dxa"/>
          </w:tcPr>
          <w:p w:rsidR="0037587C" w:rsidRPr="00E117B6" w:rsidRDefault="0037587C" w:rsidP="00700412">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94" w:type="dxa"/>
          </w:tcPr>
          <w:p w:rsidR="0037587C" w:rsidRPr="00E117B6" w:rsidRDefault="0037587C" w:rsidP="00700412">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38" w:type="dxa"/>
          </w:tcPr>
          <w:p w:rsidR="0037587C" w:rsidRPr="00E117B6" w:rsidRDefault="0037587C" w:rsidP="00700412">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37587C" w:rsidRPr="00E117B6" w:rsidTr="00700412">
        <w:trPr>
          <w:trHeight w:val="829"/>
        </w:trPr>
        <w:tc>
          <w:tcPr>
            <w:tcW w:w="2310" w:type="dxa"/>
          </w:tcPr>
          <w:p w:rsidR="0037587C" w:rsidRPr="00E117B6" w:rsidRDefault="0037587C" w:rsidP="0070041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94" w:type="dxa"/>
          </w:tcPr>
          <w:p w:rsidR="0037587C" w:rsidRPr="00E117B6" w:rsidRDefault="0037587C" w:rsidP="00700412">
            <w:pPr>
              <w:rPr>
                <w:color w:val="000000" w:themeColor="text1"/>
                <w:sz w:val="22"/>
              </w:rPr>
            </w:pPr>
            <w:r w:rsidRPr="00E117B6">
              <w:rPr>
                <w:color w:val="000000" w:themeColor="text1"/>
                <w:sz w:val="22"/>
              </w:rPr>
              <w:t>Număr de locuri de muncă nou create</w:t>
            </w:r>
          </w:p>
        </w:tc>
        <w:tc>
          <w:tcPr>
            <w:tcW w:w="3138" w:type="dxa"/>
          </w:tcPr>
          <w:p w:rsidR="0037587C" w:rsidRPr="00E117B6" w:rsidRDefault="0037587C" w:rsidP="00700412">
            <w:pPr>
              <w:rPr>
                <w:color w:val="000000" w:themeColor="text1"/>
                <w:sz w:val="22"/>
              </w:rPr>
            </w:pPr>
            <w:r w:rsidRPr="00E117B6">
              <w:rPr>
                <w:color w:val="000000" w:themeColor="text1"/>
                <w:sz w:val="22"/>
              </w:rPr>
              <w:t>3*</w:t>
            </w:r>
          </w:p>
        </w:tc>
      </w:tr>
      <w:tr w:rsidR="0037587C" w:rsidRPr="00E117B6" w:rsidTr="00700412">
        <w:tc>
          <w:tcPr>
            <w:tcW w:w="2310" w:type="dxa"/>
          </w:tcPr>
          <w:p w:rsidR="0037587C" w:rsidRPr="00E117B6" w:rsidRDefault="0037587C" w:rsidP="0070041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94" w:type="dxa"/>
          </w:tcPr>
          <w:p w:rsidR="0037587C" w:rsidRPr="00E117B6" w:rsidRDefault="0037587C" w:rsidP="00700412">
            <w:pPr>
              <w:rPr>
                <w:color w:val="000000" w:themeColor="text1"/>
                <w:sz w:val="22"/>
              </w:rPr>
            </w:pPr>
            <w:r w:rsidRPr="00E117B6">
              <w:rPr>
                <w:color w:val="000000" w:themeColor="text1"/>
                <w:sz w:val="22"/>
              </w:rPr>
              <w:t>Cheltuieli publice totale</w:t>
            </w:r>
          </w:p>
        </w:tc>
        <w:tc>
          <w:tcPr>
            <w:tcW w:w="3138" w:type="dxa"/>
          </w:tcPr>
          <w:p w:rsidR="0037587C" w:rsidRPr="00E117B6" w:rsidRDefault="0037587C" w:rsidP="00700412">
            <w:pPr>
              <w:rPr>
                <w:color w:val="000000" w:themeColor="text1"/>
                <w:sz w:val="22"/>
              </w:rPr>
            </w:pPr>
            <w:r w:rsidRPr="00E117B6">
              <w:rPr>
                <w:color w:val="000000" w:themeColor="text1"/>
                <w:sz w:val="22"/>
              </w:rPr>
              <w:t>180.000 Euro</w:t>
            </w:r>
          </w:p>
        </w:tc>
      </w:tr>
    </w:tbl>
    <w:p w:rsidR="0037587C" w:rsidRPr="00E117B6" w:rsidRDefault="0037587C" w:rsidP="0037587C">
      <w:pPr>
        <w:widowControl w:val="0"/>
        <w:autoSpaceDE w:val="0"/>
        <w:autoSpaceDN w:val="0"/>
        <w:adjustRightInd w:val="0"/>
        <w:rPr>
          <w:color w:val="000000" w:themeColor="text1"/>
          <w:sz w:val="22"/>
        </w:rPr>
      </w:pPr>
      <w:r w:rsidRPr="00E117B6">
        <w:rPr>
          <w:color w:val="000000" w:themeColor="text1"/>
          <w:sz w:val="22"/>
        </w:rPr>
        <w:t>* locurile de muncă sunt reprezentate cel puțin de constituirea de II în vederea asigurării eligibilității depunerii cer</w:t>
      </w:r>
      <w:r>
        <w:rPr>
          <w:color w:val="000000" w:themeColor="text1"/>
          <w:sz w:val="22"/>
        </w:rPr>
        <w:t>erii de finanțare pe măsura M6.</w:t>
      </w:r>
    </w:p>
    <w:p w:rsidR="0037587C" w:rsidRDefault="0037587C">
      <w:pPr>
        <w:spacing w:after="7"/>
        <w:ind w:left="-5"/>
        <w:jc w:val="left"/>
        <w:rPr>
          <w:b/>
          <w:sz w:val="22"/>
        </w:rPr>
      </w:pPr>
    </w:p>
    <w:sectPr w:rsidR="0037587C"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AE" w:rsidRDefault="003A4BAE">
      <w:pPr>
        <w:spacing w:after="0" w:line="240" w:lineRule="auto"/>
      </w:pPr>
      <w:r>
        <w:separator/>
      </w:r>
    </w:p>
  </w:endnote>
  <w:endnote w:type="continuationSeparator" w:id="0">
    <w:p w:rsidR="003A4BAE" w:rsidRDefault="003A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Roman">
    <w:charset w:val="00"/>
    <w:family w:val="auto"/>
    <w:pitch w:val="variable"/>
    <w:sig w:usb0="00000003" w:usb1="00000000" w:usb2="00000000" w:usb3="00000000" w:csb0="00000001" w:csb1="00000000"/>
  </w:font>
  <w:font w:name="TTE2t00">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bookmarkStart w:id="0" w:name="_GoBack"/>
    <w:bookmarkEnd w:id="0"/>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w:t>
    </w:r>
    <w:r w:rsidR="00341772">
      <w:rPr>
        <w:rFonts w:eastAsia="Times New Roman"/>
        <w:b/>
        <w:noProof/>
        <w:sz w:val="20"/>
        <w:szCs w:val="20"/>
      </w:rPr>
      <w:t>tel/fax:0357-410197</w:t>
    </w:r>
    <w:r w:rsidR="00341772">
      <w:rPr>
        <w:rFonts w:eastAsia="Times New Roman"/>
        <w:b/>
        <w:noProof/>
        <w:sz w:val="20"/>
        <w:szCs w:val="20"/>
      </w:rPr>
      <w:t>;</w:t>
    </w:r>
    <w:r w:rsidR="00341772">
      <w:rPr>
        <w:rFonts w:eastAsia="Times New Roman"/>
        <w:b/>
        <w:noProof/>
        <w:sz w:val="20"/>
        <w:szCs w:val="20"/>
      </w:rPr>
      <w:t>web:www.gal-dsgh.ro</w:t>
    </w:r>
    <w:r w:rsidR="00341772">
      <w:rPr>
        <w:rFonts w:eastAsia="Times New Roman"/>
        <w:b/>
        <w:noProof/>
        <w:sz w:val="20"/>
        <w:szCs w:val="20"/>
      </w:rPr>
      <w:t>;</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AE" w:rsidRDefault="003A4BAE">
      <w:pPr>
        <w:spacing w:after="0" w:line="240" w:lineRule="auto"/>
      </w:pPr>
      <w:r>
        <w:separator/>
      </w:r>
    </w:p>
  </w:footnote>
  <w:footnote w:type="continuationSeparator" w:id="0">
    <w:p w:rsidR="003A4BAE" w:rsidRDefault="003A4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13"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4"/>
  </w:num>
  <w:num w:numId="3">
    <w:abstractNumId w:val="18"/>
  </w:num>
  <w:num w:numId="4">
    <w:abstractNumId w:val="2"/>
  </w:num>
  <w:num w:numId="5">
    <w:abstractNumId w:val="9"/>
  </w:num>
  <w:num w:numId="6">
    <w:abstractNumId w:val="1"/>
  </w:num>
  <w:num w:numId="7">
    <w:abstractNumId w:val="5"/>
  </w:num>
  <w:num w:numId="8">
    <w:abstractNumId w:val="10"/>
  </w:num>
  <w:num w:numId="9">
    <w:abstractNumId w:val="8"/>
  </w:num>
  <w:num w:numId="10">
    <w:abstractNumId w:val="3"/>
  </w:num>
  <w:num w:numId="11">
    <w:abstractNumId w:val="6"/>
  </w:num>
  <w:num w:numId="12">
    <w:abstractNumId w:val="4"/>
  </w:num>
  <w:num w:numId="13">
    <w:abstractNumId w:val="11"/>
  </w:num>
  <w:num w:numId="14">
    <w:abstractNumId w:val="7"/>
  </w:num>
  <w:num w:numId="15">
    <w:abstractNumId w:val="15"/>
  </w:num>
  <w:num w:numId="16">
    <w:abstractNumId w:val="17"/>
  </w:num>
  <w:num w:numId="17">
    <w:abstractNumId w:val="0"/>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DA6"/>
    <w:rsid w:val="0030345C"/>
    <w:rsid w:val="00341772"/>
    <w:rsid w:val="0037587C"/>
    <w:rsid w:val="003A4BAE"/>
    <w:rsid w:val="008D63EA"/>
    <w:rsid w:val="009B5574"/>
    <w:rsid w:val="00CC022B"/>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E10BD"/>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26BB0-C560-4696-A120-84A370A1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1401</Words>
  <Characters>8131</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9</cp:revision>
  <dcterms:created xsi:type="dcterms:W3CDTF">2017-08-24T06:52:00Z</dcterms:created>
  <dcterms:modified xsi:type="dcterms:W3CDTF">2017-08-24T07:06:00Z</dcterms:modified>
</cp:coreProperties>
</file>