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574" w:rsidRDefault="009B5574">
      <w:pPr>
        <w:spacing w:after="7"/>
        <w:ind w:left="-5"/>
        <w:jc w:val="left"/>
        <w:rPr>
          <w:b/>
          <w:sz w:val="22"/>
        </w:rPr>
      </w:pPr>
    </w:p>
    <w:p w:rsidR="0037587C" w:rsidRDefault="0037587C">
      <w:pPr>
        <w:spacing w:after="7"/>
        <w:ind w:left="-5"/>
        <w:jc w:val="left"/>
        <w:rPr>
          <w:b/>
          <w:sz w:val="22"/>
        </w:rPr>
      </w:pPr>
    </w:p>
    <w:p w:rsidR="00A74028" w:rsidRPr="00E117B6" w:rsidRDefault="00A74028" w:rsidP="00A74028">
      <w:pPr>
        <w:pStyle w:val="Default"/>
        <w:jc w:val="both"/>
        <w:rPr>
          <w:rFonts w:ascii="Trebuchet MS" w:hAnsi="Trebuchet MS" w:cs="Calibri"/>
          <w:b/>
          <w:color w:val="000000" w:themeColor="text1"/>
          <w:sz w:val="22"/>
          <w:szCs w:val="22"/>
          <w:lang w:val="ro-RO"/>
        </w:rPr>
      </w:pPr>
      <w:r w:rsidRPr="00E117B6">
        <w:rPr>
          <w:rFonts w:ascii="Trebuchet MS" w:hAnsi="Trebuchet MS" w:cs="Calibri"/>
          <w:b/>
          <w:color w:val="000000" w:themeColor="text1"/>
          <w:sz w:val="22"/>
          <w:szCs w:val="22"/>
          <w:lang w:val="ro-RO"/>
        </w:rPr>
        <w:t xml:space="preserve">Denumirea măsurii </w:t>
      </w:r>
      <w:r w:rsidRPr="00E117B6">
        <w:rPr>
          <w:rFonts w:ascii="Trebuchet MS" w:hAnsi="Trebuchet MS"/>
          <w:b/>
          <w:color w:val="000000" w:themeColor="text1"/>
          <w:sz w:val="22"/>
          <w:szCs w:val="22"/>
          <w:lang w:val="ro-RO"/>
        </w:rPr>
        <w:t xml:space="preserve">- </w:t>
      </w:r>
      <w:r w:rsidRPr="00E117B6">
        <w:rPr>
          <w:rFonts w:ascii="Trebuchet MS" w:hAnsi="Trebuchet MS"/>
          <w:color w:val="000000" w:themeColor="text1"/>
          <w:sz w:val="22"/>
          <w:szCs w:val="22"/>
          <w:lang w:val="ro-RO"/>
        </w:rPr>
        <w:t>Investiții în infrastructura socială și de educație a grupurilor marginalizate</w:t>
      </w:r>
    </w:p>
    <w:p w:rsidR="00A74028" w:rsidRPr="00E117B6" w:rsidRDefault="00A74028" w:rsidP="00A74028">
      <w:pPr>
        <w:pStyle w:val="Default"/>
        <w:jc w:val="both"/>
        <w:rPr>
          <w:rFonts w:ascii="Trebuchet MS" w:hAnsi="Trebuchet MS" w:cs="Calibri"/>
          <w:b/>
          <w:color w:val="000000" w:themeColor="text1"/>
          <w:sz w:val="22"/>
          <w:szCs w:val="22"/>
          <w:lang w:val="ro-RO"/>
        </w:rPr>
      </w:pPr>
      <w:r w:rsidRPr="00E117B6">
        <w:rPr>
          <w:rFonts w:ascii="Trebuchet MS" w:hAnsi="Trebuchet MS" w:cs="Calibri"/>
          <w:b/>
          <w:color w:val="000000" w:themeColor="text1"/>
          <w:sz w:val="22"/>
          <w:szCs w:val="22"/>
          <w:lang w:val="ro-RO"/>
        </w:rPr>
        <w:t>CODUL Măsurii – Măsura M6.4 / 6B</w:t>
      </w:r>
    </w:p>
    <w:p w:rsidR="00A74028" w:rsidRPr="00E117B6" w:rsidRDefault="00A74028" w:rsidP="00A74028">
      <w:pPr>
        <w:pStyle w:val="Default"/>
        <w:jc w:val="both"/>
        <w:rPr>
          <w:rFonts w:ascii="Trebuchet MS" w:hAnsi="Trebuchet MS" w:cs="Calibri"/>
          <w:color w:val="000000" w:themeColor="text1"/>
          <w:sz w:val="22"/>
          <w:szCs w:val="22"/>
          <w:lang w:val="ro-RO"/>
        </w:rPr>
      </w:pPr>
    </w:p>
    <w:p w:rsidR="00A74028" w:rsidRPr="00E117B6" w:rsidRDefault="00A74028" w:rsidP="00A74028">
      <w:pPr>
        <w:pStyle w:val="Default"/>
        <w:jc w:val="both"/>
        <w:rPr>
          <w:rFonts w:ascii="Trebuchet MS" w:hAnsi="Trebuchet MS" w:cs="Calibri"/>
          <w:color w:val="000000" w:themeColor="text1"/>
          <w:sz w:val="22"/>
          <w:szCs w:val="22"/>
          <w:lang w:val="ro-RO"/>
        </w:rPr>
      </w:pPr>
    </w:p>
    <w:p w:rsidR="00A74028" w:rsidRPr="00E117B6" w:rsidRDefault="00A74028" w:rsidP="00A74028">
      <w:pPr>
        <w:widowControl w:val="0"/>
        <w:autoSpaceDE w:val="0"/>
        <w:autoSpaceDN w:val="0"/>
        <w:adjustRightInd w:val="0"/>
        <w:rPr>
          <w:color w:val="000000" w:themeColor="text1"/>
          <w:sz w:val="22"/>
        </w:rPr>
      </w:pPr>
      <w:r w:rsidRPr="00E117B6">
        <w:rPr>
          <w:rFonts w:cs="Calibri"/>
          <w:b/>
          <w:color w:val="000000" w:themeColor="text1"/>
          <w:sz w:val="22"/>
        </w:rPr>
        <w:t>Tipul măsurii:</w:t>
      </w:r>
      <w:r w:rsidRPr="00E117B6">
        <w:rPr>
          <w:b/>
          <w:bCs/>
          <w:color w:val="000000" w:themeColor="text1"/>
          <w:sz w:val="22"/>
        </w:rPr>
        <w:t xml:space="preserve"> </w:t>
      </w:r>
      <w:r w:rsidRPr="00E117B6">
        <w:rPr>
          <w:b/>
          <w:bCs/>
          <w:color w:val="000000" w:themeColor="text1"/>
          <w:sz w:val="22"/>
        </w:rPr>
        <w:tab/>
      </w:r>
      <w:r w:rsidRPr="00E117B6">
        <w:rPr>
          <w:b/>
          <w:bCs/>
          <w:color w:val="000000" w:themeColor="text1"/>
          <w:sz w:val="22"/>
        </w:rPr>
        <w:sym w:font="Wingdings" w:char="F078"/>
      </w:r>
      <w:r w:rsidRPr="00E117B6">
        <w:rPr>
          <w:b/>
          <w:bCs/>
          <w:color w:val="000000" w:themeColor="text1"/>
          <w:sz w:val="22"/>
        </w:rPr>
        <w:t xml:space="preserve"> INVESTIȚII</w:t>
      </w:r>
    </w:p>
    <w:p w:rsidR="00A74028" w:rsidRPr="00E117B6" w:rsidRDefault="00A74028" w:rsidP="00A74028">
      <w:pPr>
        <w:widowControl w:val="0"/>
        <w:overflowPunct w:val="0"/>
        <w:autoSpaceDE w:val="0"/>
        <w:autoSpaceDN w:val="0"/>
        <w:adjustRightInd w:val="0"/>
        <w:ind w:left="1416" w:firstLine="708"/>
        <w:rPr>
          <w:b/>
          <w:bCs/>
          <w:color w:val="000000" w:themeColor="text1"/>
          <w:sz w:val="22"/>
        </w:rPr>
      </w:pPr>
      <w:r w:rsidRPr="00E117B6">
        <w:rPr>
          <w:b/>
          <w:bCs/>
          <w:color w:val="000000" w:themeColor="text1"/>
          <w:sz w:val="22"/>
        </w:rPr>
        <w:sym w:font="Wingdings" w:char="F06F"/>
      </w:r>
      <w:r w:rsidRPr="00E117B6">
        <w:rPr>
          <w:b/>
          <w:bCs/>
          <w:color w:val="000000" w:themeColor="text1"/>
          <w:sz w:val="22"/>
        </w:rPr>
        <w:t xml:space="preserve"> SERVICII </w:t>
      </w:r>
    </w:p>
    <w:p w:rsidR="00A74028" w:rsidRPr="00E117B6" w:rsidRDefault="00A74028" w:rsidP="00A74028">
      <w:pPr>
        <w:widowControl w:val="0"/>
        <w:overflowPunct w:val="0"/>
        <w:autoSpaceDE w:val="0"/>
        <w:autoSpaceDN w:val="0"/>
        <w:adjustRightInd w:val="0"/>
        <w:ind w:left="2124"/>
        <w:rPr>
          <w:b/>
          <w:bCs/>
          <w:color w:val="000000" w:themeColor="text1"/>
          <w:sz w:val="22"/>
        </w:rPr>
      </w:pPr>
      <w:r w:rsidRPr="00E117B6">
        <w:rPr>
          <w:b/>
          <w:bCs/>
          <w:color w:val="000000" w:themeColor="text1"/>
          <w:sz w:val="22"/>
        </w:rPr>
        <w:sym w:font="Wingdings" w:char="F06F"/>
      </w:r>
      <w:r w:rsidRPr="00E117B6">
        <w:rPr>
          <w:b/>
          <w:bCs/>
          <w:color w:val="000000" w:themeColor="text1"/>
          <w:sz w:val="22"/>
        </w:rPr>
        <w:t xml:space="preserve"> SPRIJIN FORFETAR </w:t>
      </w:r>
    </w:p>
    <w:p w:rsidR="00A74028" w:rsidRPr="00E117B6" w:rsidRDefault="00A74028" w:rsidP="00A74028">
      <w:pPr>
        <w:pStyle w:val="Default"/>
        <w:jc w:val="both"/>
        <w:rPr>
          <w:rFonts w:ascii="Trebuchet MS" w:hAnsi="Trebuchet MS" w:cs="Calibri"/>
          <w:b/>
          <w:color w:val="000000" w:themeColor="text1"/>
          <w:sz w:val="22"/>
          <w:szCs w:val="22"/>
          <w:lang w:val="ro-RO"/>
        </w:rPr>
      </w:pPr>
    </w:p>
    <w:p w:rsidR="00A74028" w:rsidRPr="00E117B6" w:rsidRDefault="00A74028" w:rsidP="00A74028">
      <w:pPr>
        <w:pStyle w:val="Default"/>
        <w:jc w:val="both"/>
        <w:rPr>
          <w:rFonts w:ascii="Trebuchet MS" w:hAnsi="Trebuchet MS" w:cs="Calibri"/>
          <w:b/>
          <w:color w:val="000000" w:themeColor="text1"/>
          <w:sz w:val="22"/>
          <w:szCs w:val="22"/>
          <w:lang w:val="ro-RO"/>
        </w:rPr>
      </w:pPr>
    </w:p>
    <w:p w:rsidR="00A74028" w:rsidRPr="00E117B6" w:rsidRDefault="00A74028" w:rsidP="00A74028">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1.Descrierea generală a măsurii</w:t>
      </w:r>
    </w:p>
    <w:p w:rsidR="00A74028" w:rsidRPr="00E117B6" w:rsidRDefault="00A74028" w:rsidP="00A74028">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Obiectivul de dezvoltare rurală al Reg(UE) 1305/2013</w:t>
      </w:r>
    </w:p>
    <w:p w:rsidR="00A74028" w:rsidRPr="00E117B6" w:rsidRDefault="00A74028" w:rsidP="00A74028">
      <w:pPr>
        <w:tabs>
          <w:tab w:val="left" w:pos="231"/>
        </w:tabs>
        <w:rPr>
          <w:color w:val="000000" w:themeColor="text1"/>
          <w:sz w:val="22"/>
        </w:rPr>
      </w:pPr>
      <w:r w:rsidRPr="00E117B6">
        <w:rPr>
          <w:color w:val="000000" w:themeColor="text1"/>
          <w:sz w:val="22"/>
        </w:rPr>
        <w:t>Obiectivul de dezvoltare rurală este îmbunătățirea condițiilor de viață a grupurilor marginalizate.</w:t>
      </w:r>
    </w:p>
    <w:p w:rsidR="00A74028" w:rsidRPr="00E117B6" w:rsidRDefault="00A74028" w:rsidP="00A74028">
      <w:pPr>
        <w:pStyle w:val="Default"/>
        <w:jc w:val="both"/>
        <w:rPr>
          <w:rFonts w:ascii="Trebuchet MS" w:hAnsi="Trebuchet MS" w:cs="Calibri"/>
          <w:color w:val="000000" w:themeColor="text1"/>
          <w:sz w:val="22"/>
          <w:szCs w:val="22"/>
          <w:lang w:val="ro-RO"/>
        </w:rPr>
      </w:pPr>
    </w:p>
    <w:p w:rsidR="00A74028" w:rsidRPr="00E117B6" w:rsidRDefault="00A74028" w:rsidP="00A74028">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Obiectivul specific local al măsurii</w:t>
      </w:r>
    </w:p>
    <w:p w:rsidR="00A74028" w:rsidRPr="00E117B6" w:rsidRDefault="00A74028" w:rsidP="00A74028">
      <w:pPr>
        <w:pStyle w:val="ListParagraph"/>
        <w:numPr>
          <w:ilvl w:val="0"/>
          <w:numId w:val="30"/>
        </w:num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asigurarea educației preșcolare grupurilor marginalizate, în special a etniei rome.</w:t>
      </w:r>
    </w:p>
    <w:p w:rsidR="00A74028" w:rsidRPr="00E117B6" w:rsidRDefault="00A74028" w:rsidP="00A74028">
      <w:pPr>
        <w:pStyle w:val="ListParagraph"/>
        <w:numPr>
          <w:ilvl w:val="0"/>
          <w:numId w:val="30"/>
        </w:num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crearea infrastructurii necesare activităților educative</w:t>
      </w:r>
    </w:p>
    <w:p w:rsidR="00A74028" w:rsidRPr="00E117B6" w:rsidRDefault="00A74028" w:rsidP="00A74028">
      <w:pPr>
        <w:pStyle w:val="Default"/>
        <w:widowControl/>
        <w:numPr>
          <w:ilvl w:val="0"/>
          <w:numId w:val="30"/>
        </w:numPr>
        <w:jc w:val="both"/>
        <w:rPr>
          <w:rFonts w:ascii="Trebuchet MS" w:hAnsi="Trebuchet MS" w:cs="Calibri"/>
          <w:color w:val="000000" w:themeColor="text1"/>
          <w:sz w:val="22"/>
          <w:szCs w:val="22"/>
          <w:lang w:val="ro-RO"/>
        </w:rPr>
      </w:pPr>
      <w:r w:rsidRPr="00E117B6">
        <w:rPr>
          <w:rFonts w:ascii="Trebuchet MS" w:hAnsi="Trebuchet MS"/>
          <w:color w:val="000000" w:themeColor="text1"/>
          <w:sz w:val="22"/>
          <w:szCs w:val="22"/>
          <w:lang w:val="ro-RO"/>
        </w:rPr>
        <w:t>sprijinirea creșterii cunoștințelor generale în familii marginalizate</w:t>
      </w:r>
      <w:r w:rsidRPr="00E117B6">
        <w:rPr>
          <w:rFonts w:ascii="Trebuchet MS" w:hAnsi="Trebuchet MS" w:cs="Calibri"/>
          <w:color w:val="000000" w:themeColor="text1"/>
          <w:sz w:val="22"/>
          <w:szCs w:val="22"/>
          <w:lang w:val="ro-RO"/>
        </w:rPr>
        <w:t xml:space="preserve"> </w:t>
      </w:r>
    </w:p>
    <w:p w:rsidR="00A74028" w:rsidRPr="00E117B6" w:rsidRDefault="00A74028" w:rsidP="00A74028">
      <w:pPr>
        <w:rPr>
          <w:color w:val="000000" w:themeColor="text1"/>
          <w:sz w:val="22"/>
        </w:rPr>
      </w:pPr>
    </w:p>
    <w:p w:rsidR="00A74028" w:rsidRPr="00E117B6" w:rsidRDefault="00A74028" w:rsidP="00A74028">
      <w:pPr>
        <w:rPr>
          <w:b/>
          <w:color w:val="000000" w:themeColor="text1"/>
          <w:sz w:val="22"/>
        </w:rPr>
      </w:pPr>
      <w:r w:rsidRPr="00E117B6">
        <w:rPr>
          <w:b/>
          <w:color w:val="000000" w:themeColor="text1"/>
          <w:sz w:val="22"/>
        </w:rPr>
        <w:t>Contribuţie la prioritatea/priorităţile prevăzute la art.5, Reg.(UE) nr.1305/2013</w:t>
      </w:r>
    </w:p>
    <w:p w:rsidR="00A74028" w:rsidRPr="00E117B6" w:rsidRDefault="00A74028" w:rsidP="00A74028">
      <w:pPr>
        <w:tabs>
          <w:tab w:val="left" w:pos="231"/>
        </w:tabs>
        <w:rPr>
          <w:color w:val="000000" w:themeColor="text1"/>
          <w:sz w:val="22"/>
        </w:rPr>
      </w:pPr>
      <w:r w:rsidRPr="00E117B6">
        <w:rPr>
          <w:color w:val="000000" w:themeColor="text1"/>
          <w:sz w:val="22"/>
        </w:rPr>
        <w:t xml:space="preserve">Măsura contribuie la prioritatea 6. Promovarea incluziunii sociale, a reducerii sărăciei și a dezvoltării economice în zonele rurale din art. 5, Reg. 1305/2013. </w:t>
      </w:r>
    </w:p>
    <w:p w:rsidR="00A74028" w:rsidRPr="00E117B6" w:rsidRDefault="00A74028" w:rsidP="00A74028">
      <w:pPr>
        <w:rPr>
          <w:color w:val="000000" w:themeColor="text1"/>
          <w:sz w:val="22"/>
        </w:rPr>
      </w:pPr>
    </w:p>
    <w:p w:rsidR="00A74028" w:rsidRPr="004774EC" w:rsidRDefault="00A74028" w:rsidP="00A74028">
      <w:pPr>
        <w:rPr>
          <w:rFonts w:eastAsia="Times New Roman" w:cs="Arial"/>
          <w:b/>
          <w:sz w:val="22"/>
        </w:rPr>
      </w:pPr>
      <w:r w:rsidRPr="00A74028">
        <w:rPr>
          <w:rFonts w:eastAsia="Times New Roman" w:cs="Arial"/>
          <w:b/>
          <w:sz w:val="22"/>
        </w:rPr>
        <w:t>Masura corespunde obiectivelor art.20 din Reg.(UE) nr. 1305/2013</w:t>
      </w:r>
    </w:p>
    <w:p w:rsidR="00A74028" w:rsidRPr="00E117B6" w:rsidRDefault="00A74028" w:rsidP="00A74028">
      <w:pPr>
        <w:rPr>
          <w:color w:val="000000" w:themeColor="text1"/>
          <w:sz w:val="22"/>
        </w:rPr>
      </w:pPr>
    </w:p>
    <w:p w:rsidR="00A74028" w:rsidRPr="00E117B6" w:rsidRDefault="00A74028" w:rsidP="00A74028">
      <w:pPr>
        <w:rPr>
          <w:color w:val="000000" w:themeColor="text1"/>
          <w:sz w:val="22"/>
        </w:rPr>
      </w:pPr>
      <w:r w:rsidRPr="00E117B6">
        <w:rPr>
          <w:color w:val="000000" w:themeColor="text1"/>
          <w:sz w:val="22"/>
        </w:rPr>
        <w:t>Este în concordanță cu cel de-al treilea obiectiv Strategic Obținerea unei dezvoltări teritoriale echilibrate a economiilor și comunităților rurale, inclusiv crearea și menținerea de locuri de muncă, definit în Regulamentul UE nr. 1305/2013, art.4</w:t>
      </w:r>
    </w:p>
    <w:p w:rsidR="00A74028" w:rsidRPr="00E117B6" w:rsidRDefault="00A74028" w:rsidP="00A74028">
      <w:pPr>
        <w:rPr>
          <w:color w:val="000000" w:themeColor="text1"/>
          <w:sz w:val="22"/>
        </w:rPr>
      </w:pPr>
    </w:p>
    <w:p w:rsidR="00A74028" w:rsidRPr="00E117B6" w:rsidRDefault="00A74028" w:rsidP="00A74028">
      <w:pPr>
        <w:rPr>
          <w:b/>
          <w:color w:val="000000" w:themeColor="text1"/>
          <w:sz w:val="22"/>
        </w:rPr>
      </w:pPr>
      <w:r w:rsidRPr="00E117B6">
        <w:rPr>
          <w:b/>
          <w:color w:val="000000" w:themeColor="text1"/>
          <w:sz w:val="22"/>
        </w:rPr>
        <w:t>Contribuţia la domeniile de intervenţie</w:t>
      </w:r>
    </w:p>
    <w:p w:rsidR="00A74028" w:rsidRPr="00E117B6" w:rsidRDefault="00A74028" w:rsidP="00A74028">
      <w:pPr>
        <w:rPr>
          <w:color w:val="000000" w:themeColor="text1"/>
          <w:sz w:val="22"/>
        </w:rPr>
      </w:pPr>
    </w:p>
    <w:p w:rsidR="00A74028" w:rsidRPr="00E117B6" w:rsidRDefault="00A74028" w:rsidP="00A74028">
      <w:pPr>
        <w:rPr>
          <w:color w:val="000000" w:themeColor="text1"/>
          <w:sz w:val="22"/>
        </w:rPr>
      </w:pPr>
      <w:r w:rsidRPr="00E117B6">
        <w:rPr>
          <w:color w:val="000000" w:themeColor="text1"/>
          <w:sz w:val="22"/>
        </w:rPr>
        <w:t>Măsura contribuie la Domeniul de intervenție 6.B. Încurajarea dezvoltării locale în zonele rurale, prevăzute la art. 5, Reg. 1305/2013</w:t>
      </w:r>
    </w:p>
    <w:p w:rsidR="00A74028" w:rsidRPr="00E117B6" w:rsidRDefault="00A74028" w:rsidP="00A74028">
      <w:pPr>
        <w:rPr>
          <w:color w:val="000000" w:themeColor="text1"/>
          <w:sz w:val="22"/>
        </w:rPr>
      </w:pPr>
    </w:p>
    <w:p w:rsidR="00A74028" w:rsidRPr="00E117B6" w:rsidRDefault="00A74028" w:rsidP="00A74028">
      <w:pPr>
        <w:rPr>
          <w:b/>
          <w:color w:val="000000" w:themeColor="text1"/>
          <w:sz w:val="22"/>
        </w:rPr>
      </w:pPr>
      <w:r w:rsidRPr="00E117B6">
        <w:rPr>
          <w:b/>
          <w:color w:val="000000" w:themeColor="text1"/>
          <w:sz w:val="22"/>
        </w:rPr>
        <w:t>Contribuţia la obiectivele transversale ale Reg.(UE) 1305/2013</w:t>
      </w:r>
    </w:p>
    <w:p w:rsidR="00A74028" w:rsidRPr="00E117B6" w:rsidRDefault="00A74028" w:rsidP="00A74028">
      <w:pPr>
        <w:rPr>
          <w:color w:val="000000" w:themeColor="text1"/>
          <w:sz w:val="22"/>
        </w:rPr>
      </w:pPr>
    </w:p>
    <w:p w:rsidR="00A74028" w:rsidRPr="00E117B6" w:rsidRDefault="00A74028" w:rsidP="00A74028">
      <w:pPr>
        <w:rPr>
          <w:color w:val="000000" w:themeColor="text1"/>
          <w:sz w:val="22"/>
        </w:rPr>
      </w:pPr>
      <w:r w:rsidRPr="00E117B6">
        <w:rPr>
          <w:color w:val="000000" w:themeColor="text1"/>
          <w:sz w:val="22"/>
        </w:rPr>
        <w:t>Măsura contribuie la obiectivele transversale ale Reg. 1305/2013 legate de inovare prin asigurarea condițiilor favorabile pentru incluziunea socială a copiilor din grupurile marginalizate din mediul rural, cu accent deosebit  pe etnia romă.</w:t>
      </w:r>
    </w:p>
    <w:p w:rsidR="00A74028" w:rsidRPr="00E117B6" w:rsidRDefault="00A74028" w:rsidP="00A74028">
      <w:pPr>
        <w:rPr>
          <w:color w:val="000000" w:themeColor="text1"/>
          <w:sz w:val="22"/>
        </w:rPr>
      </w:pPr>
    </w:p>
    <w:p w:rsidR="00FB508C" w:rsidRDefault="00A74028" w:rsidP="00A74028">
      <w:pPr>
        <w:widowControl w:val="0"/>
        <w:autoSpaceDE w:val="0"/>
        <w:autoSpaceDN w:val="0"/>
        <w:adjustRightInd w:val="0"/>
        <w:ind w:left="4"/>
        <w:rPr>
          <w:color w:val="000000" w:themeColor="text1"/>
          <w:sz w:val="22"/>
        </w:rPr>
      </w:pPr>
      <w:r w:rsidRPr="00E117B6">
        <w:rPr>
          <w:b/>
          <w:color w:val="000000" w:themeColor="text1"/>
          <w:sz w:val="22"/>
        </w:rPr>
        <w:t>Complementaritatea cu alte măsuri din SDL</w:t>
      </w:r>
      <w:r w:rsidRPr="00E117B6">
        <w:rPr>
          <w:color w:val="000000" w:themeColor="text1"/>
          <w:sz w:val="22"/>
        </w:rPr>
        <w:t xml:space="preserve">: măsura M6.4 este complementară cu măsura M6.3 din SDL prin natura investițiilor sprijinite. Complementaritatea cu măsura M6.3 este definită de destinația tipului de infrastructură și de natura și tipul beneficiarilor direcți și indirecți. În cazul măsurii M6.5, tipul de intervenție, altul decât investițiile în infrastructură și natura beneficiarilor direcți, grupuri etnice, cu prioritate etnia romă, realizează </w:t>
      </w:r>
    </w:p>
    <w:p w:rsidR="00FB508C" w:rsidRDefault="00FB508C" w:rsidP="00A74028">
      <w:pPr>
        <w:widowControl w:val="0"/>
        <w:autoSpaceDE w:val="0"/>
        <w:autoSpaceDN w:val="0"/>
        <w:adjustRightInd w:val="0"/>
        <w:ind w:left="4"/>
        <w:rPr>
          <w:color w:val="000000" w:themeColor="text1"/>
          <w:sz w:val="22"/>
        </w:rPr>
      </w:pPr>
    </w:p>
    <w:p w:rsidR="00A74028" w:rsidRPr="00E117B6" w:rsidRDefault="00A74028" w:rsidP="00A74028">
      <w:pPr>
        <w:widowControl w:val="0"/>
        <w:autoSpaceDE w:val="0"/>
        <w:autoSpaceDN w:val="0"/>
        <w:adjustRightInd w:val="0"/>
        <w:ind w:left="4"/>
        <w:rPr>
          <w:color w:val="000000" w:themeColor="text1"/>
          <w:sz w:val="22"/>
        </w:rPr>
      </w:pPr>
      <w:r w:rsidRPr="00E117B6">
        <w:rPr>
          <w:color w:val="000000" w:themeColor="text1"/>
          <w:sz w:val="22"/>
        </w:rPr>
        <w:t xml:space="preserve">delimitarea complementarității cu măsura M6.4 destinată </w:t>
      </w:r>
      <w:r w:rsidRPr="00E117B6">
        <w:rPr>
          <w:color w:val="000000" w:themeColor="text1"/>
          <w:sz w:val="22"/>
          <w:u w:val="single"/>
        </w:rPr>
        <w:t>exclusiv sprijinirii investițiilor în infrastructura socială și de educație pentru grupurile marginalizate</w:t>
      </w:r>
      <w:r w:rsidRPr="00E117B6">
        <w:rPr>
          <w:color w:val="000000" w:themeColor="text1"/>
          <w:sz w:val="22"/>
        </w:rPr>
        <w:t>.</w:t>
      </w:r>
    </w:p>
    <w:p w:rsidR="00A74028" w:rsidRPr="00E117B6" w:rsidRDefault="00A74028" w:rsidP="00A74028">
      <w:pPr>
        <w:rPr>
          <w:b/>
          <w:color w:val="000000" w:themeColor="text1"/>
          <w:sz w:val="22"/>
        </w:rPr>
      </w:pPr>
    </w:p>
    <w:p w:rsidR="00A74028" w:rsidRPr="00E117B6" w:rsidRDefault="00A74028" w:rsidP="00A74028">
      <w:pPr>
        <w:rPr>
          <w:color w:val="000000" w:themeColor="text1"/>
          <w:sz w:val="22"/>
        </w:rPr>
      </w:pPr>
      <w:r w:rsidRPr="00E117B6">
        <w:rPr>
          <w:b/>
          <w:color w:val="000000" w:themeColor="text1"/>
          <w:sz w:val="22"/>
        </w:rPr>
        <w:t>Sinergia cu alte măsuri din SDL</w:t>
      </w:r>
      <w:r w:rsidRPr="00E117B6">
        <w:rPr>
          <w:color w:val="000000" w:themeColor="text1"/>
          <w:sz w:val="22"/>
        </w:rPr>
        <w:t>: măsura M6.4 este în sinergie cu măsura M1 prin natura transversală a acesteia și cu măsurile M2.1, M2.2, M3, M6.1 și M6.2 ale SDL prin efectele convergente pe care elementele de infrastructură civică, socială și culturală le aduc și amplifică impactul potențial al intervențiilor susținute prin celelalte măsuri. Sinergia este amplificată de posibilitatea integrării experiențelor și cunoștințelor generate de implementarea celorlalte măsuri spre persoanele din grupurile marginalizate în scopul multiplicării efectului produs de acestea și a creșterii șanselor de integrare economică și socială sustenabilă pentru populația marginalizată sau în dificultate.</w:t>
      </w:r>
    </w:p>
    <w:p w:rsidR="00A74028" w:rsidRPr="00E117B6" w:rsidRDefault="00A74028" w:rsidP="00A74028">
      <w:pPr>
        <w:rPr>
          <w:color w:val="000000" w:themeColor="text1"/>
          <w:sz w:val="22"/>
        </w:rPr>
      </w:pPr>
    </w:p>
    <w:p w:rsidR="00A74028" w:rsidRPr="00E117B6" w:rsidRDefault="00A74028" w:rsidP="00A74028">
      <w:pPr>
        <w:rPr>
          <w:b/>
          <w:color w:val="000000" w:themeColor="text1"/>
          <w:sz w:val="22"/>
        </w:rPr>
      </w:pPr>
      <w:r w:rsidRPr="00E117B6">
        <w:rPr>
          <w:color w:val="000000" w:themeColor="text1"/>
          <w:sz w:val="22"/>
        </w:rPr>
        <w:t xml:space="preserve">2. </w:t>
      </w:r>
      <w:r w:rsidRPr="00E117B6">
        <w:rPr>
          <w:b/>
          <w:color w:val="000000" w:themeColor="text1"/>
          <w:sz w:val="22"/>
        </w:rPr>
        <w:t>Valoarea adăugată a măsurii</w:t>
      </w:r>
    </w:p>
    <w:p w:rsidR="00A74028" w:rsidRPr="00E117B6" w:rsidRDefault="00A74028" w:rsidP="00A74028">
      <w:pPr>
        <w:rPr>
          <w:b/>
          <w:color w:val="000000" w:themeColor="text1"/>
          <w:sz w:val="22"/>
        </w:rPr>
      </w:pPr>
    </w:p>
    <w:p w:rsidR="00A74028" w:rsidRPr="00E117B6" w:rsidRDefault="00A74028" w:rsidP="00A74028">
      <w:pPr>
        <w:rPr>
          <w:color w:val="000000" w:themeColor="text1"/>
          <w:sz w:val="22"/>
        </w:rPr>
      </w:pPr>
      <w:r w:rsidRPr="00E117B6">
        <w:rPr>
          <w:color w:val="000000" w:themeColor="text1"/>
          <w:sz w:val="22"/>
        </w:rPr>
        <w:t>Activitatea propriu-zisă este asigurarea accesului copiilor preșcolari de etnie romă la activități educative cu participarea părinților. Dat fiind faptul, că activitatea educațională va fi realizată în mai multe direcții,  se poate spune, că se va realiza un fel de club pentru mame cu copii, dar, datorită faptului că majoritatea activităților pune centrul de greutate pe educarea copiilor, vorbim totuși de ”club” preșcolar. Aici copii derulează, după în program prestabilit, activități educative în mod jucăuș, în care sunt implicați și părinții. Totodată se caută posibilitatea de a organiza cursuri și adulților (în afara acestui program) pe diferite teme, cum ar fi elemente de gospodărire, igienă, educație familiară, etc. După necesități, locul unde se desfășoară activitatea educaționale poate fi dotată cu o spălătorie, grupul social poate fi extins cu baie, și poate fi atașată o bucătărie, care pe de o parte asigură alimente pentru copii, pe de altă parte prezintă baza unor cursuri pentru mame în domeniul gospodăririi familiare.</w:t>
      </w:r>
    </w:p>
    <w:p w:rsidR="00A74028" w:rsidRPr="00E117B6" w:rsidRDefault="00A74028" w:rsidP="00A74028">
      <w:pPr>
        <w:rPr>
          <w:color w:val="000000" w:themeColor="text1"/>
          <w:sz w:val="22"/>
        </w:rPr>
      </w:pPr>
    </w:p>
    <w:p w:rsidR="00A74028" w:rsidRPr="00E117B6" w:rsidRDefault="00A74028" w:rsidP="00A74028">
      <w:pPr>
        <w:rPr>
          <w:b/>
          <w:color w:val="000000" w:themeColor="text1"/>
          <w:sz w:val="22"/>
        </w:rPr>
      </w:pPr>
      <w:r w:rsidRPr="00E117B6">
        <w:rPr>
          <w:color w:val="000000" w:themeColor="text1"/>
          <w:sz w:val="22"/>
        </w:rPr>
        <w:t xml:space="preserve">3. </w:t>
      </w:r>
      <w:r w:rsidRPr="00E117B6">
        <w:rPr>
          <w:b/>
          <w:color w:val="000000" w:themeColor="text1"/>
          <w:sz w:val="22"/>
        </w:rPr>
        <w:t>Trimiteri la alte acte legislative</w:t>
      </w:r>
    </w:p>
    <w:p w:rsidR="00A74028" w:rsidRPr="00E117B6" w:rsidRDefault="00A74028" w:rsidP="00A74028">
      <w:pPr>
        <w:rPr>
          <w:b/>
          <w:color w:val="000000" w:themeColor="text1"/>
          <w:sz w:val="22"/>
        </w:rPr>
      </w:pPr>
    </w:p>
    <w:p w:rsidR="00A74028" w:rsidRPr="00E117B6" w:rsidRDefault="00A74028" w:rsidP="00A74028">
      <w:pPr>
        <w:rPr>
          <w:color w:val="000000" w:themeColor="text1"/>
          <w:sz w:val="22"/>
        </w:rPr>
      </w:pPr>
      <w:r w:rsidRPr="00E117B6">
        <w:rPr>
          <w:color w:val="000000" w:themeColor="text1"/>
          <w:sz w:val="22"/>
        </w:rPr>
        <w:t>Hotărârea Guvernului nr. 18/2015 pentru aprobarea Strategiei Guvernului României de incluziune a cetăţenilor români aparţinând minorităţii rome pentru perioada 2015-2020, cu modificările și completările ulterioare;</w:t>
      </w:r>
    </w:p>
    <w:p w:rsidR="00A74028" w:rsidRPr="00E117B6" w:rsidRDefault="00A74028" w:rsidP="00A74028">
      <w:pPr>
        <w:rPr>
          <w:color w:val="000000" w:themeColor="text1"/>
          <w:sz w:val="22"/>
        </w:rPr>
      </w:pPr>
      <w:r w:rsidRPr="00E117B6">
        <w:rPr>
          <w:color w:val="000000" w:themeColor="text1"/>
          <w:sz w:val="22"/>
        </w:rPr>
        <w:t>Hotărârea Guvernului nr. 383/2015 pentru aprobarea Strategiei naţionale privind incluziunea socială și reducerea sărăciei pentru perioada 2015-2020</w:t>
      </w:r>
    </w:p>
    <w:p w:rsidR="00A74028" w:rsidRPr="00E117B6" w:rsidRDefault="00A74028" w:rsidP="00A74028">
      <w:pPr>
        <w:rPr>
          <w:color w:val="000000" w:themeColor="text1"/>
          <w:sz w:val="22"/>
        </w:rPr>
      </w:pPr>
    </w:p>
    <w:p w:rsidR="00A74028" w:rsidRPr="00E117B6" w:rsidRDefault="00A74028" w:rsidP="00A74028">
      <w:pPr>
        <w:rPr>
          <w:b/>
          <w:color w:val="000000" w:themeColor="text1"/>
          <w:sz w:val="22"/>
        </w:rPr>
      </w:pPr>
      <w:r w:rsidRPr="00E117B6">
        <w:rPr>
          <w:color w:val="000000" w:themeColor="text1"/>
          <w:sz w:val="22"/>
        </w:rPr>
        <w:t xml:space="preserve">4. </w:t>
      </w:r>
      <w:r w:rsidRPr="00E117B6">
        <w:rPr>
          <w:b/>
          <w:color w:val="000000" w:themeColor="text1"/>
          <w:sz w:val="22"/>
        </w:rPr>
        <w:t>Beneficiari direcţi/indirecţi (grup ţintă)</w:t>
      </w:r>
    </w:p>
    <w:p w:rsidR="00A74028" w:rsidRPr="00E117B6" w:rsidRDefault="00A74028" w:rsidP="00A74028">
      <w:pPr>
        <w:rPr>
          <w:b/>
          <w:color w:val="000000" w:themeColor="text1"/>
          <w:sz w:val="22"/>
        </w:rPr>
      </w:pPr>
    </w:p>
    <w:p w:rsidR="00A74028" w:rsidRPr="00A74028" w:rsidRDefault="00A74028" w:rsidP="00A74028">
      <w:pPr>
        <w:rPr>
          <w:color w:val="000000" w:themeColor="text1"/>
          <w:sz w:val="22"/>
        </w:rPr>
      </w:pPr>
      <w:r w:rsidRPr="00A74028">
        <w:rPr>
          <w:color w:val="000000" w:themeColor="text1"/>
          <w:sz w:val="22"/>
        </w:rPr>
        <w:t>4.1. Beneficiari direcţi</w:t>
      </w:r>
    </w:p>
    <w:p w:rsidR="00A74028" w:rsidRPr="00A74028" w:rsidRDefault="00A74028" w:rsidP="00A74028">
      <w:pPr>
        <w:numPr>
          <w:ilvl w:val="0"/>
          <w:numId w:val="26"/>
        </w:numPr>
        <w:spacing w:after="0" w:line="276" w:lineRule="auto"/>
        <w:ind w:left="270" w:hanging="270"/>
        <w:rPr>
          <w:color w:val="000000" w:themeColor="text1"/>
          <w:sz w:val="22"/>
        </w:rPr>
      </w:pPr>
      <w:r w:rsidRPr="00A74028">
        <w:rPr>
          <w:color w:val="000000" w:themeColor="text1"/>
          <w:sz w:val="22"/>
        </w:rPr>
        <w:t>Comunele definite conform legislației în vigoare;</w:t>
      </w:r>
    </w:p>
    <w:p w:rsidR="00A74028" w:rsidRPr="00A74028" w:rsidRDefault="00A74028" w:rsidP="00A74028">
      <w:pPr>
        <w:numPr>
          <w:ilvl w:val="0"/>
          <w:numId w:val="26"/>
        </w:numPr>
        <w:spacing w:after="0" w:line="276" w:lineRule="auto"/>
        <w:ind w:left="270" w:hanging="270"/>
        <w:rPr>
          <w:color w:val="000000" w:themeColor="text1"/>
          <w:sz w:val="22"/>
        </w:rPr>
      </w:pPr>
      <w:r w:rsidRPr="00A74028">
        <w:rPr>
          <w:color w:val="000000" w:themeColor="text1"/>
          <w:sz w:val="22"/>
        </w:rPr>
        <w:t>ADI-uri format exclusiv din UAT-uri semnatare ale acordului de parteneriat;</w:t>
      </w:r>
    </w:p>
    <w:p w:rsidR="00A74028" w:rsidRPr="00A74028" w:rsidRDefault="00A74028" w:rsidP="00A74028">
      <w:pPr>
        <w:numPr>
          <w:ilvl w:val="0"/>
          <w:numId w:val="26"/>
        </w:numPr>
        <w:spacing w:after="0" w:line="276" w:lineRule="auto"/>
        <w:ind w:left="270" w:hanging="270"/>
        <w:rPr>
          <w:color w:val="000000" w:themeColor="text1"/>
          <w:sz w:val="22"/>
        </w:rPr>
      </w:pPr>
      <w:r w:rsidRPr="00A74028">
        <w:rPr>
          <w:color w:val="000000" w:themeColor="text1"/>
          <w:sz w:val="22"/>
        </w:rPr>
        <w:t>ONG-uri definite conform legislației în vigoare.</w:t>
      </w:r>
    </w:p>
    <w:p w:rsidR="00A74028" w:rsidRPr="00E117B6" w:rsidRDefault="00A74028" w:rsidP="00A74028">
      <w:pPr>
        <w:rPr>
          <w:color w:val="000000" w:themeColor="text1"/>
          <w:sz w:val="22"/>
        </w:rPr>
      </w:pPr>
    </w:p>
    <w:p w:rsidR="00A74028" w:rsidRPr="00E117B6" w:rsidRDefault="00A74028" w:rsidP="00A74028">
      <w:pPr>
        <w:rPr>
          <w:color w:val="000000" w:themeColor="text1"/>
          <w:sz w:val="22"/>
        </w:rPr>
      </w:pPr>
      <w:r w:rsidRPr="00E117B6">
        <w:rPr>
          <w:color w:val="000000" w:themeColor="text1"/>
          <w:sz w:val="22"/>
        </w:rPr>
        <w:t>4.2. Beneficiarii indirecţi</w:t>
      </w:r>
    </w:p>
    <w:p w:rsidR="00A74028" w:rsidRPr="00E117B6" w:rsidRDefault="00A74028" w:rsidP="00A74028">
      <w:pPr>
        <w:pStyle w:val="ListParagraph"/>
        <w:numPr>
          <w:ilvl w:val="0"/>
          <w:numId w:val="31"/>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Grupuri marginalizate</w:t>
      </w:r>
    </w:p>
    <w:p w:rsidR="00A74028" w:rsidRPr="00E117B6" w:rsidRDefault="00A74028" w:rsidP="00A74028">
      <w:pPr>
        <w:rPr>
          <w:color w:val="000000" w:themeColor="text1"/>
          <w:sz w:val="22"/>
        </w:rPr>
      </w:pPr>
    </w:p>
    <w:p w:rsidR="00A74028" w:rsidRPr="00E117B6" w:rsidRDefault="00A74028" w:rsidP="00A74028">
      <w:pPr>
        <w:rPr>
          <w:b/>
          <w:color w:val="000000" w:themeColor="text1"/>
          <w:sz w:val="22"/>
        </w:rPr>
      </w:pPr>
      <w:r w:rsidRPr="00E117B6">
        <w:rPr>
          <w:color w:val="000000" w:themeColor="text1"/>
          <w:sz w:val="22"/>
        </w:rPr>
        <w:t xml:space="preserve">5. </w:t>
      </w:r>
      <w:r w:rsidRPr="00E117B6">
        <w:rPr>
          <w:b/>
          <w:color w:val="000000" w:themeColor="text1"/>
          <w:sz w:val="22"/>
        </w:rPr>
        <w:t>Tip de sprijin (conform art. 67 din Reg. (UE) nr.1303/2013)</w:t>
      </w:r>
    </w:p>
    <w:p w:rsidR="00A74028" w:rsidRPr="00E117B6" w:rsidRDefault="00A74028" w:rsidP="00A74028">
      <w:pPr>
        <w:rPr>
          <w:color w:val="000000" w:themeColor="text1"/>
          <w:sz w:val="22"/>
        </w:rPr>
      </w:pPr>
    </w:p>
    <w:p w:rsidR="00FB508C" w:rsidRDefault="00FB508C" w:rsidP="00A74028">
      <w:pPr>
        <w:rPr>
          <w:color w:val="000000" w:themeColor="text1"/>
          <w:sz w:val="22"/>
        </w:rPr>
      </w:pPr>
    </w:p>
    <w:p w:rsidR="00A74028" w:rsidRDefault="00FB508C" w:rsidP="00A74028">
      <w:pPr>
        <w:rPr>
          <w:color w:val="000000" w:themeColor="text1"/>
          <w:sz w:val="22"/>
        </w:rPr>
      </w:pPr>
      <w:r w:rsidRPr="00E117B6">
        <w:rPr>
          <w:color w:val="000000" w:themeColor="text1"/>
          <w:sz w:val="22"/>
        </w:rPr>
        <w:t>•</w:t>
      </w:r>
      <w:r>
        <w:rPr>
          <w:color w:val="000000" w:themeColor="text1"/>
          <w:sz w:val="22"/>
        </w:rPr>
        <w:t xml:space="preserve"> </w:t>
      </w:r>
      <w:bookmarkStart w:id="0" w:name="_GoBack"/>
      <w:bookmarkEnd w:id="0"/>
      <w:r w:rsidR="00A74028" w:rsidRPr="00E117B6">
        <w:rPr>
          <w:color w:val="000000" w:themeColor="text1"/>
          <w:sz w:val="22"/>
        </w:rPr>
        <w:t>Rambursarea cheltuielilor eligibi</w:t>
      </w:r>
      <w:r w:rsidR="00A74028">
        <w:rPr>
          <w:color w:val="000000" w:themeColor="text1"/>
          <w:sz w:val="22"/>
        </w:rPr>
        <w:t>le suportate și plătite efectiv</w:t>
      </w:r>
    </w:p>
    <w:p w:rsidR="00A74028" w:rsidRPr="00E117B6" w:rsidRDefault="00A74028" w:rsidP="00A74028">
      <w:pPr>
        <w:rPr>
          <w:color w:val="000000" w:themeColor="text1"/>
          <w:sz w:val="22"/>
        </w:rPr>
      </w:pPr>
      <w:r w:rsidRPr="00E117B6">
        <w:rPr>
          <w:color w:val="000000" w:themeColor="text1"/>
          <w:sz w:val="22"/>
        </w:rPr>
        <w:t>• Plăți în avans, cu condiția constituirii unei garanții bancare</w:t>
      </w:r>
    </w:p>
    <w:p w:rsidR="00A74028" w:rsidRPr="00E117B6" w:rsidRDefault="00A74028" w:rsidP="00A74028">
      <w:pPr>
        <w:rPr>
          <w:color w:val="000000" w:themeColor="text1"/>
          <w:sz w:val="22"/>
        </w:rPr>
      </w:pPr>
    </w:p>
    <w:p w:rsidR="00A74028" w:rsidRPr="00E117B6" w:rsidRDefault="00A74028" w:rsidP="00A74028">
      <w:pPr>
        <w:rPr>
          <w:b/>
          <w:color w:val="000000" w:themeColor="text1"/>
          <w:sz w:val="22"/>
        </w:rPr>
      </w:pPr>
      <w:r w:rsidRPr="00E117B6">
        <w:rPr>
          <w:b/>
          <w:color w:val="000000" w:themeColor="text1"/>
          <w:sz w:val="22"/>
        </w:rPr>
        <w:t>6.Tipuri de acţiuni eligibile şi neeligibile</w:t>
      </w:r>
    </w:p>
    <w:p w:rsidR="00A74028" w:rsidRPr="00E117B6" w:rsidRDefault="00A74028" w:rsidP="00A74028">
      <w:pPr>
        <w:rPr>
          <w:b/>
          <w:color w:val="000000" w:themeColor="text1"/>
          <w:sz w:val="22"/>
        </w:rPr>
      </w:pPr>
    </w:p>
    <w:p w:rsidR="00A74028" w:rsidRPr="00E117B6" w:rsidRDefault="00A74028" w:rsidP="00A74028">
      <w:pPr>
        <w:rPr>
          <w:color w:val="000000" w:themeColor="text1"/>
          <w:sz w:val="22"/>
        </w:rPr>
      </w:pPr>
      <w:r w:rsidRPr="00E117B6">
        <w:rPr>
          <w:color w:val="000000" w:themeColor="text1"/>
          <w:sz w:val="22"/>
        </w:rPr>
        <w:t xml:space="preserve">Asigurarea infrastructurii necesare pentru educație: </w:t>
      </w:r>
    </w:p>
    <w:p w:rsidR="00A74028" w:rsidRPr="00E117B6" w:rsidRDefault="00A74028" w:rsidP="00A74028">
      <w:pPr>
        <w:pStyle w:val="ListParagraph"/>
        <w:numPr>
          <w:ilvl w:val="0"/>
          <w:numId w:val="31"/>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construirea cladirilor</w:t>
      </w:r>
    </w:p>
    <w:p w:rsidR="00A74028" w:rsidRPr="00E117B6" w:rsidRDefault="00A74028" w:rsidP="00A74028">
      <w:pPr>
        <w:pStyle w:val="ListParagraph"/>
        <w:numPr>
          <w:ilvl w:val="0"/>
          <w:numId w:val="31"/>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modernizarea clădirilor; </w:t>
      </w:r>
    </w:p>
    <w:p w:rsidR="00A74028" w:rsidRPr="00E117B6" w:rsidRDefault="00A74028" w:rsidP="00A74028">
      <w:pPr>
        <w:pStyle w:val="ListParagraph"/>
        <w:numPr>
          <w:ilvl w:val="0"/>
          <w:numId w:val="31"/>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amenajarea terenurilor; </w:t>
      </w:r>
    </w:p>
    <w:p w:rsidR="00A74028" w:rsidRPr="00E117B6" w:rsidRDefault="00A74028" w:rsidP="00A74028">
      <w:pPr>
        <w:pStyle w:val="ListParagraph"/>
        <w:numPr>
          <w:ilvl w:val="0"/>
          <w:numId w:val="31"/>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dotarea clădirilor</w:t>
      </w:r>
    </w:p>
    <w:p w:rsidR="00A74028" w:rsidRPr="00E117B6" w:rsidRDefault="00A74028" w:rsidP="00A74028">
      <w:pPr>
        <w:rPr>
          <w:color w:val="000000" w:themeColor="text1"/>
          <w:sz w:val="22"/>
        </w:rPr>
      </w:pPr>
      <w:r w:rsidRPr="00E117B6">
        <w:rPr>
          <w:color w:val="000000" w:themeColor="text1"/>
          <w:sz w:val="22"/>
        </w:rPr>
        <w:t xml:space="preserve">Activități educative: </w:t>
      </w:r>
    </w:p>
    <w:p w:rsidR="00A74028" w:rsidRPr="00E117B6" w:rsidRDefault="00A74028" w:rsidP="00A74028">
      <w:pPr>
        <w:pStyle w:val="ListParagraph"/>
        <w:numPr>
          <w:ilvl w:val="0"/>
          <w:numId w:val="32"/>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achiziționarea de echipamente; </w:t>
      </w:r>
    </w:p>
    <w:p w:rsidR="00A74028" w:rsidRPr="00E117B6" w:rsidRDefault="00A74028" w:rsidP="00A74028">
      <w:pPr>
        <w:pStyle w:val="ListParagraph"/>
        <w:numPr>
          <w:ilvl w:val="0"/>
          <w:numId w:val="32"/>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achiziționare de rechizite; </w:t>
      </w:r>
    </w:p>
    <w:p w:rsidR="00A74028" w:rsidRPr="00E117B6" w:rsidRDefault="00A74028" w:rsidP="00A74028">
      <w:pPr>
        <w:pStyle w:val="ListParagraph"/>
        <w:numPr>
          <w:ilvl w:val="0"/>
          <w:numId w:val="32"/>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software (conform unei analize de nevoi locale); </w:t>
      </w:r>
    </w:p>
    <w:p w:rsidR="00A74028" w:rsidRPr="00E117B6" w:rsidRDefault="00A74028" w:rsidP="00A74028">
      <w:pPr>
        <w:pStyle w:val="ListParagraph"/>
        <w:numPr>
          <w:ilvl w:val="0"/>
          <w:numId w:val="32"/>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transporturi ocazionale în vederea realizării programelor speciale </w:t>
      </w:r>
    </w:p>
    <w:p w:rsidR="00A74028" w:rsidRPr="00E117B6" w:rsidRDefault="00A74028" w:rsidP="00A74028">
      <w:pPr>
        <w:rPr>
          <w:color w:val="000000" w:themeColor="text1"/>
          <w:sz w:val="22"/>
        </w:rPr>
      </w:pPr>
      <w:r w:rsidRPr="00E117B6">
        <w:rPr>
          <w:color w:val="000000" w:themeColor="text1"/>
          <w:sz w:val="22"/>
        </w:rPr>
        <w:t xml:space="preserve">Alte tipuri de activități pentru: </w:t>
      </w:r>
    </w:p>
    <w:p w:rsidR="00A74028" w:rsidRPr="00E117B6" w:rsidRDefault="00A74028" w:rsidP="00A74028">
      <w:pPr>
        <w:pStyle w:val="ListParagraph"/>
        <w:numPr>
          <w:ilvl w:val="0"/>
          <w:numId w:val="33"/>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organizarea activităților de sărbătoare; </w:t>
      </w:r>
    </w:p>
    <w:p w:rsidR="00A74028" w:rsidRPr="00E117B6" w:rsidRDefault="00A74028" w:rsidP="00A74028">
      <w:pPr>
        <w:pStyle w:val="ListParagraph"/>
        <w:numPr>
          <w:ilvl w:val="0"/>
          <w:numId w:val="33"/>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cursuri pentru părinți pe diferite teme legate de familie, economie, igienă, planificare familiară, etc. </w:t>
      </w:r>
    </w:p>
    <w:p w:rsidR="00A74028" w:rsidRPr="00E117B6" w:rsidRDefault="00A74028" w:rsidP="00A74028">
      <w:pPr>
        <w:rPr>
          <w:color w:val="000000" w:themeColor="text1"/>
          <w:sz w:val="22"/>
        </w:rPr>
      </w:pPr>
      <w:r w:rsidRPr="00E117B6">
        <w:rPr>
          <w:color w:val="000000" w:themeColor="text1"/>
          <w:sz w:val="22"/>
        </w:rPr>
        <w:t xml:space="preserve">Alte activități: </w:t>
      </w:r>
    </w:p>
    <w:p w:rsidR="00A74028" w:rsidRPr="00E117B6" w:rsidRDefault="00A74028" w:rsidP="00A74028">
      <w:pPr>
        <w:pStyle w:val="ListParagraph"/>
        <w:numPr>
          <w:ilvl w:val="0"/>
          <w:numId w:val="3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realizare de materiale informative și promoționale; </w:t>
      </w:r>
    </w:p>
    <w:p w:rsidR="00A74028" w:rsidRPr="00E117B6" w:rsidRDefault="00A74028" w:rsidP="00A74028">
      <w:pPr>
        <w:pStyle w:val="ListParagraph"/>
        <w:numPr>
          <w:ilvl w:val="0"/>
          <w:numId w:val="3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realizare de materiale educaționale; </w:t>
      </w:r>
    </w:p>
    <w:p w:rsidR="00A74028" w:rsidRPr="00E117B6" w:rsidRDefault="00A74028" w:rsidP="00A74028">
      <w:pPr>
        <w:pStyle w:val="ListParagraph"/>
        <w:numPr>
          <w:ilvl w:val="0"/>
          <w:numId w:val="3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realizare de studii și evaluări </w:t>
      </w:r>
    </w:p>
    <w:p w:rsidR="00A74028" w:rsidRPr="00A74028" w:rsidRDefault="00A74028" w:rsidP="00A74028">
      <w:pPr>
        <w:rPr>
          <w:color w:val="000000" w:themeColor="text1"/>
          <w:sz w:val="22"/>
        </w:rPr>
      </w:pPr>
      <w:r w:rsidRPr="00A74028">
        <w:rPr>
          <w:color w:val="000000" w:themeColor="text1"/>
          <w:sz w:val="22"/>
        </w:rPr>
        <w:t>Actiuni neeligibile:</w:t>
      </w:r>
    </w:p>
    <w:p w:rsidR="00A74028" w:rsidRPr="00A74028" w:rsidRDefault="00A74028" w:rsidP="00A74028">
      <w:pPr>
        <w:pStyle w:val="ListParagraph"/>
        <w:numPr>
          <w:ilvl w:val="0"/>
          <w:numId w:val="38"/>
        </w:numPr>
        <w:jc w:val="both"/>
        <w:rPr>
          <w:rFonts w:ascii="Trebuchet MS" w:hAnsi="Trebuchet MS"/>
          <w:color w:val="000000" w:themeColor="text1"/>
          <w:sz w:val="22"/>
          <w:szCs w:val="22"/>
          <w:lang w:val="ro-RO"/>
        </w:rPr>
      </w:pPr>
      <w:r w:rsidRPr="00A74028">
        <w:rPr>
          <w:rFonts w:ascii="Trebuchet MS" w:hAnsi="Trebuchet MS"/>
          <w:color w:val="000000" w:themeColor="text1"/>
          <w:sz w:val="22"/>
          <w:szCs w:val="22"/>
          <w:lang w:val="ro-RO"/>
        </w:rPr>
        <w:t>achizitia de bunuri sau mijloace second-hand;</w:t>
      </w:r>
    </w:p>
    <w:p w:rsidR="00A74028" w:rsidRPr="00A74028" w:rsidRDefault="00A74028" w:rsidP="00A74028">
      <w:pPr>
        <w:pStyle w:val="ListParagraph"/>
        <w:numPr>
          <w:ilvl w:val="0"/>
          <w:numId w:val="38"/>
        </w:numPr>
        <w:jc w:val="both"/>
        <w:rPr>
          <w:rFonts w:ascii="Trebuchet MS" w:hAnsi="Trebuchet MS"/>
          <w:color w:val="000000" w:themeColor="text1"/>
          <w:sz w:val="22"/>
          <w:szCs w:val="22"/>
          <w:lang w:val="ro-RO"/>
        </w:rPr>
      </w:pPr>
      <w:r w:rsidRPr="00A74028">
        <w:rPr>
          <w:rFonts w:ascii="Trebuchet MS" w:hAnsi="Trebuchet MS"/>
          <w:color w:val="000000" w:themeColor="text1"/>
          <w:sz w:val="22"/>
          <w:szCs w:val="22"/>
          <w:lang w:val="ro-RO"/>
        </w:rPr>
        <w:t>comisioane si alte taxe de tranzactionare;</w:t>
      </w:r>
    </w:p>
    <w:p w:rsidR="00A74028" w:rsidRPr="00A74028" w:rsidRDefault="00A74028" w:rsidP="00A74028">
      <w:pPr>
        <w:pStyle w:val="ListParagraph"/>
        <w:numPr>
          <w:ilvl w:val="0"/>
          <w:numId w:val="38"/>
        </w:numPr>
        <w:jc w:val="both"/>
        <w:rPr>
          <w:rFonts w:ascii="Trebuchet MS" w:hAnsi="Trebuchet MS"/>
          <w:color w:val="000000" w:themeColor="text1"/>
          <w:sz w:val="22"/>
          <w:szCs w:val="22"/>
          <w:lang w:val="ro-RO"/>
        </w:rPr>
      </w:pPr>
      <w:r w:rsidRPr="00A74028">
        <w:rPr>
          <w:rFonts w:ascii="Trebuchet MS" w:hAnsi="Trebuchet MS"/>
          <w:color w:val="000000" w:themeColor="text1"/>
          <w:sz w:val="22"/>
          <w:szCs w:val="22"/>
          <w:lang w:val="ro-RO"/>
        </w:rPr>
        <w:t>activitati (soft) de expoatare operationala a infrastructurii realizate prin proiect.</w:t>
      </w:r>
    </w:p>
    <w:p w:rsidR="00A74028" w:rsidRPr="00A74028" w:rsidRDefault="00A74028" w:rsidP="00A74028">
      <w:pPr>
        <w:rPr>
          <w:color w:val="000000" w:themeColor="text1"/>
          <w:sz w:val="22"/>
        </w:rPr>
      </w:pPr>
    </w:p>
    <w:p w:rsidR="00A74028" w:rsidRPr="00E117B6" w:rsidRDefault="00A74028" w:rsidP="00A74028">
      <w:pPr>
        <w:rPr>
          <w:b/>
          <w:color w:val="000000" w:themeColor="text1"/>
          <w:sz w:val="22"/>
        </w:rPr>
      </w:pPr>
      <w:r w:rsidRPr="00A74028">
        <w:rPr>
          <w:b/>
          <w:color w:val="000000" w:themeColor="text1"/>
          <w:sz w:val="22"/>
        </w:rPr>
        <w:t>7. Condiţii de eligibilitate</w:t>
      </w:r>
    </w:p>
    <w:p w:rsidR="00A74028" w:rsidRPr="00E117B6" w:rsidRDefault="00A74028" w:rsidP="00A74028">
      <w:pPr>
        <w:rPr>
          <w:b/>
          <w:color w:val="000000" w:themeColor="text1"/>
          <w:sz w:val="22"/>
        </w:rPr>
      </w:pPr>
    </w:p>
    <w:p w:rsidR="00A74028" w:rsidRPr="00E117B6" w:rsidRDefault="00A74028" w:rsidP="00A74028">
      <w:pPr>
        <w:rPr>
          <w:color w:val="000000" w:themeColor="text1"/>
          <w:sz w:val="22"/>
        </w:rPr>
      </w:pPr>
      <w:r w:rsidRPr="00A74028">
        <w:rPr>
          <w:rFonts w:eastAsia="Times New Roman" w:cs="Arial"/>
          <w:sz w:val="22"/>
        </w:rPr>
        <w:t>Aplicantul este obligatoriu un furnizor de servicii sociale acreditat sau face parte dintr-un parteneriat in care cel putin o entitate este un furnizor acreditat de servicii sociale.</w:t>
      </w:r>
      <w:r w:rsidRPr="00A74028">
        <w:rPr>
          <w:color w:val="000000" w:themeColor="text1"/>
          <w:sz w:val="22"/>
        </w:rPr>
        <w:t xml:space="preserve"> </w:t>
      </w:r>
      <w:r w:rsidRPr="00A74028">
        <w:rPr>
          <w:rFonts w:eastAsia="Times New Roman" w:cs="Arial"/>
          <w:sz w:val="22"/>
        </w:rPr>
        <w:t>Beneficiarul/parteneriatul, precum si abordarea prezentata in cererea de finantare evita situatiile de segregare sau discriminare de orice fel.</w:t>
      </w:r>
      <w:r w:rsidRPr="00A74028">
        <w:rPr>
          <w:color w:val="000000" w:themeColor="text1"/>
          <w:sz w:val="22"/>
        </w:rPr>
        <w:t xml:space="preserve"> Sunt eligibile toate tipurile de</w:t>
      </w:r>
      <w:r w:rsidRPr="00E117B6">
        <w:rPr>
          <w:color w:val="000000" w:themeColor="text1"/>
          <w:sz w:val="22"/>
        </w:rPr>
        <w:t xml:space="preserve"> operațiuni care sunt în concordanță cu regulile generale din Regulamentele Europene, prioritățile stabilite pentru dezvoltarea locală – LEADER și obiectivele și prioritățile stabilite în Strategia de Dezvoltare Locală:</w:t>
      </w:r>
    </w:p>
    <w:p w:rsidR="00A74028" w:rsidRPr="00E117B6" w:rsidRDefault="00A74028" w:rsidP="00A74028">
      <w:pPr>
        <w:pStyle w:val="ListParagraph"/>
        <w:numPr>
          <w:ilvl w:val="0"/>
          <w:numId w:val="35"/>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construirea si/sau modernizarea clădirilor</w:t>
      </w:r>
    </w:p>
    <w:p w:rsidR="00A74028" w:rsidRPr="00E117B6" w:rsidRDefault="00A74028" w:rsidP="00A74028">
      <w:pPr>
        <w:pStyle w:val="ListParagraph"/>
        <w:numPr>
          <w:ilvl w:val="0"/>
          <w:numId w:val="35"/>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amenajarea terenurilor</w:t>
      </w:r>
    </w:p>
    <w:p w:rsidR="00A74028" w:rsidRPr="00E117B6" w:rsidRDefault="00A74028" w:rsidP="00A74028">
      <w:pPr>
        <w:pStyle w:val="ListParagraph"/>
        <w:numPr>
          <w:ilvl w:val="0"/>
          <w:numId w:val="35"/>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dotarea clădirilor</w:t>
      </w:r>
    </w:p>
    <w:p w:rsidR="00A74028" w:rsidRPr="00E117B6" w:rsidRDefault="00A74028" w:rsidP="00A74028">
      <w:pPr>
        <w:pStyle w:val="ListParagraph"/>
        <w:numPr>
          <w:ilvl w:val="0"/>
          <w:numId w:val="35"/>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obținerea avizelor de funcționare</w:t>
      </w:r>
    </w:p>
    <w:p w:rsidR="00A74028" w:rsidRPr="00E117B6" w:rsidRDefault="00A74028" w:rsidP="00A74028">
      <w:pPr>
        <w:pStyle w:val="ListParagraph"/>
        <w:numPr>
          <w:ilvl w:val="0"/>
          <w:numId w:val="35"/>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achiziționarea de echipamente</w:t>
      </w:r>
    </w:p>
    <w:p w:rsidR="00A74028" w:rsidRPr="00E117B6" w:rsidRDefault="00A74028" w:rsidP="00A74028">
      <w:pPr>
        <w:pStyle w:val="ListParagraph"/>
        <w:numPr>
          <w:ilvl w:val="0"/>
          <w:numId w:val="3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achiziționare de rechizite</w:t>
      </w:r>
    </w:p>
    <w:p w:rsidR="00A74028" w:rsidRPr="00E117B6" w:rsidRDefault="00A74028" w:rsidP="00A74028">
      <w:pPr>
        <w:pStyle w:val="ListParagraph"/>
        <w:numPr>
          <w:ilvl w:val="0"/>
          <w:numId w:val="3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plata experților </w:t>
      </w:r>
    </w:p>
    <w:p w:rsidR="00A74028" w:rsidRPr="00E117B6" w:rsidRDefault="00A74028" w:rsidP="00A74028">
      <w:pPr>
        <w:pStyle w:val="ListParagraph"/>
        <w:numPr>
          <w:ilvl w:val="0"/>
          <w:numId w:val="3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transport </w:t>
      </w:r>
    </w:p>
    <w:p w:rsidR="00A74028" w:rsidRPr="00E117B6" w:rsidRDefault="00A74028" w:rsidP="00A74028">
      <w:pPr>
        <w:pStyle w:val="ListParagraph"/>
        <w:numPr>
          <w:ilvl w:val="0"/>
          <w:numId w:val="3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organizarea activităților </w:t>
      </w:r>
    </w:p>
    <w:p w:rsidR="00FB508C" w:rsidRDefault="00FB508C" w:rsidP="00FB508C">
      <w:pPr>
        <w:pStyle w:val="ListParagraph"/>
        <w:jc w:val="both"/>
        <w:rPr>
          <w:rFonts w:ascii="Trebuchet MS" w:hAnsi="Trebuchet MS"/>
          <w:color w:val="000000" w:themeColor="text1"/>
          <w:sz w:val="22"/>
          <w:szCs w:val="22"/>
          <w:lang w:val="ro-RO"/>
        </w:rPr>
      </w:pPr>
    </w:p>
    <w:p w:rsidR="00A74028" w:rsidRPr="00E117B6" w:rsidRDefault="00A74028" w:rsidP="00A74028">
      <w:pPr>
        <w:pStyle w:val="ListParagraph"/>
        <w:numPr>
          <w:ilvl w:val="0"/>
          <w:numId w:val="3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realizare de materiale informative și promoționale </w:t>
      </w:r>
    </w:p>
    <w:p w:rsidR="00A74028" w:rsidRPr="00E117B6" w:rsidRDefault="00A74028" w:rsidP="00A74028">
      <w:pPr>
        <w:pStyle w:val="ListParagraph"/>
        <w:numPr>
          <w:ilvl w:val="0"/>
          <w:numId w:val="3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realizare de materiale educaționale</w:t>
      </w:r>
    </w:p>
    <w:p w:rsidR="00A74028" w:rsidRPr="00E117B6" w:rsidRDefault="00A74028" w:rsidP="00A74028">
      <w:pPr>
        <w:pStyle w:val="ListParagraph"/>
        <w:numPr>
          <w:ilvl w:val="0"/>
          <w:numId w:val="3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studii și analize</w:t>
      </w:r>
    </w:p>
    <w:p w:rsidR="00A74028" w:rsidRPr="00E117B6" w:rsidRDefault="00A74028" w:rsidP="00A74028">
      <w:pPr>
        <w:pStyle w:val="ListParagraph"/>
        <w:numPr>
          <w:ilvl w:val="0"/>
          <w:numId w:val="3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alte cheltuieli justificate pentru implementarea proiectului</w:t>
      </w:r>
    </w:p>
    <w:p w:rsidR="00A74028" w:rsidRDefault="00A74028" w:rsidP="00A74028">
      <w:pPr>
        <w:rPr>
          <w:rFonts w:eastAsia="Times New Roman" w:cs="Arial"/>
          <w:sz w:val="22"/>
        </w:rPr>
      </w:pPr>
      <w:r w:rsidRPr="00A74028">
        <w:rPr>
          <w:rFonts w:eastAsia="Times New Roman" w:cs="Arial"/>
          <w:sz w:val="22"/>
        </w:rPr>
        <w:t>Beneficiarii isi asuma integral sustenabilitatea proiectelor din surse proprii sau prin accesarea Obiectivului specific 5.2 din cadrul Programului Operațional Capital Uman 2014-2020.</w:t>
      </w:r>
    </w:p>
    <w:p w:rsidR="00A74028" w:rsidRPr="00E117B6" w:rsidRDefault="00A74028" w:rsidP="00A74028">
      <w:pPr>
        <w:rPr>
          <w:color w:val="000000" w:themeColor="text1"/>
          <w:sz w:val="22"/>
        </w:rPr>
      </w:pPr>
    </w:p>
    <w:p w:rsidR="00A74028" w:rsidRPr="00E117B6" w:rsidRDefault="00A74028" w:rsidP="00A74028">
      <w:pPr>
        <w:rPr>
          <w:b/>
          <w:color w:val="000000" w:themeColor="text1"/>
          <w:sz w:val="22"/>
        </w:rPr>
      </w:pPr>
      <w:r w:rsidRPr="00E117B6">
        <w:rPr>
          <w:b/>
          <w:color w:val="000000" w:themeColor="text1"/>
          <w:sz w:val="22"/>
        </w:rPr>
        <w:t>8. Criterii de selecție</w:t>
      </w:r>
    </w:p>
    <w:p w:rsidR="00A74028" w:rsidRPr="00E117B6" w:rsidRDefault="00A74028" w:rsidP="00A74028">
      <w:pPr>
        <w:pStyle w:val="ListParagraph"/>
        <w:numPr>
          <w:ilvl w:val="0"/>
          <w:numId w:val="37"/>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caracterul de dificultate, respectiv marginalizare socială al beneficiarilor;</w:t>
      </w:r>
    </w:p>
    <w:p w:rsidR="00A74028" w:rsidRPr="00E117B6" w:rsidRDefault="00A74028" w:rsidP="00A74028">
      <w:pPr>
        <w:pStyle w:val="ListParagraph"/>
        <w:numPr>
          <w:ilvl w:val="0"/>
          <w:numId w:val="37"/>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numărul populației deservite;</w:t>
      </w:r>
    </w:p>
    <w:p w:rsidR="00A74028" w:rsidRPr="00E117B6" w:rsidRDefault="00A74028" w:rsidP="00A74028">
      <w:pPr>
        <w:rPr>
          <w:color w:val="000000" w:themeColor="text1"/>
          <w:sz w:val="22"/>
        </w:rPr>
      </w:pPr>
    </w:p>
    <w:p w:rsidR="00A74028" w:rsidRPr="00E117B6" w:rsidRDefault="00A74028" w:rsidP="00A74028">
      <w:pPr>
        <w:rPr>
          <w:b/>
          <w:color w:val="000000" w:themeColor="text1"/>
          <w:sz w:val="22"/>
        </w:rPr>
      </w:pPr>
      <w:r w:rsidRPr="00E117B6">
        <w:rPr>
          <w:b/>
          <w:color w:val="000000" w:themeColor="text1"/>
          <w:sz w:val="22"/>
        </w:rPr>
        <w:t>9. Sume aplicabile şi rata sprijinului</w:t>
      </w:r>
    </w:p>
    <w:p w:rsidR="00A74028" w:rsidRPr="00E117B6" w:rsidRDefault="00A74028" w:rsidP="00A74028">
      <w:pPr>
        <w:rPr>
          <w:color w:val="000000" w:themeColor="text1"/>
          <w:sz w:val="22"/>
        </w:rPr>
      </w:pPr>
    </w:p>
    <w:p w:rsidR="00A74028" w:rsidRPr="00E117B6" w:rsidRDefault="00A74028" w:rsidP="00A74028">
      <w:pPr>
        <w:rPr>
          <w:color w:val="000000" w:themeColor="text1"/>
          <w:sz w:val="22"/>
        </w:rPr>
      </w:pPr>
      <w:r w:rsidRPr="00E117B6">
        <w:rPr>
          <w:color w:val="000000" w:themeColor="text1"/>
          <w:sz w:val="22"/>
        </w:rPr>
        <w:t>Ponderea maximă a intensității sprijinului public nerambursabil din totalul cheltuielilor eligibile este de până la 100% pentru proiecte înaintate de comune sau organizații non-guvernamentale, iar în cazul beneficiarilor privați intensitatea sprijinului este de 90%. În cazul în care participarea la program este asigurată în mod gratuit, intensitatea sprijinului este de 100% și pentru această categorie.</w:t>
      </w:r>
    </w:p>
    <w:p w:rsidR="00A74028" w:rsidRPr="00E117B6" w:rsidRDefault="00A74028" w:rsidP="00A74028">
      <w:pPr>
        <w:rPr>
          <w:color w:val="000000" w:themeColor="text1"/>
          <w:sz w:val="22"/>
        </w:rPr>
      </w:pPr>
    </w:p>
    <w:p w:rsidR="00A74028" w:rsidRPr="00E117B6" w:rsidRDefault="00A74028" w:rsidP="00A74028">
      <w:pPr>
        <w:pStyle w:val="Default"/>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 xml:space="preserve">10. Indicatori de monitorizare </w:t>
      </w:r>
    </w:p>
    <w:tbl>
      <w:tblPr>
        <w:tblW w:w="9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3471"/>
        <w:gridCol w:w="2879"/>
      </w:tblGrid>
      <w:tr w:rsidR="00A74028" w:rsidRPr="00E117B6" w:rsidTr="00900C65">
        <w:tc>
          <w:tcPr>
            <w:tcW w:w="2660" w:type="dxa"/>
          </w:tcPr>
          <w:p w:rsidR="00A74028" w:rsidRPr="00E117B6" w:rsidRDefault="00A74028" w:rsidP="00900C65">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Domenii de intervenție</w:t>
            </w:r>
          </w:p>
        </w:tc>
        <w:tc>
          <w:tcPr>
            <w:tcW w:w="3471" w:type="dxa"/>
          </w:tcPr>
          <w:p w:rsidR="00A74028" w:rsidRPr="00E117B6" w:rsidRDefault="00A74028" w:rsidP="00900C65">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Indicator de monitorizare</w:t>
            </w:r>
          </w:p>
        </w:tc>
        <w:tc>
          <w:tcPr>
            <w:tcW w:w="2879" w:type="dxa"/>
          </w:tcPr>
          <w:p w:rsidR="00A74028" w:rsidRPr="00E117B6" w:rsidRDefault="00A74028" w:rsidP="00900C65">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Valoare</w:t>
            </w:r>
          </w:p>
        </w:tc>
      </w:tr>
      <w:tr w:rsidR="00A74028" w:rsidRPr="00E117B6" w:rsidTr="00900C65">
        <w:trPr>
          <w:trHeight w:val="598"/>
        </w:trPr>
        <w:tc>
          <w:tcPr>
            <w:tcW w:w="2660" w:type="dxa"/>
          </w:tcPr>
          <w:p w:rsidR="00A74028" w:rsidRPr="00E117B6" w:rsidRDefault="00A74028" w:rsidP="00900C65">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6B</w:t>
            </w:r>
          </w:p>
        </w:tc>
        <w:tc>
          <w:tcPr>
            <w:tcW w:w="3471" w:type="dxa"/>
          </w:tcPr>
          <w:p w:rsidR="00A74028" w:rsidRPr="00E117B6" w:rsidRDefault="00A74028" w:rsidP="00900C65">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Populația netă care beneficiază de servicii/infrastructuri îmbunătățite</w:t>
            </w:r>
          </w:p>
        </w:tc>
        <w:tc>
          <w:tcPr>
            <w:tcW w:w="2879" w:type="dxa"/>
          </w:tcPr>
          <w:p w:rsidR="00A74028" w:rsidRPr="00E117B6" w:rsidRDefault="00A74028" w:rsidP="00900C65">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125</w:t>
            </w:r>
          </w:p>
        </w:tc>
      </w:tr>
      <w:tr w:rsidR="00A74028" w:rsidRPr="00E117B6" w:rsidTr="00900C65">
        <w:tc>
          <w:tcPr>
            <w:tcW w:w="2660" w:type="dxa"/>
          </w:tcPr>
          <w:p w:rsidR="00A74028" w:rsidRPr="00E117B6" w:rsidRDefault="00A74028" w:rsidP="00900C65">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6B</w:t>
            </w:r>
          </w:p>
        </w:tc>
        <w:tc>
          <w:tcPr>
            <w:tcW w:w="3471" w:type="dxa"/>
          </w:tcPr>
          <w:p w:rsidR="00A74028" w:rsidRPr="00E117B6" w:rsidRDefault="00A74028" w:rsidP="00900C65">
            <w:pPr>
              <w:rPr>
                <w:color w:val="000000" w:themeColor="text1"/>
                <w:sz w:val="22"/>
              </w:rPr>
            </w:pPr>
            <w:r w:rsidRPr="00E117B6">
              <w:rPr>
                <w:color w:val="000000" w:themeColor="text1"/>
                <w:sz w:val="22"/>
              </w:rPr>
              <w:t>Număr de locuri de muncă nou create</w:t>
            </w:r>
          </w:p>
        </w:tc>
        <w:tc>
          <w:tcPr>
            <w:tcW w:w="2879" w:type="dxa"/>
          </w:tcPr>
          <w:p w:rsidR="00A74028" w:rsidRPr="00E117B6" w:rsidRDefault="00A74028" w:rsidP="00900C65">
            <w:pPr>
              <w:rPr>
                <w:color w:val="000000" w:themeColor="text1"/>
                <w:sz w:val="22"/>
              </w:rPr>
            </w:pPr>
            <w:r w:rsidRPr="00E117B6">
              <w:rPr>
                <w:color w:val="000000" w:themeColor="text1"/>
                <w:sz w:val="22"/>
              </w:rPr>
              <w:t>1</w:t>
            </w:r>
          </w:p>
        </w:tc>
      </w:tr>
      <w:tr w:rsidR="00A74028" w:rsidRPr="00E117B6" w:rsidTr="00900C65">
        <w:tc>
          <w:tcPr>
            <w:tcW w:w="2660" w:type="dxa"/>
          </w:tcPr>
          <w:p w:rsidR="00A74028" w:rsidRPr="00E117B6" w:rsidRDefault="00A74028" w:rsidP="00900C65">
            <w:pPr>
              <w:rPr>
                <w:color w:val="000000" w:themeColor="text1"/>
                <w:sz w:val="22"/>
              </w:rPr>
            </w:pPr>
            <w:r w:rsidRPr="00E117B6">
              <w:rPr>
                <w:color w:val="000000" w:themeColor="text1"/>
                <w:sz w:val="22"/>
              </w:rPr>
              <w:t>6B</w:t>
            </w:r>
          </w:p>
        </w:tc>
        <w:tc>
          <w:tcPr>
            <w:tcW w:w="3471" w:type="dxa"/>
          </w:tcPr>
          <w:p w:rsidR="00A74028" w:rsidRPr="00E117B6" w:rsidRDefault="00A74028" w:rsidP="00900C65">
            <w:pPr>
              <w:rPr>
                <w:color w:val="000000" w:themeColor="text1"/>
                <w:sz w:val="22"/>
              </w:rPr>
            </w:pPr>
            <w:r w:rsidRPr="00E117B6">
              <w:rPr>
                <w:color w:val="000000" w:themeColor="text1"/>
                <w:sz w:val="22"/>
              </w:rPr>
              <w:t xml:space="preserve">Cheltuieli publice totale </w:t>
            </w:r>
          </w:p>
        </w:tc>
        <w:tc>
          <w:tcPr>
            <w:tcW w:w="2879" w:type="dxa"/>
          </w:tcPr>
          <w:p w:rsidR="00A74028" w:rsidRPr="00E117B6" w:rsidRDefault="00A74028" w:rsidP="00900C65">
            <w:pPr>
              <w:rPr>
                <w:color w:val="000000" w:themeColor="text1"/>
                <w:sz w:val="22"/>
              </w:rPr>
            </w:pPr>
            <w:r w:rsidRPr="00E117B6">
              <w:rPr>
                <w:color w:val="000000" w:themeColor="text1"/>
                <w:sz w:val="22"/>
              </w:rPr>
              <w:t>50.000 Euro</w:t>
            </w:r>
          </w:p>
        </w:tc>
      </w:tr>
    </w:tbl>
    <w:p w:rsidR="00A74028" w:rsidRPr="00E117B6" w:rsidRDefault="00A74028" w:rsidP="00A74028">
      <w:pPr>
        <w:pStyle w:val="Default"/>
        <w:jc w:val="both"/>
        <w:rPr>
          <w:rFonts w:ascii="Trebuchet MS" w:hAnsi="Trebuchet MS"/>
          <w:color w:val="000000" w:themeColor="text1"/>
          <w:sz w:val="22"/>
          <w:szCs w:val="22"/>
          <w:lang w:val="ro-RO"/>
        </w:rPr>
      </w:pPr>
    </w:p>
    <w:p w:rsidR="00A74028" w:rsidRPr="00E117B6" w:rsidRDefault="00A74028" w:rsidP="00A74028">
      <w:pPr>
        <w:tabs>
          <w:tab w:val="left" w:pos="7380"/>
        </w:tabs>
        <w:rPr>
          <w:b/>
          <w:color w:val="000000" w:themeColor="text1"/>
          <w:sz w:val="22"/>
        </w:rPr>
      </w:pPr>
      <w:r w:rsidRPr="00E117B6">
        <w:rPr>
          <w:b/>
          <w:color w:val="000000" w:themeColor="text1"/>
          <w:sz w:val="22"/>
        </w:rPr>
        <w:t xml:space="preserve">Caracterul inovativ al măsurii </w:t>
      </w:r>
      <w:r w:rsidRPr="00E117B6">
        <w:rPr>
          <w:color w:val="000000" w:themeColor="text1"/>
          <w:sz w:val="22"/>
        </w:rPr>
        <w:t>derivă din următoarele:</w:t>
      </w:r>
    </w:p>
    <w:p w:rsidR="00A74028" w:rsidRPr="00E117B6" w:rsidRDefault="00A74028" w:rsidP="00A74028">
      <w:pPr>
        <w:rPr>
          <w:color w:val="000000" w:themeColor="text1"/>
          <w:sz w:val="22"/>
        </w:rPr>
      </w:pPr>
    </w:p>
    <w:p w:rsidR="00A74028" w:rsidRPr="00E117B6" w:rsidRDefault="00A74028" w:rsidP="00A74028">
      <w:pPr>
        <w:rPr>
          <w:color w:val="000000" w:themeColor="text1"/>
          <w:sz w:val="22"/>
        </w:rPr>
      </w:pPr>
      <w:r w:rsidRPr="00E117B6">
        <w:rPr>
          <w:color w:val="000000" w:themeColor="text1"/>
          <w:sz w:val="22"/>
        </w:rPr>
        <w:t>Asigurarea condițiilor favorabile pentru incluziunea socială a copiilor din grupurile marginalizate din mediul rural, cu accent deosebit pe caracterul etnic și în special din etnia romă.</w:t>
      </w:r>
    </w:p>
    <w:p w:rsidR="00A74028" w:rsidRPr="00E117B6" w:rsidRDefault="00A74028" w:rsidP="00A74028">
      <w:pPr>
        <w:rPr>
          <w:color w:val="000000" w:themeColor="text1"/>
          <w:sz w:val="22"/>
        </w:rPr>
      </w:pPr>
    </w:p>
    <w:p w:rsidR="00A74028" w:rsidRPr="00E117B6" w:rsidRDefault="00A74028" w:rsidP="00A74028">
      <w:pPr>
        <w:rPr>
          <w:b/>
          <w:color w:val="000000" w:themeColor="text1"/>
          <w:sz w:val="22"/>
        </w:rPr>
      </w:pPr>
      <w:r w:rsidRPr="00E117B6">
        <w:rPr>
          <w:b/>
          <w:color w:val="000000" w:themeColor="text1"/>
          <w:sz w:val="22"/>
        </w:rPr>
        <w:br w:type="page"/>
      </w:r>
    </w:p>
    <w:p w:rsidR="00A74028" w:rsidRDefault="00A74028">
      <w:pPr>
        <w:spacing w:after="7"/>
        <w:ind w:left="-5"/>
        <w:jc w:val="left"/>
        <w:rPr>
          <w:b/>
          <w:sz w:val="22"/>
        </w:rPr>
      </w:pPr>
    </w:p>
    <w:sectPr w:rsidR="00A74028" w:rsidSect="009B5574">
      <w:headerReference w:type="even" r:id="rId8"/>
      <w:headerReference w:type="default" r:id="rId9"/>
      <w:footerReference w:type="even" r:id="rId10"/>
      <w:footerReference w:type="default" r:id="rId11"/>
      <w:headerReference w:type="first" r:id="rId12"/>
      <w:footerReference w:type="first" r:id="rId13"/>
      <w:pgSz w:w="11904" w:h="16836"/>
      <w:pgMar w:top="1417" w:right="1417" w:bottom="1417" w:left="1417" w:header="227" w:footer="0" w:gutter="0"/>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07B" w:rsidRDefault="007C407B">
      <w:pPr>
        <w:spacing w:after="0" w:line="240" w:lineRule="auto"/>
      </w:pPr>
      <w:r>
        <w:separator/>
      </w:r>
    </w:p>
  </w:endnote>
  <w:endnote w:type="continuationSeparator" w:id="0">
    <w:p w:rsidR="007C407B" w:rsidRDefault="007C4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rebuchet MS">
    <w:panose1 w:val="020B0603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0" w:line="242" w:lineRule="auto"/>
      <w:ind w:left="1452" w:right="884" w:firstLine="334"/>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582295</wp:posOffset>
              </wp:positionH>
              <wp:positionV relativeFrom="page">
                <wp:posOffset>9225649</wp:posOffset>
              </wp:positionV>
              <wp:extent cx="581660" cy="569595"/>
              <wp:effectExtent l="0" t="0" r="0" b="0"/>
              <wp:wrapSquare wrapText="bothSides"/>
              <wp:docPr id="7549" name="Group 7549"/>
              <wp:cNvGraphicFramePr/>
              <a:graphic xmlns:a="http://schemas.openxmlformats.org/drawingml/2006/main">
                <a:graphicData uri="http://schemas.microsoft.com/office/word/2010/wordprocessingGroup">
                  <wpg:wgp>
                    <wpg:cNvGrpSpPr/>
                    <wpg:grpSpPr>
                      <a:xfrm>
                        <a:off x="0" y="0"/>
                        <a:ext cx="581660" cy="569595"/>
                        <a:chOff x="0" y="0"/>
                        <a:chExt cx="581660" cy="569595"/>
                      </a:xfrm>
                    </wpg:grpSpPr>
                    <wps:wsp>
                      <wps:cNvPr id="7551" name="Rectangle 7551"/>
                      <wps:cNvSpPr/>
                      <wps:spPr>
                        <a:xfrm>
                          <a:off x="146482" y="474880"/>
                          <a:ext cx="4508" cy="16199"/>
                        </a:xfrm>
                        <a:prstGeom prst="rect">
                          <a:avLst/>
                        </a:prstGeom>
                        <a:ln>
                          <a:noFill/>
                        </a:ln>
                      </wps:spPr>
                      <wps:txbx>
                        <w:txbxContent>
                          <w:p w:rsidR="00222DA6" w:rsidRDefault="00E3523B">
                            <w:pPr>
                              <w:spacing w:after="160" w:line="259" w:lineRule="auto"/>
                              <w:ind w:left="0" w:firstLine="0"/>
                              <w:jc w:val="left"/>
                            </w:pPr>
                            <w:r>
                              <w:rPr>
                                <w:rFonts w:ascii="Arial" w:eastAsia="Arial" w:hAnsi="Arial" w:cs="Arial"/>
                                <w:sz w:val="2"/>
                              </w:rPr>
                              <w:t xml:space="preserve"> </w:t>
                            </w:r>
                          </w:p>
                        </w:txbxContent>
                      </wps:txbx>
                      <wps:bodyPr horzOverflow="overflow" vert="horz" lIns="0" tIns="0" rIns="0" bIns="0" rtlCol="0">
                        <a:noAutofit/>
                      </wps:bodyPr>
                    </wps:wsp>
                    <pic:pic xmlns:pic="http://schemas.openxmlformats.org/drawingml/2006/picture">
                      <pic:nvPicPr>
                        <pic:cNvPr id="7550" name="Picture 7550"/>
                        <pic:cNvPicPr/>
                      </pic:nvPicPr>
                      <pic:blipFill>
                        <a:blip r:embed="rId1"/>
                        <a:stretch>
                          <a:fillRect/>
                        </a:stretch>
                      </pic:blipFill>
                      <pic:spPr>
                        <a:xfrm>
                          <a:off x="0" y="0"/>
                          <a:ext cx="581660" cy="569595"/>
                        </a:xfrm>
                        <a:prstGeom prst="rect">
                          <a:avLst/>
                        </a:prstGeom>
                      </pic:spPr>
                    </pic:pic>
                  </wpg:wgp>
                </a:graphicData>
              </a:graphic>
            </wp:anchor>
          </w:drawing>
        </mc:Choice>
        <mc:Fallback>
          <w:pict>
            <v:group id="Group 7549" o:spid="_x0000_s1026" style="position:absolute;left:0;text-align:left;margin-left:45.85pt;margin-top:726.45pt;width:45.8pt;height:44.85pt;z-index:251670528;mso-position-horizontal-relative:page;mso-position-vertical-relative:page" coordsize="5816,569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">
              <v:rect id="Rectangle 7551" o:spid="_x0000_s1027" style="position:absolute;left:1464;top:4748;width:45;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" filled="f" stroked="f">
                <v:textbox inset="0,0,0,0">
                  <w:txbxContent>
                    <w:p w:rsidR="00222DA6" w:rsidRDefault="00E3523B">
                      <w:pPr>
                        <w:spacing w:after="160" w:line="259" w:lineRule="auto"/>
                        <w:ind w:left="0" w:firstLine="0"/>
                        <w:jc w:val="left"/>
                      </w:pPr>
                      <w:r>
                        <w:rPr>
                          <w:rFonts w:ascii="Arial" w:eastAsia="Arial" w:hAnsi="Arial" w:cs="Arial"/>
                          <w:sz w:val="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50" o:spid="_x0000_s1028" type="#_x0000_t75" style="position:absolute;width:5816;height:5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">
                <v:imagedata r:id="rId2" o:title=""/>
              </v:shape>
              <w10:wrap type="square" anchorx="page" anchory="page"/>
            </v:group>
          </w:pict>
        </mc:Fallback>
      </mc:AlternateContent>
    </w:r>
    <w:r>
      <w:rPr>
        <w:rFonts w:ascii="Verdana" w:eastAsia="Verdana" w:hAnsi="Verdana" w:cs="Verdana"/>
        <w:sz w:val="20"/>
      </w:rPr>
      <w:t xml:space="preserve">Asociaţia Intercomunitară </w:t>
    </w:r>
    <w:r>
      <w:rPr>
        <w:rFonts w:ascii="Verdana" w:eastAsia="Verdana" w:hAnsi="Verdana" w:cs="Verdana"/>
        <w:b/>
        <w:sz w:val="20"/>
      </w:rPr>
      <w:t>Ţara Zarandului</w:t>
    </w:r>
    <w:r>
      <w:rPr>
        <w:rFonts w:ascii="Verdana" w:eastAsia="Verdana" w:hAnsi="Verdana" w:cs="Verdana"/>
        <w:sz w:val="20"/>
      </w:rPr>
      <w:t xml:space="preserve"> </w:t>
    </w:r>
    <w:r>
      <w:rPr>
        <w:rFonts w:ascii="Verdana" w:eastAsia="Verdana" w:hAnsi="Verdana" w:cs="Verdana"/>
        <w:b/>
        <w:sz w:val="20"/>
      </w:rPr>
      <w:t>LEADER GAL</w:t>
    </w:r>
    <w:r>
      <w:rPr>
        <w:rFonts w:ascii="Verdana" w:eastAsia="Verdana" w:hAnsi="Verdana" w:cs="Verdana"/>
        <w:sz w:val="20"/>
      </w:rPr>
      <w:t xml:space="preserve"> CIF 28212496, Crişcior, Calea Zarandului, nr. 36, tel/fax. 0254 616 917 </w:t>
    </w:r>
  </w:p>
  <w:p w:rsidR="00222DA6" w:rsidRDefault="00E3523B">
    <w:pPr>
      <w:spacing w:after="163" w:line="216" w:lineRule="auto"/>
      <w:ind w:left="1783" w:right="-58" w:firstLine="7752"/>
      <w:jc w:val="left"/>
    </w:pPr>
    <w:r>
      <w:fldChar w:fldCharType="begin"/>
    </w:r>
    <w:r>
      <w:instrText xml:space="preserve"> PAGE   \* MERGEFORMAT </w:instrText>
    </w:r>
    <w:r>
      <w:fldChar w:fldCharType="separate"/>
    </w:r>
    <w:r>
      <w:rPr>
        <w:rFonts w:ascii="Arial" w:eastAsia="Arial" w:hAnsi="Arial" w:cs="Arial"/>
        <w:sz w:val="23"/>
      </w:rPr>
      <w:t>2</w:t>
    </w:r>
    <w:r>
      <w:rPr>
        <w:rFonts w:ascii="Arial" w:eastAsia="Arial" w:hAnsi="Arial" w:cs="Arial"/>
        <w:sz w:val="23"/>
      </w:rPr>
      <w:fldChar w:fldCharType="end"/>
    </w:r>
    <w:r>
      <w:rPr>
        <w:rFonts w:ascii="Times New Roman" w:eastAsia="Times New Roman" w:hAnsi="Times New Roman" w:cs="Times New Roman"/>
        <w:sz w:val="20"/>
      </w:rPr>
      <w:t xml:space="preserve"> </w:t>
    </w:r>
    <w:r>
      <w:rPr>
        <w:rFonts w:ascii="Verdana" w:eastAsia="Verdana" w:hAnsi="Verdana" w:cs="Verdana"/>
        <w:sz w:val="20"/>
      </w:rPr>
      <w:t xml:space="preserve">www.tara-zarandului.ro, e-mail: </w:t>
    </w:r>
    <w:r>
      <w:rPr>
        <w:rFonts w:ascii="Verdana" w:eastAsia="Verdana" w:hAnsi="Verdana" w:cs="Verdana"/>
        <w:color w:val="0066CC"/>
        <w:sz w:val="20"/>
        <w:u w:val="single" w:color="0066CC"/>
      </w:rPr>
      <w:t>office@tara-zarandului.ro</w:t>
    </w:r>
    <w:r>
      <w:rPr>
        <w:rFonts w:ascii="Verdana" w:eastAsia="Verdana" w:hAnsi="Verdana" w:cs="Verdana"/>
        <w:sz w:val="20"/>
      </w:rPr>
      <w:t xml:space="preserve"> </w:t>
    </w: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222DA6" w:rsidP="009B5574">
    <w:pPr>
      <w:spacing w:after="0" w:line="242" w:lineRule="auto"/>
      <w:ind w:left="0" w:right="850" w:firstLine="0"/>
      <w:jc w:val="left"/>
    </w:pP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62E" w:rsidRPr="0061743A" w:rsidRDefault="0003262E" w:rsidP="00CC022B">
    <w:pPr>
      <w:spacing w:after="0" w:line="200" w:lineRule="atLeast"/>
      <w:ind w:left="0" w:firstLine="0"/>
      <w:rPr>
        <w:rFonts w:eastAsia="Times New Roman"/>
        <w:b/>
        <w:noProof/>
        <w:sz w:val="20"/>
        <w:szCs w:val="20"/>
      </w:rPr>
    </w:pPr>
    <w:r w:rsidRPr="0061743A">
      <w:rPr>
        <w:rFonts w:eastAsia="Times New Roman"/>
        <w:b/>
        <w:noProof/>
        <w:sz w:val="20"/>
        <w:szCs w:val="20"/>
      </w:rPr>
      <w:t>ASOCIATIA GRUPUL DE ACTIUNE LOCALA”DEPRESIUNEA SEBIS-GURAHONT-HALMAGIU”</w:t>
    </w:r>
  </w:p>
  <w:p w:rsidR="0003262E" w:rsidRPr="0061743A" w:rsidRDefault="008D63EA" w:rsidP="008D63EA">
    <w:pPr>
      <w:spacing w:after="0" w:line="200" w:lineRule="atLeast"/>
      <w:ind w:left="0" w:firstLine="0"/>
      <w:rPr>
        <w:rFonts w:eastAsia="Times New Roman"/>
        <w:b/>
        <w:noProof/>
        <w:sz w:val="20"/>
        <w:szCs w:val="20"/>
      </w:rPr>
    </w:pPr>
    <w:r>
      <w:rPr>
        <w:rFonts w:eastAsia="Times New Roman"/>
        <w:b/>
        <w:noProof/>
        <w:sz w:val="20"/>
        <w:szCs w:val="20"/>
      </w:rPr>
      <w:t xml:space="preserve">    </w:t>
    </w:r>
    <w:r w:rsidR="0003262E" w:rsidRPr="0061743A">
      <w:rPr>
        <w:rFonts w:eastAsia="Times New Roman"/>
        <w:b/>
        <w:noProof/>
        <w:sz w:val="20"/>
        <w:szCs w:val="20"/>
      </w:rPr>
      <w:t xml:space="preserve">Oras SEBIS,str.ROMANA nr.4/a,jud.ARAD;Cod postal:315700;C.I.F.:36757303 </w:t>
    </w:r>
  </w:p>
  <w:p w:rsidR="0003262E" w:rsidRPr="00341772" w:rsidRDefault="008D63EA" w:rsidP="00341772">
    <w:pPr>
      <w:spacing w:after="0" w:line="200" w:lineRule="atLeast"/>
      <w:ind w:left="114"/>
      <w:rPr>
        <w:rFonts w:eastAsia="Times New Roman"/>
        <w:b/>
        <w:noProof/>
        <w:sz w:val="20"/>
        <w:szCs w:val="20"/>
      </w:rPr>
    </w:pPr>
    <w:r>
      <w:rPr>
        <w:rFonts w:eastAsia="Times New Roman"/>
        <w:b/>
        <w:noProof/>
        <w:sz w:val="20"/>
        <w:szCs w:val="20"/>
      </w:rPr>
      <w:t xml:space="preserve">   </w:t>
    </w:r>
    <w:r w:rsidR="00341772">
      <w:rPr>
        <w:rFonts w:eastAsia="Times New Roman"/>
        <w:b/>
        <w:noProof/>
        <w:sz w:val="20"/>
        <w:szCs w:val="20"/>
      </w:rPr>
      <w:t xml:space="preserve"> tel/fax:0357-410197;web:www.gal-dsgh.ro;</w:t>
    </w:r>
    <w:r w:rsidR="00341772" w:rsidRPr="00341772">
      <w:rPr>
        <w:rFonts w:eastAsia="Times New Roman"/>
        <w:b/>
        <w:noProof/>
        <w:color w:val="44546A" w:themeColor="text2"/>
        <w:sz w:val="20"/>
        <w:szCs w:val="20"/>
      </w:rPr>
      <w:t>e-mail:office@gal-dsgh.ro</w:t>
    </w:r>
    <w:r w:rsidR="00341772">
      <w:rPr>
        <w:rFonts w:eastAsia="Times New Roman"/>
        <w:b/>
        <w:noProof/>
        <w:sz w:val="20"/>
        <w:szCs w:val="20"/>
      </w:rPr>
      <w:t xml:space="preserve">                      </w:t>
    </w:r>
  </w:p>
  <w:p w:rsidR="00222DA6" w:rsidRDefault="00222DA6" w:rsidP="009B5574">
    <w:pPr>
      <w:spacing w:after="12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07B" w:rsidRDefault="007C407B">
      <w:pPr>
        <w:spacing w:after="0" w:line="240" w:lineRule="auto"/>
      </w:pPr>
      <w:r>
        <w:separator/>
      </w:r>
    </w:p>
  </w:footnote>
  <w:footnote w:type="continuationSeparator" w:id="0">
    <w:p w:rsidR="007C407B" w:rsidRDefault="007C4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7" w:line="259" w:lineRule="auto"/>
      <w:ind w:left="-1" w:right="-64" w:firstLine="0"/>
      <w:jc w:val="right"/>
    </w:pPr>
    <w:r>
      <w:rPr>
        <w:noProof/>
      </w:rPr>
      <w:drawing>
        <wp:anchor distT="0" distB="0" distL="114300" distR="114300" simplePos="0" relativeHeight="251658240" behindDoc="0" locked="0" layoutInCell="1" allowOverlap="0">
          <wp:simplePos x="0" y="0"/>
          <wp:positionH relativeFrom="page">
            <wp:posOffset>2031365</wp:posOffset>
          </wp:positionH>
          <wp:positionV relativeFrom="page">
            <wp:posOffset>199390</wp:posOffset>
          </wp:positionV>
          <wp:extent cx="2038350" cy="6667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8350" cy="66675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728345</wp:posOffset>
          </wp:positionH>
          <wp:positionV relativeFrom="page">
            <wp:posOffset>179705</wp:posOffset>
          </wp:positionV>
          <wp:extent cx="929856" cy="755015"/>
          <wp:effectExtent l="0" t="0" r="0" b="0"/>
          <wp:wrapSquare wrapText="bothSides"/>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
                  <a:stretch>
                    <a:fillRect/>
                  </a:stretch>
                </pic:blipFill>
                <pic:spPr>
                  <a:xfrm>
                    <a:off x="0" y="0"/>
                    <a:ext cx="929856" cy="755015"/>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page">
            <wp:posOffset>4448937</wp:posOffset>
          </wp:positionH>
          <wp:positionV relativeFrom="page">
            <wp:posOffset>179667</wp:posOffset>
          </wp:positionV>
          <wp:extent cx="943610" cy="753656"/>
          <wp:effectExtent l="0" t="0" r="0" b="0"/>
          <wp:wrapSquare wrapText="bothSides"/>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
                  <a:stretch>
                    <a:fillRect/>
                  </a:stretch>
                </pic:blipFill>
                <pic:spPr>
                  <a:xfrm>
                    <a:off x="0" y="0"/>
                    <a:ext cx="943610" cy="753656"/>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6119495</wp:posOffset>
          </wp:positionH>
          <wp:positionV relativeFrom="page">
            <wp:posOffset>255956</wp:posOffset>
          </wp:positionV>
          <wp:extent cx="704850" cy="680542"/>
          <wp:effectExtent l="0" t="0" r="0" b="0"/>
          <wp:wrapSquare wrapText="bothSides"/>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704850" cy="680542"/>
                  </a:xfrm>
                  <a:prstGeom prst="rect">
                    <a:avLst/>
                  </a:prstGeom>
                </pic:spPr>
              </pic:pic>
            </a:graphicData>
          </a:graphic>
        </wp:anchor>
      </w:drawing>
    </w: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7" w:line="259" w:lineRule="auto"/>
      <w:ind w:left="-1" w:right="-64" w:firstLine="0"/>
      <w:jc w:val="right"/>
    </w:pPr>
    <w:r>
      <w:rPr>
        <w:noProof/>
      </w:rPr>
      <w:drawing>
        <wp:anchor distT="0" distB="0" distL="114300" distR="114300" simplePos="0" relativeHeight="251662336" behindDoc="0" locked="0" layoutInCell="1" allowOverlap="0">
          <wp:simplePos x="0" y="0"/>
          <wp:positionH relativeFrom="page">
            <wp:posOffset>2031365</wp:posOffset>
          </wp:positionH>
          <wp:positionV relativeFrom="page">
            <wp:posOffset>199390</wp:posOffset>
          </wp:positionV>
          <wp:extent cx="2038350" cy="666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8350" cy="66675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728345</wp:posOffset>
          </wp:positionH>
          <wp:positionV relativeFrom="page">
            <wp:posOffset>179705</wp:posOffset>
          </wp:positionV>
          <wp:extent cx="929856" cy="75501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
                  <a:stretch>
                    <a:fillRect/>
                  </a:stretch>
                </pic:blipFill>
                <pic:spPr>
                  <a:xfrm>
                    <a:off x="0" y="0"/>
                    <a:ext cx="929856" cy="755015"/>
                  </a:xfrm>
                  <a:prstGeom prst="rect">
                    <a:avLst/>
                  </a:prstGeom>
                </pic:spPr>
              </pic:pic>
            </a:graphicData>
          </a:graphic>
        </wp:anchor>
      </w:drawing>
    </w:r>
    <w:r>
      <w:rPr>
        <w:noProof/>
      </w:rPr>
      <w:drawing>
        <wp:anchor distT="0" distB="0" distL="114300" distR="114300" simplePos="0" relativeHeight="251664384" behindDoc="0" locked="0" layoutInCell="1" allowOverlap="0">
          <wp:simplePos x="0" y="0"/>
          <wp:positionH relativeFrom="page">
            <wp:posOffset>4448937</wp:posOffset>
          </wp:positionH>
          <wp:positionV relativeFrom="page">
            <wp:posOffset>179667</wp:posOffset>
          </wp:positionV>
          <wp:extent cx="943610" cy="753656"/>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
                  <a:stretch>
                    <a:fillRect/>
                  </a:stretch>
                </pic:blipFill>
                <pic:spPr>
                  <a:xfrm>
                    <a:off x="0" y="0"/>
                    <a:ext cx="943610" cy="753656"/>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6119495</wp:posOffset>
          </wp:positionH>
          <wp:positionV relativeFrom="page">
            <wp:posOffset>255956</wp:posOffset>
          </wp:positionV>
          <wp:extent cx="704850" cy="680542"/>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704850" cy="680542"/>
                  </a:xfrm>
                  <a:prstGeom prst="rect">
                    <a:avLst/>
                  </a:prstGeom>
                </pic:spPr>
              </pic:pic>
            </a:graphicData>
          </a:graphic>
        </wp:anchor>
      </w:drawing>
    </w: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7" w:line="259" w:lineRule="auto"/>
      <w:ind w:left="-1" w:right="-64" w:firstLine="0"/>
      <w:jc w:val="right"/>
    </w:pPr>
    <w:r>
      <w:rPr>
        <w:noProof/>
      </w:rPr>
      <w:drawing>
        <wp:anchor distT="0" distB="0" distL="114300" distR="114300" simplePos="0" relativeHeight="251666432" behindDoc="0" locked="0" layoutInCell="1" allowOverlap="0">
          <wp:simplePos x="0" y="0"/>
          <wp:positionH relativeFrom="page">
            <wp:posOffset>2031365</wp:posOffset>
          </wp:positionH>
          <wp:positionV relativeFrom="page">
            <wp:posOffset>199390</wp:posOffset>
          </wp:positionV>
          <wp:extent cx="2038350" cy="66675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8350" cy="666750"/>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page">
            <wp:posOffset>728345</wp:posOffset>
          </wp:positionH>
          <wp:positionV relativeFrom="page">
            <wp:posOffset>179705</wp:posOffset>
          </wp:positionV>
          <wp:extent cx="929856" cy="755015"/>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
                  <a:stretch>
                    <a:fillRect/>
                  </a:stretch>
                </pic:blipFill>
                <pic:spPr>
                  <a:xfrm>
                    <a:off x="0" y="0"/>
                    <a:ext cx="929856" cy="755015"/>
                  </a:xfrm>
                  <a:prstGeom prst="rect">
                    <a:avLst/>
                  </a:prstGeom>
                </pic:spPr>
              </pic:pic>
            </a:graphicData>
          </a:graphic>
        </wp:anchor>
      </w:drawing>
    </w:r>
    <w:r>
      <w:rPr>
        <w:noProof/>
      </w:rPr>
      <w:drawing>
        <wp:anchor distT="0" distB="0" distL="114300" distR="114300" simplePos="0" relativeHeight="251668480" behindDoc="0" locked="0" layoutInCell="1" allowOverlap="0">
          <wp:simplePos x="0" y="0"/>
          <wp:positionH relativeFrom="page">
            <wp:posOffset>4448937</wp:posOffset>
          </wp:positionH>
          <wp:positionV relativeFrom="page">
            <wp:posOffset>179667</wp:posOffset>
          </wp:positionV>
          <wp:extent cx="943610" cy="753656"/>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
                  <a:stretch>
                    <a:fillRect/>
                  </a:stretch>
                </pic:blipFill>
                <pic:spPr>
                  <a:xfrm>
                    <a:off x="0" y="0"/>
                    <a:ext cx="943610" cy="753656"/>
                  </a:xfrm>
                  <a:prstGeom prst="rect">
                    <a:avLst/>
                  </a:prstGeom>
                </pic:spPr>
              </pic:pic>
            </a:graphicData>
          </a:graphic>
        </wp:anchor>
      </w:drawing>
    </w:r>
    <w:r>
      <w:rPr>
        <w:noProof/>
      </w:rPr>
      <w:drawing>
        <wp:anchor distT="0" distB="0" distL="114300" distR="114300" simplePos="0" relativeHeight="251669504" behindDoc="0" locked="0" layoutInCell="1" allowOverlap="0">
          <wp:simplePos x="0" y="0"/>
          <wp:positionH relativeFrom="page">
            <wp:posOffset>6119495</wp:posOffset>
          </wp:positionH>
          <wp:positionV relativeFrom="page">
            <wp:posOffset>255956</wp:posOffset>
          </wp:positionV>
          <wp:extent cx="704850" cy="680542"/>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704850" cy="680542"/>
                  </a:xfrm>
                  <a:prstGeom prst="rect">
                    <a:avLst/>
                  </a:prstGeom>
                </pic:spPr>
              </pic:pic>
            </a:graphicData>
          </a:graphic>
        </wp:anchor>
      </w:drawing>
    </w: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45"/>
    <w:multiLevelType w:val="hybridMultilevel"/>
    <w:tmpl w:val="AC6A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A1F07"/>
    <w:multiLevelType w:val="hybridMultilevel"/>
    <w:tmpl w:val="151AC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C3FCE"/>
    <w:multiLevelType w:val="hybridMultilevel"/>
    <w:tmpl w:val="F134F630"/>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 w15:restartNumberingAfterBreak="0">
    <w:nsid w:val="07C66A56"/>
    <w:multiLevelType w:val="hybridMultilevel"/>
    <w:tmpl w:val="6E621A00"/>
    <w:lvl w:ilvl="0" w:tplc="F0D608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C279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BA9D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04D9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141E1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A49F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0AC8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E40EC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6040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630113"/>
    <w:multiLevelType w:val="hybridMultilevel"/>
    <w:tmpl w:val="A5064D64"/>
    <w:lvl w:ilvl="0" w:tplc="78082A9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FA93CC">
      <w:start w:val="1"/>
      <w:numFmt w:val="bullet"/>
      <w:lvlText w:val="o"/>
      <w:lvlJc w:val="left"/>
      <w:pPr>
        <w:ind w:left="1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14A256">
      <w:start w:val="1"/>
      <w:numFmt w:val="bullet"/>
      <w:lvlText w:val="▪"/>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880910">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1CD44C">
      <w:start w:val="1"/>
      <w:numFmt w:val="bullet"/>
      <w:lvlText w:val="o"/>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1432FE">
      <w:start w:val="1"/>
      <w:numFmt w:val="bullet"/>
      <w:lvlText w:val="▪"/>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4450E2">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1E3278">
      <w:start w:val="1"/>
      <w:numFmt w:val="bullet"/>
      <w:lvlText w:val="o"/>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A4C51E">
      <w:start w:val="1"/>
      <w:numFmt w:val="bullet"/>
      <w:lvlText w:val="▪"/>
      <w:lvlJc w:val="left"/>
      <w:pPr>
        <w:ind w:left="6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20924BB"/>
    <w:multiLevelType w:val="hybridMultilevel"/>
    <w:tmpl w:val="33F6E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333260"/>
    <w:multiLevelType w:val="hybridMultilevel"/>
    <w:tmpl w:val="8052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62A85"/>
    <w:multiLevelType w:val="hybridMultilevel"/>
    <w:tmpl w:val="C0D40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1142F"/>
    <w:multiLevelType w:val="hybridMultilevel"/>
    <w:tmpl w:val="27CA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B42CF"/>
    <w:multiLevelType w:val="hybridMultilevel"/>
    <w:tmpl w:val="4B7E97E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02766D"/>
    <w:multiLevelType w:val="hybridMultilevel"/>
    <w:tmpl w:val="2C7ABAAA"/>
    <w:lvl w:ilvl="0" w:tplc="9FF2943A">
      <w:start w:val="1"/>
      <w:numFmt w:val="bullet"/>
      <w:lvlText w:val="-"/>
      <w:lvlJc w:val="left"/>
      <w:pPr>
        <w:ind w:left="586"/>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DA4C4016">
      <w:start w:val="1"/>
      <w:numFmt w:val="bullet"/>
      <w:lvlText w:val="o"/>
      <w:lvlJc w:val="left"/>
      <w:pPr>
        <w:ind w:left="15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F53204D8">
      <w:start w:val="1"/>
      <w:numFmt w:val="bullet"/>
      <w:lvlText w:val="▪"/>
      <w:lvlJc w:val="left"/>
      <w:pPr>
        <w:ind w:left="222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35A0A9BA">
      <w:start w:val="1"/>
      <w:numFmt w:val="bullet"/>
      <w:lvlText w:val="•"/>
      <w:lvlJc w:val="left"/>
      <w:pPr>
        <w:ind w:left="294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EFCCFE88">
      <w:start w:val="1"/>
      <w:numFmt w:val="bullet"/>
      <w:lvlText w:val="o"/>
      <w:lvlJc w:val="left"/>
      <w:pPr>
        <w:ind w:left="366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5AB07F2C">
      <w:start w:val="1"/>
      <w:numFmt w:val="bullet"/>
      <w:lvlText w:val="▪"/>
      <w:lvlJc w:val="left"/>
      <w:pPr>
        <w:ind w:left="438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2A9E4988">
      <w:start w:val="1"/>
      <w:numFmt w:val="bullet"/>
      <w:lvlText w:val="•"/>
      <w:lvlJc w:val="left"/>
      <w:pPr>
        <w:ind w:left="51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520A9BFA">
      <w:start w:val="1"/>
      <w:numFmt w:val="bullet"/>
      <w:lvlText w:val="o"/>
      <w:lvlJc w:val="left"/>
      <w:pPr>
        <w:ind w:left="582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6226C25A">
      <w:start w:val="1"/>
      <w:numFmt w:val="bullet"/>
      <w:lvlText w:val="▪"/>
      <w:lvlJc w:val="left"/>
      <w:pPr>
        <w:ind w:left="654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B8C4763"/>
    <w:multiLevelType w:val="hybridMultilevel"/>
    <w:tmpl w:val="B532C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6F45F1"/>
    <w:multiLevelType w:val="hybridMultilevel"/>
    <w:tmpl w:val="35D0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77043C"/>
    <w:multiLevelType w:val="hybridMultilevel"/>
    <w:tmpl w:val="C074B632"/>
    <w:lvl w:ilvl="0" w:tplc="26D04DC4">
      <w:start w:val="5"/>
      <w:numFmt w:val="bullet"/>
      <w:lvlText w:val="-"/>
      <w:lvlJc w:val="left"/>
      <w:pPr>
        <w:ind w:left="720" w:hanging="360"/>
      </w:pPr>
      <w:rPr>
        <w:rFonts w:ascii="Trebuchet MS" w:eastAsia="Times New Roman" w:hAnsi="Trebuchet M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31E154F0"/>
    <w:multiLevelType w:val="hybridMultilevel"/>
    <w:tmpl w:val="16448DE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36911440"/>
    <w:multiLevelType w:val="hybridMultilevel"/>
    <w:tmpl w:val="2388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48653B"/>
    <w:multiLevelType w:val="hybridMultilevel"/>
    <w:tmpl w:val="9D0C3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CB330E"/>
    <w:multiLevelType w:val="hybridMultilevel"/>
    <w:tmpl w:val="1E4A6770"/>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314331"/>
    <w:multiLevelType w:val="hybridMultilevel"/>
    <w:tmpl w:val="D3C4C5A4"/>
    <w:lvl w:ilvl="0" w:tplc="9CCA7296">
      <w:start w:val="1"/>
      <w:numFmt w:val="bullet"/>
      <w:lvlText w:val="-"/>
      <w:lvlJc w:val="left"/>
      <w:pPr>
        <w:ind w:left="7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580A0316">
      <w:start w:val="1"/>
      <w:numFmt w:val="bullet"/>
      <w:lvlText w:val="o"/>
      <w:lvlJc w:val="left"/>
      <w:pPr>
        <w:ind w:left="14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D1D45854">
      <w:start w:val="1"/>
      <w:numFmt w:val="bullet"/>
      <w:lvlText w:val="▪"/>
      <w:lvlJc w:val="left"/>
      <w:pPr>
        <w:ind w:left="21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F74A7512">
      <w:start w:val="1"/>
      <w:numFmt w:val="bullet"/>
      <w:lvlText w:val="•"/>
      <w:lvlJc w:val="left"/>
      <w:pPr>
        <w:ind w:left="28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A1826A74">
      <w:start w:val="1"/>
      <w:numFmt w:val="bullet"/>
      <w:lvlText w:val="o"/>
      <w:lvlJc w:val="left"/>
      <w:pPr>
        <w:ind w:left="36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4D786A06">
      <w:start w:val="1"/>
      <w:numFmt w:val="bullet"/>
      <w:lvlText w:val="▪"/>
      <w:lvlJc w:val="left"/>
      <w:pPr>
        <w:ind w:left="43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CB4EF684">
      <w:start w:val="1"/>
      <w:numFmt w:val="bullet"/>
      <w:lvlText w:val="•"/>
      <w:lvlJc w:val="left"/>
      <w:pPr>
        <w:ind w:left="50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C5C224CE">
      <w:start w:val="1"/>
      <w:numFmt w:val="bullet"/>
      <w:lvlText w:val="o"/>
      <w:lvlJc w:val="left"/>
      <w:pPr>
        <w:ind w:left="57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4BC8B82C">
      <w:start w:val="1"/>
      <w:numFmt w:val="bullet"/>
      <w:lvlText w:val="▪"/>
      <w:lvlJc w:val="left"/>
      <w:pPr>
        <w:ind w:left="64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2002DAE"/>
    <w:multiLevelType w:val="hybridMultilevel"/>
    <w:tmpl w:val="B2D65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1A13DC"/>
    <w:multiLevelType w:val="hybridMultilevel"/>
    <w:tmpl w:val="137CD9B6"/>
    <w:lvl w:ilvl="0" w:tplc="9E4C34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8816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960F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B4FB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6E0B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C007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AAD7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640B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3EE1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28E04C5"/>
    <w:multiLevelType w:val="hybridMultilevel"/>
    <w:tmpl w:val="53DE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5B7B7E"/>
    <w:multiLevelType w:val="hybridMultilevel"/>
    <w:tmpl w:val="FD286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2B5393"/>
    <w:multiLevelType w:val="hybridMultilevel"/>
    <w:tmpl w:val="C6E4B610"/>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4" w15:restartNumberingAfterBreak="0">
    <w:nsid w:val="48E82728"/>
    <w:multiLevelType w:val="hybridMultilevel"/>
    <w:tmpl w:val="0DA009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4BF95CB0"/>
    <w:multiLevelType w:val="hybridMultilevel"/>
    <w:tmpl w:val="ACFCDA72"/>
    <w:lvl w:ilvl="0" w:tplc="F12CD338">
      <w:start w:val="1"/>
      <w:numFmt w:val="decimal"/>
      <w:lvlText w:val="%1."/>
      <w:lvlJc w:val="left"/>
      <w:pPr>
        <w:ind w:left="1140" w:hanging="360"/>
      </w:pPr>
      <w:rPr>
        <w:rFonts w:hint="default"/>
      </w:rPr>
    </w:lvl>
    <w:lvl w:ilvl="1" w:tplc="04180019" w:tentative="1">
      <w:start w:val="1"/>
      <w:numFmt w:val="lowerLetter"/>
      <w:lvlText w:val="%2."/>
      <w:lvlJc w:val="left"/>
      <w:pPr>
        <w:ind w:left="1860" w:hanging="360"/>
      </w:pPr>
    </w:lvl>
    <w:lvl w:ilvl="2" w:tplc="0418001B" w:tentative="1">
      <w:start w:val="1"/>
      <w:numFmt w:val="lowerRoman"/>
      <w:lvlText w:val="%3."/>
      <w:lvlJc w:val="right"/>
      <w:pPr>
        <w:ind w:left="2580" w:hanging="180"/>
      </w:pPr>
    </w:lvl>
    <w:lvl w:ilvl="3" w:tplc="0418000F" w:tentative="1">
      <w:start w:val="1"/>
      <w:numFmt w:val="decimal"/>
      <w:lvlText w:val="%4."/>
      <w:lvlJc w:val="left"/>
      <w:pPr>
        <w:ind w:left="3300" w:hanging="360"/>
      </w:pPr>
    </w:lvl>
    <w:lvl w:ilvl="4" w:tplc="04180019" w:tentative="1">
      <w:start w:val="1"/>
      <w:numFmt w:val="lowerLetter"/>
      <w:lvlText w:val="%5."/>
      <w:lvlJc w:val="left"/>
      <w:pPr>
        <w:ind w:left="4020" w:hanging="360"/>
      </w:pPr>
    </w:lvl>
    <w:lvl w:ilvl="5" w:tplc="0418001B" w:tentative="1">
      <w:start w:val="1"/>
      <w:numFmt w:val="lowerRoman"/>
      <w:lvlText w:val="%6."/>
      <w:lvlJc w:val="right"/>
      <w:pPr>
        <w:ind w:left="4740" w:hanging="180"/>
      </w:pPr>
    </w:lvl>
    <w:lvl w:ilvl="6" w:tplc="0418000F" w:tentative="1">
      <w:start w:val="1"/>
      <w:numFmt w:val="decimal"/>
      <w:lvlText w:val="%7."/>
      <w:lvlJc w:val="left"/>
      <w:pPr>
        <w:ind w:left="5460" w:hanging="360"/>
      </w:pPr>
    </w:lvl>
    <w:lvl w:ilvl="7" w:tplc="04180019" w:tentative="1">
      <w:start w:val="1"/>
      <w:numFmt w:val="lowerLetter"/>
      <w:lvlText w:val="%8."/>
      <w:lvlJc w:val="left"/>
      <w:pPr>
        <w:ind w:left="6180" w:hanging="360"/>
      </w:pPr>
    </w:lvl>
    <w:lvl w:ilvl="8" w:tplc="0418001B" w:tentative="1">
      <w:start w:val="1"/>
      <w:numFmt w:val="lowerRoman"/>
      <w:lvlText w:val="%9."/>
      <w:lvlJc w:val="right"/>
      <w:pPr>
        <w:ind w:left="6900" w:hanging="180"/>
      </w:pPr>
    </w:lvl>
  </w:abstractNum>
  <w:abstractNum w:abstractNumId="26" w15:restartNumberingAfterBreak="0">
    <w:nsid w:val="4DB607DB"/>
    <w:multiLevelType w:val="hybridMultilevel"/>
    <w:tmpl w:val="1342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D45A44"/>
    <w:multiLevelType w:val="hybridMultilevel"/>
    <w:tmpl w:val="6DFE21A6"/>
    <w:lvl w:ilvl="0" w:tplc="1DE4F42E">
      <w:start w:val="1"/>
      <w:numFmt w:val="bullet"/>
      <w:lvlText w:val="•"/>
      <w:lvlJc w:val="left"/>
      <w:pPr>
        <w:ind w:left="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4A2690">
      <w:start w:val="1"/>
      <w:numFmt w:val="bullet"/>
      <w:lvlText w:val="o"/>
      <w:lvlJc w:val="left"/>
      <w:pPr>
        <w:ind w:left="10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56C02E">
      <w:start w:val="1"/>
      <w:numFmt w:val="bullet"/>
      <w:lvlText w:val="▪"/>
      <w:lvlJc w:val="left"/>
      <w:pPr>
        <w:ind w:left="1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181290">
      <w:start w:val="1"/>
      <w:numFmt w:val="bullet"/>
      <w:lvlText w:val="•"/>
      <w:lvlJc w:val="left"/>
      <w:pPr>
        <w:ind w:left="2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AAEBB0">
      <w:start w:val="1"/>
      <w:numFmt w:val="bullet"/>
      <w:lvlText w:val="o"/>
      <w:lvlJc w:val="left"/>
      <w:pPr>
        <w:ind w:left="3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8C153A">
      <w:start w:val="1"/>
      <w:numFmt w:val="bullet"/>
      <w:lvlText w:val="▪"/>
      <w:lvlJc w:val="left"/>
      <w:pPr>
        <w:ind w:left="3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AA774A">
      <w:start w:val="1"/>
      <w:numFmt w:val="bullet"/>
      <w:lvlText w:val="•"/>
      <w:lvlJc w:val="left"/>
      <w:pPr>
        <w:ind w:left="4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7E816E">
      <w:start w:val="1"/>
      <w:numFmt w:val="bullet"/>
      <w:lvlText w:val="o"/>
      <w:lvlJc w:val="left"/>
      <w:pPr>
        <w:ind w:left="54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580A6A">
      <w:start w:val="1"/>
      <w:numFmt w:val="bullet"/>
      <w:lvlText w:val="▪"/>
      <w:lvlJc w:val="left"/>
      <w:pPr>
        <w:ind w:left="61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FE814EE"/>
    <w:multiLevelType w:val="hybridMultilevel"/>
    <w:tmpl w:val="9A8468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907B9A"/>
    <w:multiLevelType w:val="hybridMultilevel"/>
    <w:tmpl w:val="1534B1BC"/>
    <w:lvl w:ilvl="0" w:tplc="F2042B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00038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4E8D4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2466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04ED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0ADF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F404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E001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A2883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2EC42BD"/>
    <w:multiLevelType w:val="hybridMultilevel"/>
    <w:tmpl w:val="B54EFC4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674803AC"/>
    <w:multiLevelType w:val="hybridMultilevel"/>
    <w:tmpl w:val="796A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0D1150"/>
    <w:multiLevelType w:val="hybridMultilevel"/>
    <w:tmpl w:val="AE48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1061FA"/>
    <w:multiLevelType w:val="hybridMultilevel"/>
    <w:tmpl w:val="0BCCD700"/>
    <w:lvl w:ilvl="0" w:tplc="E25217DC">
      <w:numFmt w:val="bullet"/>
      <w:lvlText w:val="•"/>
      <w:lvlJc w:val="left"/>
      <w:pPr>
        <w:ind w:left="360" w:hanging="360"/>
      </w:pPr>
      <w:rPr>
        <w:rFonts w:ascii="Trebuchet MS" w:eastAsia="Calibri" w:hAnsi="Trebuchet MS" w:cs="Times New Roman"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4" w15:restartNumberingAfterBreak="0">
    <w:nsid w:val="6C6A72BA"/>
    <w:multiLevelType w:val="hybridMultilevel"/>
    <w:tmpl w:val="4A0A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EC67B8"/>
    <w:multiLevelType w:val="hybridMultilevel"/>
    <w:tmpl w:val="AF865C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765E3890"/>
    <w:multiLevelType w:val="hybridMultilevel"/>
    <w:tmpl w:val="4BAED9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7C244346"/>
    <w:multiLevelType w:val="hybridMultilevel"/>
    <w:tmpl w:val="3DDE01EC"/>
    <w:lvl w:ilvl="0" w:tplc="1F1E2220">
      <w:start w:val="5"/>
      <w:numFmt w:val="decimal"/>
      <w:lvlText w:val="%1."/>
      <w:lvlJc w:val="left"/>
      <w:pPr>
        <w:ind w:left="42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1" w:tplc="B19066D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C9A620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6BCCA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40E4AE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6625A8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B06229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DE6442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544C66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27"/>
  </w:num>
  <w:num w:numId="2">
    <w:abstractNumId w:val="29"/>
  </w:num>
  <w:num w:numId="3">
    <w:abstractNumId w:val="37"/>
  </w:num>
  <w:num w:numId="4">
    <w:abstractNumId w:val="4"/>
  </w:num>
  <w:num w:numId="5">
    <w:abstractNumId w:val="18"/>
  </w:num>
  <w:num w:numId="6">
    <w:abstractNumId w:val="3"/>
  </w:num>
  <w:num w:numId="7">
    <w:abstractNumId w:val="10"/>
  </w:num>
  <w:num w:numId="8">
    <w:abstractNumId w:val="20"/>
  </w:num>
  <w:num w:numId="9">
    <w:abstractNumId w:val="17"/>
  </w:num>
  <w:num w:numId="10">
    <w:abstractNumId w:val="5"/>
  </w:num>
  <w:num w:numId="11">
    <w:abstractNumId w:val="12"/>
  </w:num>
  <w:num w:numId="12">
    <w:abstractNumId w:val="9"/>
  </w:num>
  <w:num w:numId="13">
    <w:abstractNumId w:val="23"/>
  </w:num>
  <w:num w:numId="14">
    <w:abstractNumId w:val="13"/>
  </w:num>
  <w:num w:numId="15">
    <w:abstractNumId w:val="30"/>
  </w:num>
  <w:num w:numId="16">
    <w:abstractNumId w:val="35"/>
  </w:num>
  <w:num w:numId="17">
    <w:abstractNumId w:val="0"/>
  </w:num>
  <w:num w:numId="18">
    <w:abstractNumId w:val="25"/>
  </w:num>
  <w:num w:numId="19">
    <w:abstractNumId w:val="34"/>
  </w:num>
  <w:num w:numId="20">
    <w:abstractNumId w:val="36"/>
  </w:num>
  <w:num w:numId="21">
    <w:abstractNumId w:val="24"/>
  </w:num>
  <w:num w:numId="22">
    <w:abstractNumId w:val="2"/>
  </w:num>
  <w:num w:numId="23">
    <w:abstractNumId w:val="33"/>
  </w:num>
  <w:num w:numId="24">
    <w:abstractNumId w:val="22"/>
  </w:num>
  <w:num w:numId="25">
    <w:abstractNumId w:val="14"/>
  </w:num>
  <w:num w:numId="26">
    <w:abstractNumId w:val="6"/>
  </w:num>
  <w:num w:numId="27">
    <w:abstractNumId w:val="28"/>
  </w:num>
  <w:num w:numId="28">
    <w:abstractNumId w:val="15"/>
  </w:num>
  <w:num w:numId="29">
    <w:abstractNumId w:val="16"/>
  </w:num>
  <w:num w:numId="30">
    <w:abstractNumId w:val="32"/>
  </w:num>
  <w:num w:numId="31">
    <w:abstractNumId w:val="31"/>
  </w:num>
  <w:num w:numId="32">
    <w:abstractNumId w:val="8"/>
  </w:num>
  <w:num w:numId="33">
    <w:abstractNumId w:val="21"/>
  </w:num>
  <w:num w:numId="34">
    <w:abstractNumId w:val="11"/>
  </w:num>
  <w:num w:numId="35">
    <w:abstractNumId w:val="19"/>
  </w:num>
  <w:num w:numId="36">
    <w:abstractNumId w:val="1"/>
  </w:num>
  <w:num w:numId="37">
    <w:abstractNumId w:val="7"/>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A6"/>
    <w:rsid w:val="0003262E"/>
    <w:rsid w:val="00222DA6"/>
    <w:rsid w:val="0030345C"/>
    <w:rsid w:val="00341772"/>
    <w:rsid w:val="0037587C"/>
    <w:rsid w:val="003A4BAE"/>
    <w:rsid w:val="00626C51"/>
    <w:rsid w:val="007C407B"/>
    <w:rsid w:val="008D63EA"/>
    <w:rsid w:val="009B5574"/>
    <w:rsid w:val="009E545C"/>
    <w:rsid w:val="00A74028"/>
    <w:rsid w:val="00BA7D4E"/>
    <w:rsid w:val="00CC022B"/>
    <w:rsid w:val="00CF2A84"/>
    <w:rsid w:val="00E3523B"/>
    <w:rsid w:val="00FB508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D2A98"/>
  <w15:docId w15:val="{CD76ACBC-5123-4262-84FB-805A9C92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7" w:lineRule="auto"/>
      <w:ind w:left="10" w:hanging="10"/>
      <w:jc w:val="both"/>
    </w:pPr>
    <w:rPr>
      <w:rFonts w:ascii="Trebuchet MS" w:eastAsia="Trebuchet MS" w:hAnsi="Trebuchet MS" w:cs="Trebuchet M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7587C"/>
    <w:pPr>
      <w:spacing w:after="0" w:line="276" w:lineRule="auto"/>
      <w:ind w:left="720" w:firstLine="0"/>
      <w:contextualSpacing/>
      <w:jc w:val="center"/>
    </w:pPr>
    <w:rPr>
      <w:rFonts w:asciiTheme="minorHAnsi" w:eastAsiaTheme="minorHAnsi" w:hAnsiTheme="minorHAnsi" w:cstheme="minorBidi"/>
      <w:color w:val="auto"/>
      <w:szCs w:val="24"/>
      <w:lang w:val="en-US" w:eastAsia="en-US"/>
    </w:rPr>
  </w:style>
  <w:style w:type="paragraph" w:customStyle="1" w:styleId="Default">
    <w:name w:val="Default"/>
    <w:rsid w:val="0037587C"/>
    <w:pPr>
      <w:widowControl w:val="0"/>
      <w:autoSpaceDE w:val="0"/>
      <w:autoSpaceDN w:val="0"/>
      <w:adjustRightInd w:val="0"/>
      <w:spacing w:after="0" w:line="276" w:lineRule="auto"/>
      <w:jc w:val="center"/>
    </w:pPr>
    <w:rPr>
      <w:rFonts w:ascii="Tahoma" w:eastAsiaTheme="minorHAnsi" w:hAnsi="Tahoma" w:cs="Tahoma"/>
      <w:color w:val="000000"/>
      <w:sz w:val="24"/>
      <w:szCs w:val="24"/>
      <w:lang w:val="en-US" w:eastAsia="en-US"/>
    </w:rPr>
  </w:style>
  <w:style w:type="character" w:styleId="Emphasis">
    <w:name w:val="Emphasis"/>
    <w:qFormat/>
    <w:rsid w:val="0037587C"/>
    <w:rPr>
      <w:i/>
      <w:iCs/>
    </w:rPr>
  </w:style>
  <w:style w:type="paragraph" w:styleId="Header">
    <w:name w:val="header"/>
    <w:basedOn w:val="Normal"/>
    <w:link w:val="HeaderChar"/>
    <w:uiPriority w:val="99"/>
    <w:unhideWhenUsed/>
    <w:rsid w:val="0003262E"/>
    <w:pPr>
      <w:tabs>
        <w:tab w:val="center" w:pos="4513"/>
        <w:tab w:val="right" w:pos="9026"/>
      </w:tabs>
      <w:spacing w:after="0" w:line="240" w:lineRule="auto"/>
      <w:ind w:left="0" w:firstLine="0"/>
      <w:jc w:val="left"/>
    </w:pPr>
    <w:rPr>
      <w:rFonts w:ascii="Calibri" w:eastAsia="Calibri" w:hAnsi="Calibri" w:cs="Times New Roman"/>
      <w:color w:val="auto"/>
      <w:sz w:val="22"/>
      <w:lang w:eastAsia="en-US"/>
    </w:rPr>
  </w:style>
  <w:style w:type="character" w:customStyle="1" w:styleId="HeaderChar">
    <w:name w:val="Header Char"/>
    <w:basedOn w:val="DefaultParagraphFont"/>
    <w:link w:val="Header"/>
    <w:uiPriority w:val="99"/>
    <w:rsid w:val="0003262E"/>
    <w:rPr>
      <w:rFonts w:ascii="Calibri" w:eastAsia="Calibri" w:hAnsi="Calibri" w:cs="Times New Roman"/>
      <w:lang w:eastAsia="en-US"/>
    </w:rPr>
  </w:style>
  <w:style w:type="paragraph" w:customStyle="1" w:styleId="CM4">
    <w:name w:val="CM4"/>
    <w:basedOn w:val="Normal"/>
    <w:next w:val="Normal"/>
    <w:uiPriority w:val="99"/>
    <w:rsid w:val="00CF2A84"/>
    <w:pPr>
      <w:autoSpaceDE w:val="0"/>
      <w:autoSpaceDN w:val="0"/>
      <w:adjustRightInd w:val="0"/>
      <w:spacing w:after="0" w:line="276" w:lineRule="auto"/>
      <w:ind w:left="0" w:firstLine="0"/>
      <w:jc w:val="center"/>
    </w:pPr>
    <w:rPr>
      <w:rFonts w:ascii="Times New Roman" w:eastAsia="Calibri" w:hAnsi="Times New Roman" w:cs="Times New Roman"/>
      <w:color w:val="auto"/>
      <w:szCs w:val="24"/>
      <w:lang w:val="hu-H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C4685-724D-4758-8CFB-FC331C8F2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1200</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Procedura de evaluare si selectie a proiectelor</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 de evaluare si selectie a proiectelor</dc:title>
  <dc:subject/>
  <dc:creator>User</dc:creator>
  <cp:keywords/>
  <cp:lastModifiedBy>Bil</cp:lastModifiedBy>
  <cp:revision>4</cp:revision>
  <dcterms:created xsi:type="dcterms:W3CDTF">2017-08-25T13:53:00Z</dcterms:created>
  <dcterms:modified xsi:type="dcterms:W3CDTF">2017-08-25T13:57:00Z</dcterms:modified>
</cp:coreProperties>
</file>