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74" w:rsidRDefault="009B5574">
      <w:pPr>
        <w:spacing w:after="7"/>
        <w:ind w:left="-5"/>
        <w:jc w:val="left"/>
        <w:rPr>
          <w:b/>
          <w:sz w:val="22"/>
        </w:rPr>
      </w:pPr>
    </w:p>
    <w:p w:rsidR="0037587C" w:rsidRDefault="0037587C">
      <w:pPr>
        <w:spacing w:after="7"/>
        <w:ind w:left="-5"/>
        <w:jc w:val="left"/>
        <w:rPr>
          <w:b/>
          <w:sz w:val="22"/>
        </w:rPr>
      </w:pPr>
    </w:p>
    <w:p w:rsidR="002F5F87" w:rsidRPr="00E117B6" w:rsidRDefault="002F5F87" w:rsidP="002F5F87">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Acțiuni de integrare a minorităților etnice (inclusiv minoritatea romă)</w:t>
      </w:r>
    </w:p>
    <w:p w:rsidR="002F5F87" w:rsidRPr="00E117B6" w:rsidRDefault="002F5F87" w:rsidP="002F5F87">
      <w:pPr>
        <w:pStyle w:val="Default"/>
        <w:tabs>
          <w:tab w:val="center" w:pos="4510"/>
        </w:tabs>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M6.5 / 6B</w:t>
      </w:r>
    </w:p>
    <w:p w:rsidR="002F5F87" w:rsidRPr="00E117B6" w:rsidRDefault="002F5F87" w:rsidP="002F5F87">
      <w:pPr>
        <w:pStyle w:val="Default"/>
        <w:jc w:val="both"/>
        <w:rPr>
          <w:rFonts w:ascii="Trebuchet MS" w:hAnsi="Trebuchet MS" w:cs="Calibri"/>
          <w:color w:val="000000" w:themeColor="text1"/>
          <w:sz w:val="22"/>
          <w:szCs w:val="22"/>
          <w:lang w:val="ro-RO"/>
        </w:rPr>
      </w:pPr>
    </w:p>
    <w:p w:rsidR="002F5F87" w:rsidRPr="00E117B6" w:rsidRDefault="002F5F87" w:rsidP="002F5F87">
      <w:pPr>
        <w:pStyle w:val="Default"/>
        <w:jc w:val="both"/>
        <w:rPr>
          <w:rFonts w:ascii="Trebuchet MS" w:hAnsi="Trebuchet MS" w:cs="Calibri"/>
          <w:color w:val="000000" w:themeColor="text1"/>
          <w:sz w:val="22"/>
          <w:szCs w:val="22"/>
          <w:lang w:val="ro-RO"/>
        </w:rPr>
      </w:pPr>
    </w:p>
    <w:p w:rsidR="002F5F87" w:rsidRPr="00E117B6" w:rsidRDefault="002F5F87" w:rsidP="002F5F87">
      <w:pPr>
        <w:widowControl w:val="0"/>
        <w:autoSpaceDE w:val="0"/>
        <w:autoSpaceDN w:val="0"/>
        <w:adjustRightInd w:val="0"/>
        <w:rPr>
          <w:b/>
          <w:bCs/>
          <w:color w:val="000000" w:themeColor="text1"/>
          <w:sz w:val="22"/>
        </w:rPr>
      </w:pPr>
      <w:r w:rsidRPr="00E117B6">
        <w:rPr>
          <w:rFonts w:cs="Calibri"/>
          <w:b/>
          <w:color w:val="000000" w:themeColor="text1"/>
          <w:sz w:val="22"/>
        </w:rPr>
        <w:t>Tipul măsurii:</w:t>
      </w:r>
      <w:r w:rsidRPr="00E117B6">
        <w:rPr>
          <w:b/>
          <w:bCs/>
          <w:color w:val="000000" w:themeColor="text1"/>
          <w:sz w:val="22"/>
        </w:rPr>
        <w:t xml:space="preserve"> </w:t>
      </w:r>
      <w:r w:rsidRPr="00E117B6">
        <w:rPr>
          <w:b/>
          <w:bCs/>
          <w:color w:val="000000" w:themeColor="text1"/>
          <w:sz w:val="22"/>
        </w:rPr>
        <w:tab/>
      </w:r>
    </w:p>
    <w:p w:rsidR="002F5F87" w:rsidRPr="00E117B6" w:rsidRDefault="002F5F87" w:rsidP="002F5F87">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INVESTIȚII</w:t>
      </w:r>
    </w:p>
    <w:p w:rsidR="002F5F87" w:rsidRPr="00E117B6" w:rsidRDefault="002F5F87" w:rsidP="002F5F87">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78"/>
      </w:r>
      <w:r w:rsidRPr="00E117B6">
        <w:rPr>
          <w:b/>
          <w:bCs/>
          <w:color w:val="000000" w:themeColor="text1"/>
          <w:sz w:val="22"/>
        </w:rPr>
        <w:t xml:space="preserve"> SERVICII </w:t>
      </w:r>
    </w:p>
    <w:p w:rsidR="002F5F87" w:rsidRPr="00E117B6" w:rsidRDefault="002F5F87" w:rsidP="002F5F87">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SPRIJIN FORFETAR </w:t>
      </w:r>
    </w:p>
    <w:p w:rsidR="002F5F87" w:rsidRPr="00E117B6" w:rsidRDefault="002F5F87" w:rsidP="002F5F87">
      <w:pPr>
        <w:pStyle w:val="Default"/>
        <w:jc w:val="both"/>
        <w:rPr>
          <w:rFonts w:ascii="Trebuchet MS" w:hAnsi="Trebuchet MS" w:cs="Calibri"/>
          <w:b/>
          <w:color w:val="000000" w:themeColor="text1"/>
          <w:sz w:val="22"/>
          <w:szCs w:val="22"/>
          <w:lang w:val="ro-RO"/>
        </w:rPr>
      </w:pPr>
    </w:p>
    <w:p w:rsidR="002F5F87" w:rsidRPr="00E117B6" w:rsidRDefault="002F5F87" w:rsidP="002F5F87">
      <w:pPr>
        <w:pStyle w:val="Default"/>
        <w:jc w:val="both"/>
        <w:rPr>
          <w:rFonts w:ascii="Trebuchet MS" w:hAnsi="Trebuchet MS" w:cs="Calibri"/>
          <w:b/>
          <w:color w:val="000000" w:themeColor="text1"/>
          <w:sz w:val="22"/>
          <w:szCs w:val="22"/>
          <w:lang w:val="ro-RO"/>
        </w:rPr>
      </w:pPr>
    </w:p>
    <w:p w:rsidR="002F5F87" w:rsidRPr="00E117B6" w:rsidRDefault="002F5F87" w:rsidP="002F5F8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rsidR="002F5F87" w:rsidRPr="00E117B6" w:rsidRDefault="002F5F87" w:rsidP="002F5F87">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rsidR="002F5F87" w:rsidRPr="00E117B6" w:rsidRDefault="002F5F87" w:rsidP="002F5F87">
      <w:pPr>
        <w:tabs>
          <w:tab w:val="left" w:pos="231"/>
        </w:tabs>
        <w:rPr>
          <w:color w:val="000000" w:themeColor="text1"/>
          <w:sz w:val="22"/>
        </w:rPr>
      </w:pPr>
      <w:r w:rsidRPr="00E117B6">
        <w:rPr>
          <w:color w:val="000000" w:themeColor="text1"/>
          <w:sz w:val="22"/>
        </w:rPr>
        <w:t>Obiectivul de dezvoltare rurală este îmbunătățirea integrării grupurilor și minorităților etnice în viața societății.</w:t>
      </w:r>
    </w:p>
    <w:p w:rsidR="002F5F87" w:rsidRPr="00E117B6" w:rsidRDefault="002F5F87" w:rsidP="002F5F87">
      <w:pPr>
        <w:pStyle w:val="Default"/>
        <w:jc w:val="both"/>
        <w:rPr>
          <w:rFonts w:ascii="Trebuchet MS" w:hAnsi="Trebuchet MS" w:cs="Calibri"/>
          <w:color w:val="000000" w:themeColor="text1"/>
          <w:sz w:val="22"/>
          <w:szCs w:val="22"/>
          <w:lang w:val="ro-RO"/>
        </w:rPr>
      </w:pPr>
    </w:p>
    <w:p w:rsidR="002F5F87" w:rsidRPr="00E117B6" w:rsidRDefault="002F5F87" w:rsidP="002F5F8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Obiectivul specific local al măsurii</w:t>
      </w:r>
    </w:p>
    <w:p w:rsidR="002F5F87" w:rsidRPr="00E117B6" w:rsidRDefault="002F5F87" w:rsidP="002F5F87">
      <w:pPr>
        <w:pStyle w:val="ListParagraph"/>
        <w:numPr>
          <w:ilvl w:val="0"/>
          <w:numId w:val="3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cadrului de manifestare a tradițiilor și elementelor specifice minorităților etnice, în special a etniei rome;</w:t>
      </w:r>
    </w:p>
    <w:p w:rsidR="002F5F87" w:rsidRPr="00E117B6" w:rsidRDefault="002F5F87" w:rsidP="002F5F87">
      <w:pPr>
        <w:pStyle w:val="ListParagraph"/>
        <w:numPr>
          <w:ilvl w:val="0"/>
          <w:numId w:val="3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accesului la infrastructura necesară exprimării și manifestării specifice;</w:t>
      </w:r>
    </w:p>
    <w:p w:rsidR="002F5F87" w:rsidRPr="00E117B6" w:rsidRDefault="002F5F87" w:rsidP="002F5F87">
      <w:pPr>
        <w:pStyle w:val="Default"/>
        <w:widowControl/>
        <w:numPr>
          <w:ilvl w:val="0"/>
          <w:numId w:val="30"/>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promovării vizibilității grupurilor minorităților etnice și a realizărilor acestora</w:t>
      </w:r>
      <w:r w:rsidRPr="00E117B6">
        <w:rPr>
          <w:rFonts w:ascii="Trebuchet MS" w:hAnsi="Trebuchet MS" w:cs="Calibri"/>
          <w:color w:val="000000" w:themeColor="text1"/>
          <w:sz w:val="22"/>
          <w:szCs w:val="22"/>
          <w:lang w:val="ro-RO"/>
        </w:rPr>
        <w:t>.</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Contribuţie la prioritatea/priorităţile prevăzute la art.5, Reg.(UE) nr.1305/2013</w:t>
      </w:r>
    </w:p>
    <w:p w:rsidR="002F5F87" w:rsidRPr="00E117B6" w:rsidRDefault="002F5F87" w:rsidP="002F5F87">
      <w:pPr>
        <w:tabs>
          <w:tab w:val="left" w:pos="231"/>
        </w:tabs>
        <w:rPr>
          <w:color w:val="000000" w:themeColor="text1"/>
          <w:sz w:val="22"/>
        </w:rPr>
      </w:pPr>
      <w:r w:rsidRPr="00E117B6">
        <w:rPr>
          <w:color w:val="000000" w:themeColor="text1"/>
          <w:sz w:val="22"/>
        </w:rPr>
        <w:t xml:space="preserve">Măsura contribuie la prioritatea 6. Promovarea incluziunii sociale, a reducerii sărăciei și a dezvoltării economice în zonele rurale din art. 5, Reg. 1305/2013. </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Masura corespunde obiectivelor art. 4 din Reg.(UE) nr.1305/2013</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Este în concordanță cu cel de-al treilea obiectiv Strategic Obținerea unei dezvoltări teritoriale echilibrate a economiilor și comunităților rurale, inclusiv crearea și menținerea de locuri de muncă, definit în Regulamentul UE nr. 1305/2013, art.4</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Contribuţia la domeniile de intervenţie</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Măsura contribuie la Domeniul de intervenție 6.B. Încurajarea dezvoltării locale în zonele rurale, prevăzute la art. 5, Reg. 1305/2013</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Contribuţia la obiectivele transversale ale Reg.(UE) 1305/2013</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Măsura contribuie la obiectivele transversale ale Reg. 1305/2013 legate de inovare prin asigurarea condițiilor favorabile pentru incluziunea socială a copiilor din grupurile minorităților etnice din mediul rural, cu accent deosebit  pe etnia romă.</w:t>
      </w:r>
    </w:p>
    <w:p w:rsidR="002F5F87" w:rsidRPr="00E117B6" w:rsidRDefault="002F5F87" w:rsidP="002F5F87">
      <w:pPr>
        <w:rPr>
          <w:color w:val="000000" w:themeColor="text1"/>
          <w:sz w:val="22"/>
        </w:rPr>
      </w:pPr>
    </w:p>
    <w:p w:rsidR="002F5F87" w:rsidRDefault="002F5F87" w:rsidP="002F5F87">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xml:space="preserve">: Complementaritatea cu măsura M6.4 este definită de destinația tipului de infrastructură (exclusiv socială) și de natura și tipul beneficiarilor indirecți, aparținând exclusiv grupurilor marginalizate. În cazul măsurii M6.3, </w:t>
      </w:r>
    </w:p>
    <w:p w:rsidR="002F5F87" w:rsidRDefault="002F5F87" w:rsidP="002F5F87">
      <w:pPr>
        <w:widowControl w:val="0"/>
        <w:autoSpaceDE w:val="0"/>
        <w:autoSpaceDN w:val="0"/>
        <w:adjustRightInd w:val="0"/>
        <w:ind w:left="4"/>
        <w:rPr>
          <w:color w:val="000000" w:themeColor="text1"/>
          <w:sz w:val="22"/>
        </w:rPr>
      </w:pPr>
    </w:p>
    <w:p w:rsidR="002F5F87" w:rsidRPr="00E117B6" w:rsidRDefault="002F5F87" w:rsidP="002F5F87">
      <w:pPr>
        <w:widowControl w:val="0"/>
        <w:autoSpaceDE w:val="0"/>
        <w:autoSpaceDN w:val="0"/>
        <w:adjustRightInd w:val="0"/>
        <w:ind w:left="4"/>
        <w:rPr>
          <w:color w:val="000000" w:themeColor="text1"/>
          <w:sz w:val="22"/>
        </w:rPr>
      </w:pPr>
      <w:r w:rsidRPr="00E117B6">
        <w:rPr>
          <w:color w:val="000000" w:themeColor="text1"/>
          <w:sz w:val="22"/>
        </w:rPr>
        <w:t xml:space="preserve">tipul de intervenție, investițiile în principal în infrastructură și natura beneficiarilor direcți și indirecți, realizează delimitarea complementarității cu măsura M6.5 </w:t>
      </w:r>
      <w:r w:rsidRPr="00E117B6">
        <w:rPr>
          <w:color w:val="000000" w:themeColor="text1"/>
          <w:sz w:val="22"/>
          <w:u w:val="single"/>
        </w:rPr>
        <w:t>dedicată exclusiv acțiunilor de integrare a minorităților etnice, inclusiv etnia romă</w:t>
      </w:r>
      <w:r w:rsidRPr="00E117B6">
        <w:rPr>
          <w:color w:val="000000" w:themeColor="text1"/>
          <w:sz w:val="22"/>
        </w:rPr>
        <w:t>.</w:t>
      </w:r>
    </w:p>
    <w:p w:rsidR="002F5F87" w:rsidRPr="00E117B6" w:rsidRDefault="002F5F87" w:rsidP="002F5F87">
      <w:pPr>
        <w:pStyle w:val="Default"/>
        <w:jc w:val="both"/>
        <w:rPr>
          <w:rFonts w:ascii="Trebuchet MS" w:hAnsi="Trebuchet MS"/>
          <w:b/>
          <w:color w:val="000000" w:themeColor="text1"/>
          <w:sz w:val="22"/>
          <w:szCs w:val="22"/>
          <w:lang w:val="ro-RO"/>
        </w:rPr>
      </w:pPr>
    </w:p>
    <w:p w:rsidR="002F5F87" w:rsidRPr="00E117B6" w:rsidRDefault="002F5F87" w:rsidP="002F5F87">
      <w:pPr>
        <w:pStyle w:val="Default"/>
        <w:jc w:val="both"/>
        <w:rPr>
          <w:rFonts w:ascii="Trebuchet MS" w:eastAsia="Times New Roman" w:hAnsi="Trebuchet MS" w:cs="Times New Roman"/>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măsura M6.5 este în sinergie cu măsura M1 prin natura transversală a acesteia și cu măsurile M2.1, M2.2, M3, M6.1 și M6.2 ale SDL prin efectele convergente pe care elementele integrare socială și culturală le aduc și contribuie la impactul potențial al intervențiilor susținute prin celelalte măsuri.</w:t>
      </w:r>
      <w:r w:rsidRPr="00E117B6">
        <w:rPr>
          <w:rFonts w:ascii="Trebuchet MS" w:eastAsia="Times New Roman" w:hAnsi="Trebuchet MS" w:cs="Times New Roman"/>
          <w:color w:val="000000" w:themeColor="text1"/>
          <w:sz w:val="22"/>
          <w:szCs w:val="22"/>
          <w:lang w:val="ro-RO"/>
        </w:rPr>
        <w:t xml:space="preserve"> </w:t>
      </w:r>
      <w:r w:rsidRPr="00E117B6">
        <w:rPr>
          <w:rFonts w:ascii="Trebuchet MS" w:hAnsi="Trebuchet MS"/>
          <w:color w:val="000000" w:themeColor="text1"/>
          <w:sz w:val="22"/>
          <w:szCs w:val="22"/>
          <w:lang w:val="ro-RO"/>
        </w:rPr>
        <w:t>Sinergia este amplificată de posibilitatea integrării experiențelor și cunoștințelor generate de implementarea celorlalte măsuri spre persoanele din minoritățile etnice în scopul multiplicării efectului produs de acestea și a creșterii șanselor de integrare economică și socială sustenabilă pentru populația de alte etnii, in special de etnie romă.</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color w:val="000000" w:themeColor="text1"/>
          <w:sz w:val="22"/>
        </w:rPr>
        <w:t xml:space="preserve">2. </w:t>
      </w:r>
      <w:r w:rsidRPr="00E117B6">
        <w:rPr>
          <w:b/>
          <w:color w:val="000000" w:themeColor="text1"/>
          <w:sz w:val="22"/>
        </w:rPr>
        <w:t>Valoarea adăugată a măsurii</w:t>
      </w:r>
    </w:p>
    <w:p w:rsidR="002F5F87" w:rsidRPr="00E117B6" w:rsidRDefault="002F5F87" w:rsidP="002F5F87">
      <w:pPr>
        <w:rPr>
          <w:b/>
          <w:color w:val="000000" w:themeColor="text1"/>
          <w:sz w:val="22"/>
        </w:rPr>
      </w:pPr>
    </w:p>
    <w:p w:rsidR="002F5F87" w:rsidRPr="00E117B6" w:rsidRDefault="002F5F87" w:rsidP="002F5F87">
      <w:pPr>
        <w:rPr>
          <w:color w:val="000000" w:themeColor="text1"/>
          <w:sz w:val="22"/>
        </w:rPr>
      </w:pPr>
      <w:r w:rsidRPr="00E117B6">
        <w:rPr>
          <w:color w:val="000000" w:themeColor="text1"/>
          <w:sz w:val="22"/>
        </w:rPr>
        <w:t>Valoarea adaugată a măsurii constă din posibilitatea organizării de evenimente special dedicate minorităților etnice și în special etniei rome, evenimente prin care aceștia pot proceda la o integrare activă în viața comunităților din care fac parte. Integrarea poate fi realizată prin activități de promovare a valorilor specifice grupurilor etnice, a deschiderii spre dezvoltarea colaborarii inter-etnice, la integrarea profesională și/sau economică a tradițiilor, obiceiurilor și produselor rezultate din implementarea activităților meșteșugărești tradiționale.</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color w:val="000000" w:themeColor="text1"/>
          <w:sz w:val="22"/>
        </w:rPr>
        <w:t xml:space="preserve">3. </w:t>
      </w:r>
      <w:r w:rsidRPr="00E117B6">
        <w:rPr>
          <w:b/>
          <w:color w:val="000000" w:themeColor="text1"/>
          <w:sz w:val="22"/>
        </w:rPr>
        <w:t>Trimiteri la alte acte legislative</w:t>
      </w:r>
    </w:p>
    <w:p w:rsidR="002F5F87" w:rsidRPr="00E117B6" w:rsidRDefault="002F5F87" w:rsidP="002F5F87">
      <w:pPr>
        <w:rPr>
          <w:b/>
          <w:color w:val="000000" w:themeColor="text1"/>
          <w:sz w:val="22"/>
        </w:rPr>
      </w:pPr>
    </w:p>
    <w:p w:rsidR="002F5F87" w:rsidRPr="00E117B6" w:rsidRDefault="002F5F87" w:rsidP="002F5F87">
      <w:pPr>
        <w:rPr>
          <w:color w:val="000000" w:themeColor="text1"/>
          <w:sz w:val="22"/>
        </w:rPr>
      </w:pPr>
      <w:r w:rsidRPr="00E117B6">
        <w:rPr>
          <w:color w:val="000000" w:themeColor="text1"/>
          <w:sz w:val="22"/>
        </w:rPr>
        <w:t>Hotărârea Guvernului nr. 18/2015 pentru aprobarea Strategiei Guvernului României de incluziune a cetăţenilor români aparţinând minorităţii rome pentru perioada 2015-2020, cu modificările și completările ulterioare;</w:t>
      </w:r>
    </w:p>
    <w:p w:rsidR="002F5F87" w:rsidRPr="00E117B6" w:rsidRDefault="002F5F87" w:rsidP="002F5F87">
      <w:pPr>
        <w:rPr>
          <w:color w:val="000000" w:themeColor="text1"/>
          <w:sz w:val="22"/>
        </w:rPr>
      </w:pPr>
      <w:r w:rsidRPr="00E117B6">
        <w:rPr>
          <w:color w:val="000000" w:themeColor="text1"/>
          <w:sz w:val="22"/>
        </w:rPr>
        <w:t>Hotărârea Guvernului nr. 383/2015 pentru aprobarea Strategiei naţionale privind incluziunea socială și reducerea sărăciei pentru perioada 2015-2020</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color w:val="000000" w:themeColor="text1"/>
          <w:sz w:val="22"/>
        </w:rPr>
        <w:t xml:space="preserve">4. </w:t>
      </w:r>
      <w:r w:rsidRPr="00E117B6">
        <w:rPr>
          <w:b/>
          <w:color w:val="000000" w:themeColor="text1"/>
          <w:sz w:val="22"/>
        </w:rPr>
        <w:t>Beneficiari direcţi/indirecţi (grup ţintă)</w:t>
      </w:r>
    </w:p>
    <w:p w:rsidR="002F5F87" w:rsidRPr="00E117B6" w:rsidRDefault="002F5F87" w:rsidP="002F5F87">
      <w:pPr>
        <w:rPr>
          <w:b/>
          <w:color w:val="000000" w:themeColor="text1"/>
          <w:sz w:val="22"/>
        </w:rPr>
      </w:pPr>
    </w:p>
    <w:p w:rsidR="002F5F87" w:rsidRPr="00E117B6" w:rsidRDefault="002F5F87" w:rsidP="002F5F87">
      <w:pPr>
        <w:rPr>
          <w:color w:val="000000" w:themeColor="text1"/>
          <w:sz w:val="22"/>
        </w:rPr>
      </w:pPr>
      <w:r w:rsidRPr="00E117B6">
        <w:rPr>
          <w:color w:val="000000" w:themeColor="text1"/>
          <w:sz w:val="22"/>
        </w:rPr>
        <w:t>4.1. Beneficiari direcţi</w:t>
      </w:r>
    </w:p>
    <w:p w:rsidR="002F5F87" w:rsidRPr="002F5F87" w:rsidRDefault="002F5F87" w:rsidP="002F5F87">
      <w:pPr>
        <w:numPr>
          <w:ilvl w:val="0"/>
          <w:numId w:val="26"/>
        </w:numPr>
        <w:spacing w:after="0" w:line="276" w:lineRule="auto"/>
        <w:ind w:left="270" w:hanging="270"/>
        <w:rPr>
          <w:color w:val="000000" w:themeColor="text1"/>
          <w:sz w:val="22"/>
        </w:rPr>
      </w:pPr>
      <w:r w:rsidRPr="002F5F87">
        <w:rPr>
          <w:color w:val="000000" w:themeColor="text1"/>
          <w:sz w:val="22"/>
        </w:rPr>
        <w:t>Comunele definite conform legislației în vigoare;</w:t>
      </w:r>
    </w:p>
    <w:p w:rsidR="002F5F87" w:rsidRPr="002F5F87" w:rsidRDefault="002F5F87" w:rsidP="002F5F87">
      <w:pPr>
        <w:numPr>
          <w:ilvl w:val="0"/>
          <w:numId w:val="26"/>
        </w:numPr>
        <w:spacing w:after="0" w:line="276" w:lineRule="auto"/>
        <w:ind w:left="270" w:hanging="270"/>
        <w:rPr>
          <w:color w:val="000000" w:themeColor="text1"/>
          <w:sz w:val="22"/>
        </w:rPr>
      </w:pPr>
      <w:r w:rsidRPr="002F5F87">
        <w:rPr>
          <w:color w:val="000000" w:themeColor="text1"/>
          <w:sz w:val="22"/>
        </w:rPr>
        <w:t>ADI-uri format exclusiv din UAT-uri semnatare ale acordului de parteneriat;</w:t>
      </w:r>
    </w:p>
    <w:p w:rsidR="002F5F87" w:rsidRPr="002F5F87" w:rsidRDefault="002F5F87" w:rsidP="002F5F87">
      <w:pPr>
        <w:numPr>
          <w:ilvl w:val="0"/>
          <w:numId w:val="26"/>
        </w:numPr>
        <w:spacing w:after="0" w:line="276" w:lineRule="auto"/>
        <w:ind w:left="270" w:hanging="270"/>
        <w:rPr>
          <w:color w:val="000000" w:themeColor="text1"/>
          <w:sz w:val="22"/>
        </w:rPr>
      </w:pPr>
      <w:r w:rsidRPr="002F5F87">
        <w:rPr>
          <w:color w:val="000000" w:themeColor="text1"/>
          <w:sz w:val="22"/>
        </w:rPr>
        <w:t>ONG-uri definite conform legislației în vigoare;</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4.2. Beneficiarii indirecţi</w:t>
      </w:r>
    </w:p>
    <w:p w:rsidR="002F5F87" w:rsidRPr="00E117B6" w:rsidRDefault="002F5F87" w:rsidP="002F5F87">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ale minorităților etnice</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color w:val="000000" w:themeColor="text1"/>
          <w:sz w:val="22"/>
        </w:rPr>
        <w:t xml:space="preserve">5. </w:t>
      </w:r>
      <w:r w:rsidRPr="00E117B6">
        <w:rPr>
          <w:b/>
          <w:color w:val="000000" w:themeColor="text1"/>
          <w:sz w:val="22"/>
        </w:rPr>
        <w:t>Tip de sprijin (conform art. 67 din Reg. (UE) nr.1303/2013)</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 Rambursarea cheltuielilor eligibile suportate</w:t>
      </w:r>
    </w:p>
    <w:p w:rsidR="002F5F87" w:rsidRPr="00E117B6" w:rsidRDefault="002F5F87" w:rsidP="002F5F87">
      <w:pPr>
        <w:rPr>
          <w:color w:val="000000" w:themeColor="text1"/>
          <w:sz w:val="22"/>
        </w:rPr>
      </w:pPr>
    </w:p>
    <w:p w:rsidR="002F5F87" w:rsidRPr="00330FBE" w:rsidRDefault="002F5F87" w:rsidP="002F5F87">
      <w:pPr>
        <w:rPr>
          <w:b/>
          <w:color w:val="000000" w:themeColor="text1"/>
          <w:sz w:val="22"/>
        </w:rPr>
      </w:pPr>
      <w:r w:rsidRPr="00E117B6">
        <w:rPr>
          <w:b/>
          <w:color w:val="000000" w:themeColor="text1"/>
          <w:sz w:val="22"/>
        </w:rPr>
        <w:t xml:space="preserve">6.Tipuri de acţiuni eligibile </w:t>
      </w:r>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evenimente ocazionate de sărbători sau obiceiuri și tradiții;</w:t>
      </w:r>
    </w:p>
    <w:p w:rsidR="00DD4A4C" w:rsidRPr="00DD4A4C" w:rsidRDefault="00DD4A4C" w:rsidP="00DD4A4C">
      <w:pPr>
        <w:ind w:left="360" w:firstLine="0"/>
        <w:rPr>
          <w:color w:val="000000" w:themeColor="text1"/>
          <w:sz w:val="22"/>
        </w:rPr>
      </w:pPr>
      <w:bookmarkStart w:id="0" w:name="_GoBack"/>
      <w:bookmarkEnd w:id="0"/>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costume tradiționale, instrumente muzicale, scenă, instalații de sonorizare și lumini, corturi de evenimente (inclusiv dotarea acestora);</w:t>
      </w:r>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sau producerea de materiale specifice în scopul promovării;</w:t>
      </w:r>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de ateliere de transmitere a tradițiilor și meșteșugurilor;</w:t>
      </w:r>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zile deschise în producerea de produse tradiționale, artizanale și meșteșugărești;</w:t>
      </w:r>
    </w:p>
    <w:p w:rsidR="002F5F87" w:rsidRPr="00E117B6" w:rsidRDefault="002F5F87" w:rsidP="002F5F87">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Producerea și distribuirea de materiale informative și de promovare;</w:t>
      </w:r>
    </w:p>
    <w:p w:rsidR="002F5F87" w:rsidRDefault="002F5F87" w:rsidP="002F5F87">
      <w:pPr>
        <w:rPr>
          <w:color w:val="000000" w:themeColor="text1"/>
          <w:sz w:val="22"/>
        </w:rPr>
      </w:pPr>
    </w:p>
    <w:p w:rsidR="002F5F87" w:rsidRPr="002F5F87" w:rsidRDefault="002F5F87" w:rsidP="002F5F87">
      <w:pPr>
        <w:rPr>
          <w:color w:val="000000" w:themeColor="text1"/>
          <w:sz w:val="22"/>
        </w:rPr>
      </w:pPr>
      <w:r w:rsidRPr="002F5F87">
        <w:rPr>
          <w:color w:val="000000" w:themeColor="text1"/>
          <w:sz w:val="22"/>
        </w:rPr>
        <w:t>Actiuni neeligibile:</w:t>
      </w:r>
    </w:p>
    <w:p w:rsidR="002F5F87" w:rsidRPr="002F5F87" w:rsidRDefault="002F5F87" w:rsidP="002F5F87">
      <w:pPr>
        <w:pStyle w:val="ListParagraph"/>
        <w:numPr>
          <w:ilvl w:val="0"/>
          <w:numId w:val="39"/>
        </w:numPr>
        <w:jc w:val="both"/>
        <w:rPr>
          <w:rFonts w:ascii="Trebuchet MS" w:hAnsi="Trebuchet MS"/>
          <w:color w:val="000000" w:themeColor="text1"/>
          <w:sz w:val="22"/>
          <w:szCs w:val="22"/>
          <w:lang w:val="ro-RO"/>
        </w:rPr>
      </w:pPr>
      <w:r w:rsidRPr="002F5F87">
        <w:rPr>
          <w:rFonts w:ascii="Trebuchet MS" w:hAnsi="Trebuchet MS"/>
          <w:color w:val="000000" w:themeColor="text1"/>
          <w:sz w:val="22"/>
          <w:szCs w:val="22"/>
          <w:lang w:val="ro-RO"/>
        </w:rPr>
        <w:t>Investitii in infrastructura de orice fel, inclusiv sociala (hard);</w:t>
      </w:r>
    </w:p>
    <w:p w:rsidR="002F5F87" w:rsidRPr="002F5F87" w:rsidRDefault="002F5F87" w:rsidP="002F5F87">
      <w:pPr>
        <w:pStyle w:val="ListParagraph"/>
        <w:numPr>
          <w:ilvl w:val="0"/>
          <w:numId w:val="39"/>
        </w:numPr>
        <w:jc w:val="both"/>
        <w:rPr>
          <w:rFonts w:ascii="Trebuchet MS" w:hAnsi="Trebuchet MS"/>
          <w:color w:val="000000" w:themeColor="text1"/>
          <w:sz w:val="22"/>
          <w:szCs w:val="22"/>
          <w:lang w:val="ro-RO"/>
        </w:rPr>
      </w:pPr>
      <w:r w:rsidRPr="002F5F87">
        <w:rPr>
          <w:rFonts w:ascii="Trebuchet MS" w:hAnsi="Trebuchet MS"/>
          <w:color w:val="000000" w:themeColor="text1"/>
          <w:sz w:val="22"/>
          <w:szCs w:val="22"/>
          <w:lang w:val="ro-RO"/>
        </w:rPr>
        <w:t>Achizitia de bunuri second-hand;</w:t>
      </w:r>
    </w:p>
    <w:p w:rsidR="002F5F87" w:rsidRPr="002F5F87" w:rsidRDefault="002F5F87" w:rsidP="002F5F87">
      <w:pPr>
        <w:pStyle w:val="ListParagraph"/>
        <w:numPr>
          <w:ilvl w:val="0"/>
          <w:numId w:val="39"/>
        </w:numPr>
        <w:jc w:val="both"/>
        <w:rPr>
          <w:rFonts w:ascii="Trebuchet MS" w:hAnsi="Trebuchet MS"/>
          <w:color w:val="000000" w:themeColor="text1"/>
          <w:sz w:val="22"/>
          <w:szCs w:val="22"/>
          <w:lang w:val="ro-RO"/>
        </w:rPr>
      </w:pPr>
      <w:r w:rsidRPr="002F5F87">
        <w:rPr>
          <w:rFonts w:ascii="Trebuchet MS" w:hAnsi="Trebuchet MS"/>
          <w:color w:val="000000" w:themeColor="text1"/>
          <w:sz w:val="22"/>
          <w:szCs w:val="22"/>
          <w:lang w:val="ro-RO"/>
        </w:rPr>
        <w:t>Cheltuieli ocazionate de activitati productive in vederea comercializarii.</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7. Condiţii de eligibilitate</w:t>
      </w:r>
    </w:p>
    <w:p w:rsidR="002F5F87" w:rsidRPr="00E117B6" w:rsidRDefault="002F5F87" w:rsidP="002F5F87">
      <w:pPr>
        <w:rPr>
          <w:color w:val="000000" w:themeColor="text1"/>
          <w:sz w:val="22"/>
        </w:rPr>
      </w:pPr>
      <w:r w:rsidRPr="00E117B6">
        <w:rPr>
          <w:color w:val="000000" w:themeColor="text1"/>
          <w:sz w:val="22"/>
        </w:rPr>
        <w:t>Sunt eligibile toate tipurile de operațiuni care sunt în concordanță cu regulile generale din Regulamentele Europene, prioritățile stabilite pentru dezvoltarea locală – LEADER și obiectivele și prioritățile stabilite în Strategia de Dezvoltare Locală:</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echipamente;</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costume tradiționale, instrumente muzicale, scenă, instalații de sonorizare și lumini, corturi de evenimente (inclusiv dotarea acestora);</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 de rechizite;</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plata experților;</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transport;</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activităților;</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rsidR="002F5F87" w:rsidRPr="00E117B6" w:rsidRDefault="002F5F87" w:rsidP="002F5F87">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alte cheltuieli justificate pentru implementarea proiectului</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t>8. Criterii de selecţie</w:t>
      </w:r>
    </w:p>
    <w:p w:rsidR="002F5F87" w:rsidRPr="00E117B6" w:rsidRDefault="002F5F87" w:rsidP="002F5F87">
      <w:pPr>
        <w:pStyle w:val="ListParagraph"/>
        <w:numPr>
          <w:ilvl w:val="0"/>
          <w:numId w:val="3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etnic al beneficiarilor, cu prioritate pentru populația de etnie romă</w:t>
      </w:r>
    </w:p>
    <w:p w:rsidR="002F5F87" w:rsidRPr="00E117B6" w:rsidRDefault="002F5F87" w:rsidP="002F5F87">
      <w:pPr>
        <w:pStyle w:val="ListParagraph"/>
        <w:numPr>
          <w:ilvl w:val="0"/>
          <w:numId w:val="3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populației țintă; </w:t>
      </w:r>
    </w:p>
    <w:p w:rsidR="002F5F87" w:rsidRPr="00E117B6" w:rsidRDefault="002F5F87" w:rsidP="002F5F87">
      <w:pPr>
        <w:rPr>
          <w:color w:val="000000" w:themeColor="text1"/>
          <w:sz w:val="22"/>
        </w:rPr>
      </w:pPr>
    </w:p>
    <w:p w:rsidR="002F5F87" w:rsidRPr="00330FBE" w:rsidRDefault="002F5F87" w:rsidP="002F5F87">
      <w:pPr>
        <w:rPr>
          <w:b/>
          <w:color w:val="000000" w:themeColor="text1"/>
          <w:sz w:val="22"/>
        </w:rPr>
      </w:pPr>
      <w:r w:rsidRPr="00E117B6">
        <w:rPr>
          <w:b/>
          <w:color w:val="000000" w:themeColor="text1"/>
          <w:sz w:val="22"/>
        </w:rPr>
        <w:t>9. Sume aplicabile şi rata sprijinului</w:t>
      </w:r>
    </w:p>
    <w:p w:rsidR="002F5F87" w:rsidRPr="00E117B6" w:rsidRDefault="002F5F87" w:rsidP="002F5F87">
      <w:pPr>
        <w:rPr>
          <w:color w:val="000000" w:themeColor="text1"/>
          <w:sz w:val="22"/>
        </w:rPr>
      </w:pPr>
      <w:r w:rsidRPr="00E117B6">
        <w:rPr>
          <w:color w:val="000000" w:themeColor="text1"/>
          <w:sz w:val="22"/>
        </w:rPr>
        <w:t>Ponderea maximă a intensității sprijinului public nerambursabil din totalul cheltuielilor eligibile este de până la 100% pentru proiecte înaintate de comune sau organizații non-guvernamentale.</w:t>
      </w:r>
    </w:p>
    <w:p w:rsidR="002F5F87" w:rsidRPr="00E117B6" w:rsidRDefault="002F5F87" w:rsidP="002F5F87">
      <w:pPr>
        <w:pStyle w:val="Default"/>
        <w:jc w:val="both"/>
        <w:rPr>
          <w:rFonts w:ascii="Trebuchet MS" w:eastAsia="Times New Roman" w:hAnsi="Trebuchet MS" w:cs="Times New Roman"/>
          <w:color w:val="000000" w:themeColor="text1"/>
          <w:sz w:val="22"/>
          <w:szCs w:val="22"/>
          <w:lang w:val="ro-RO"/>
        </w:rPr>
      </w:pPr>
    </w:p>
    <w:p w:rsidR="002F5F87" w:rsidRPr="00E117B6" w:rsidRDefault="002F5F87" w:rsidP="002F5F87">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2F5F87" w:rsidRPr="00E117B6" w:rsidTr="00900C65">
        <w:tc>
          <w:tcPr>
            <w:tcW w:w="2660" w:type="dxa"/>
          </w:tcPr>
          <w:p w:rsidR="002F5F87" w:rsidRPr="00E117B6" w:rsidRDefault="002F5F87"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rsidR="002F5F87" w:rsidRPr="00E117B6" w:rsidRDefault="002F5F87"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rsidR="002F5F87" w:rsidRPr="00E117B6" w:rsidRDefault="002F5F87"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2F5F87" w:rsidRPr="00E117B6" w:rsidTr="00900C65">
        <w:trPr>
          <w:trHeight w:val="598"/>
        </w:trPr>
        <w:tc>
          <w:tcPr>
            <w:tcW w:w="2660" w:type="dxa"/>
          </w:tcPr>
          <w:p w:rsidR="002F5F87" w:rsidRPr="00E117B6" w:rsidRDefault="002F5F87"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2F5F87" w:rsidRPr="00E117B6" w:rsidRDefault="002F5F87"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rsidR="002F5F87" w:rsidRPr="00E117B6" w:rsidRDefault="002F5F87"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50</w:t>
            </w:r>
          </w:p>
        </w:tc>
      </w:tr>
      <w:tr w:rsidR="002F5F87" w:rsidRPr="00E117B6" w:rsidTr="00900C65">
        <w:tc>
          <w:tcPr>
            <w:tcW w:w="2660" w:type="dxa"/>
          </w:tcPr>
          <w:p w:rsidR="002F5F87" w:rsidRPr="00E117B6" w:rsidRDefault="002F5F87"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2F5F87" w:rsidRPr="00E117B6" w:rsidRDefault="002F5F87" w:rsidP="00900C65">
            <w:pPr>
              <w:rPr>
                <w:color w:val="000000" w:themeColor="text1"/>
                <w:sz w:val="22"/>
              </w:rPr>
            </w:pPr>
            <w:r w:rsidRPr="00E117B6">
              <w:rPr>
                <w:color w:val="000000" w:themeColor="text1"/>
                <w:sz w:val="22"/>
              </w:rPr>
              <w:t>Număr de locuri de muncă nou create</w:t>
            </w:r>
          </w:p>
        </w:tc>
        <w:tc>
          <w:tcPr>
            <w:tcW w:w="2879" w:type="dxa"/>
          </w:tcPr>
          <w:p w:rsidR="002F5F87" w:rsidRPr="00E117B6" w:rsidRDefault="002F5F87" w:rsidP="00900C65">
            <w:pPr>
              <w:rPr>
                <w:color w:val="000000" w:themeColor="text1"/>
                <w:sz w:val="22"/>
              </w:rPr>
            </w:pPr>
            <w:r w:rsidRPr="00E117B6">
              <w:rPr>
                <w:color w:val="000000" w:themeColor="text1"/>
                <w:sz w:val="22"/>
              </w:rPr>
              <w:t>1</w:t>
            </w:r>
          </w:p>
        </w:tc>
      </w:tr>
      <w:tr w:rsidR="002F5F87" w:rsidRPr="00E117B6" w:rsidTr="00900C65">
        <w:tc>
          <w:tcPr>
            <w:tcW w:w="2660" w:type="dxa"/>
          </w:tcPr>
          <w:p w:rsidR="002F5F87" w:rsidRPr="00E117B6" w:rsidRDefault="002F5F87" w:rsidP="00900C65">
            <w:pPr>
              <w:rPr>
                <w:color w:val="000000" w:themeColor="text1"/>
                <w:sz w:val="22"/>
              </w:rPr>
            </w:pPr>
            <w:r w:rsidRPr="00E117B6">
              <w:rPr>
                <w:color w:val="000000" w:themeColor="text1"/>
                <w:sz w:val="22"/>
              </w:rPr>
              <w:t>6B</w:t>
            </w:r>
          </w:p>
        </w:tc>
        <w:tc>
          <w:tcPr>
            <w:tcW w:w="3471" w:type="dxa"/>
          </w:tcPr>
          <w:p w:rsidR="002F5F87" w:rsidRPr="00E117B6" w:rsidRDefault="002F5F87" w:rsidP="00900C65">
            <w:pPr>
              <w:rPr>
                <w:color w:val="000000" w:themeColor="text1"/>
                <w:sz w:val="22"/>
              </w:rPr>
            </w:pPr>
            <w:r w:rsidRPr="00E117B6">
              <w:rPr>
                <w:color w:val="000000" w:themeColor="text1"/>
                <w:sz w:val="22"/>
              </w:rPr>
              <w:t xml:space="preserve">Cheltuieli publice totale </w:t>
            </w:r>
          </w:p>
        </w:tc>
        <w:tc>
          <w:tcPr>
            <w:tcW w:w="2879" w:type="dxa"/>
          </w:tcPr>
          <w:p w:rsidR="002F5F87" w:rsidRPr="00E117B6" w:rsidRDefault="002F5F87" w:rsidP="00900C65">
            <w:pPr>
              <w:rPr>
                <w:color w:val="000000" w:themeColor="text1"/>
                <w:sz w:val="22"/>
              </w:rPr>
            </w:pPr>
            <w:r w:rsidRPr="00E117B6">
              <w:rPr>
                <w:color w:val="000000" w:themeColor="text1"/>
                <w:sz w:val="22"/>
              </w:rPr>
              <w:t>20.000 Euro</w:t>
            </w:r>
          </w:p>
        </w:tc>
      </w:tr>
    </w:tbl>
    <w:p w:rsidR="002F5F87" w:rsidRPr="00E117B6" w:rsidRDefault="002F5F87" w:rsidP="002F5F87">
      <w:pPr>
        <w:pStyle w:val="Default"/>
        <w:jc w:val="both"/>
        <w:rPr>
          <w:rFonts w:ascii="Trebuchet MS" w:hAnsi="Trebuchet MS"/>
          <w:color w:val="000000" w:themeColor="text1"/>
          <w:sz w:val="22"/>
          <w:szCs w:val="22"/>
          <w:lang w:val="ro-RO"/>
        </w:rPr>
      </w:pPr>
    </w:p>
    <w:p w:rsidR="002F5F87" w:rsidRPr="00E117B6" w:rsidRDefault="002F5F87" w:rsidP="002F5F87">
      <w:pPr>
        <w:rPr>
          <w:b/>
          <w:color w:val="000000" w:themeColor="text1"/>
          <w:sz w:val="22"/>
        </w:rPr>
      </w:pPr>
      <w:r w:rsidRPr="00E117B6">
        <w:rPr>
          <w:b/>
          <w:color w:val="000000" w:themeColor="text1"/>
          <w:sz w:val="22"/>
        </w:rPr>
        <w:t xml:space="preserve">Caracterul inovativ al măsurii </w:t>
      </w:r>
      <w:r w:rsidRPr="00E117B6">
        <w:rPr>
          <w:color w:val="000000" w:themeColor="text1"/>
          <w:sz w:val="22"/>
        </w:rPr>
        <w:t>derivă din următoarele:</w:t>
      </w:r>
    </w:p>
    <w:p w:rsidR="002F5F87" w:rsidRPr="00E117B6" w:rsidRDefault="002F5F87" w:rsidP="002F5F87">
      <w:pPr>
        <w:rPr>
          <w:color w:val="000000" w:themeColor="text1"/>
          <w:sz w:val="22"/>
        </w:rPr>
      </w:pPr>
    </w:p>
    <w:p w:rsidR="002F5F87" w:rsidRPr="00E117B6" w:rsidRDefault="002F5F87" w:rsidP="002F5F87">
      <w:pPr>
        <w:rPr>
          <w:color w:val="000000" w:themeColor="text1"/>
          <w:sz w:val="22"/>
        </w:rPr>
      </w:pPr>
      <w:r w:rsidRPr="00E117B6">
        <w:rPr>
          <w:color w:val="000000" w:themeColor="text1"/>
          <w:sz w:val="22"/>
        </w:rPr>
        <w:t>Asigurarea condițiilor favorabile pentru incluziunea minorităților etnice din mediul rural bazat pe moștenirea culturală, tradiții, obiceiuri, specificități și meșteșuguri sau produse artizanale și culturale ale acestora, cu accent deosebit pe caracterul etnic și în special din etnia romă.</w:t>
      </w:r>
    </w:p>
    <w:p w:rsidR="002F5F87" w:rsidRPr="00E117B6" w:rsidRDefault="002F5F87" w:rsidP="002F5F87">
      <w:pPr>
        <w:rPr>
          <w:color w:val="000000" w:themeColor="text1"/>
          <w:sz w:val="22"/>
        </w:rPr>
      </w:pPr>
    </w:p>
    <w:p w:rsidR="002F5F87" w:rsidRPr="00E117B6" w:rsidRDefault="002F5F87" w:rsidP="002F5F87">
      <w:pPr>
        <w:rPr>
          <w:b/>
          <w:color w:val="000000" w:themeColor="text1"/>
          <w:sz w:val="22"/>
        </w:rPr>
      </w:pPr>
      <w:r w:rsidRPr="00E117B6">
        <w:rPr>
          <w:b/>
          <w:color w:val="000000" w:themeColor="text1"/>
          <w:sz w:val="22"/>
        </w:rPr>
        <w:br w:type="page"/>
      </w:r>
    </w:p>
    <w:p w:rsidR="00A74028" w:rsidRDefault="00A74028">
      <w:pPr>
        <w:spacing w:after="7"/>
        <w:ind w:left="-5"/>
        <w:jc w:val="left"/>
        <w:rPr>
          <w:b/>
          <w:sz w:val="22"/>
        </w:rPr>
      </w:pPr>
    </w:p>
    <w:sectPr w:rsidR="00A74028"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C00" w:rsidRDefault="00944C00">
      <w:pPr>
        <w:spacing w:after="0" w:line="240" w:lineRule="auto"/>
      </w:pPr>
      <w:r>
        <w:separator/>
      </w:r>
    </w:p>
  </w:endnote>
  <w:endnote w:type="continuationSeparator" w:id="0">
    <w:p w:rsidR="00944C00" w:rsidRDefault="0094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C00" w:rsidRDefault="00944C00">
      <w:pPr>
        <w:spacing w:after="0" w:line="240" w:lineRule="auto"/>
      </w:pPr>
      <w:r>
        <w:separator/>
      </w:r>
    </w:p>
  </w:footnote>
  <w:footnote w:type="continuationSeparator" w:id="0">
    <w:p w:rsidR="00944C00" w:rsidRDefault="00944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1F07"/>
    <w:multiLevelType w:val="hybridMultilevel"/>
    <w:tmpl w:val="151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62A85"/>
    <w:multiLevelType w:val="hybridMultilevel"/>
    <w:tmpl w:val="C0D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1142F"/>
    <w:multiLevelType w:val="hybridMultilevel"/>
    <w:tmpl w:val="27C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8C4763"/>
    <w:multiLevelType w:val="hybridMultilevel"/>
    <w:tmpl w:val="B53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1E154F0"/>
    <w:multiLevelType w:val="hybridMultilevel"/>
    <w:tmpl w:val="16448D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6911440"/>
    <w:multiLevelType w:val="hybridMultilevel"/>
    <w:tmpl w:val="238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8653B"/>
    <w:multiLevelType w:val="hybridMultilevel"/>
    <w:tmpl w:val="9D0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002DAE"/>
    <w:multiLevelType w:val="hybridMultilevel"/>
    <w:tmpl w:val="B2D6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8E04C5"/>
    <w:multiLevelType w:val="hybridMultilevel"/>
    <w:tmpl w:val="53D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B7B7E"/>
    <w:multiLevelType w:val="hybridMultilevel"/>
    <w:tmpl w:val="FD28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4"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6" w15:restartNumberingAfterBreak="0">
    <w:nsid w:val="4DB607DB"/>
    <w:multiLevelType w:val="hybridMultilevel"/>
    <w:tmpl w:val="134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FE814EE"/>
    <w:multiLevelType w:val="hybridMultilevel"/>
    <w:tmpl w:val="9A84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6AF25E4"/>
    <w:multiLevelType w:val="hybridMultilevel"/>
    <w:tmpl w:val="B9A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803AC"/>
    <w:multiLevelType w:val="hybridMultilevel"/>
    <w:tmpl w:val="796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D1150"/>
    <w:multiLevelType w:val="hybridMultilevel"/>
    <w:tmpl w:val="AE4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29"/>
  </w:num>
  <w:num w:numId="3">
    <w:abstractNumId w:val="38"/>
  </w:num>
  <w:num w:numId="4">
    <w:abstractNumId w:val="4"/>
  </w:num>
  <w:num w:numId="5">
    <w:abstractNumId w:val="18"/>
  </w:num>
  <w:num w:numId="6">
    <w:abstractNumId w:val="3"/>
  </w:num>
  <w:num w:numId="7">
    <w:abstractNumId w:val="10"/>
  </w:num>
  <w:num w:numId="8">
    <w:abstractNumId w:val="20"/>
  </w:num>
  <w:num w:numId="9">
    <w:abstractNumId w:val="17"/>
  </w:num>
  <w:num w:numId="10">
    <w:abstractNumId w:val="5"/>
  </w:num>
  <w:num w:numId="11">
    <w:abstractNumId w:val="12"/>
  </w:num>
  <w:num w:numId="12">
    <w:abstractNumId w:val="9"/>
  </w:num>
  <w:num w:numId="13">
    <w:abstractNumId w:val="23"/>
  </w:num>
  <w:num w:numId="14">
    <w:abstractNumId w:val="13"/>
  </w:num>
  <w:num w:numId="15">
    <w:abstractNumId w:val="30"/>
  </w:num>
  <w:num w:numId="16">
    <w:abstractNumId w:val="36"/>
  </w:num>
  <w:num w:numId="17">
    <w:abstractNumId w:val="0"/>
  </w:num>
  <w:num w:numId="18">
    <w:abstractNumId w:val="25"/>
  </w:num>
  <w:num w:numId="19">
    <w:abstractNumId w:val="35"/>
  </w:num>
  <w:num w:numId="20">
    <w:abstractNumId w:val="37"/>
  </w:num>
  <w:num w:numId="21">
    <w:abstractNumId w:val="24"/>
  </w:num>
  <w:num w:numId="22">
    <w:abstractNumId w:val="2"/>
  </w:num>
  <w:num w:numId="23">
    <w:abstractNumId w:val="34"/>
  </w:num>
  <w:num w:numId="24">
    <w:abstractNumId w:val="22"/>
  </w:num>
  <w:num w:numId="25">
    <w:abstractNumId w:val="14"/>
  </w:num>
  <w:num w:numId="26">
    <w:abstractNumId w:val="6"/>
  </w:num>
  <w:num w:numId="27">
    <w:abstractNumId w:val="28"/>
  </w:num>
  <w:num w:numId="28">
    <w:abstractNumId w:val="15"/>
  </w:num>
  <w:num w:numId="29">
    <w:abstractNumId w:val="16"/>
  </w:num>
  <w:num w:numId="30">
    <w:abstractNumId w:val="33"/>
  </w:num>
  <w:num w:numId="31">
    <w:abstractNumId w:val="32"/>
  </w:num>
  <w:num w:numId="32">
    <w:abstractNumId w:val="8"/>
  </w:num>
  <w:num w:numId="33">
    <w:abstractNumId w:val="21"/>
  </w:num>
  <w:num w:numId="34">
    <w:abstractNumId w:val="11"/>
  </w:num>
  <w:num w:numId="35">
    <w:abstractNumId w:val="19"/>
  </w:num>
  <w:num w:numId="36">
    <w:abstractNumId w:val="1"/>
  </w:num>
  <w:num w:numId="37">
    <w:abstractNumId w:val="7"/>
  </w:num>
  <w:num w:numId="38">
    <w:abstractNumId w:val="2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032D23"/>
    <w:rsid w:val="00222DA6"/>
    <w:rsid w:val="002F5F87"/>
    <w:rsid w:val="0030345C"/>
    <w:rsid w:val="00341772"/>
    <w:rsid w:val="0037587C"/>
    <w:rsid w:val="003A4BAE"/>
    <w:rsid w:val="00626C51"/>
    <w:rsid w:val="007C407B"/>
    <w:rsid w:val="008D63EA"/>
    <w:rsid w:val="00944C00"/>
    <w:rsid w:val="009B5574"/>
    <w:rsid w:val="009E545C"/>
    <w:rsid w:val="00A433AD"/>
    <w:rsid w:val="00A74028"/>
    <w:rsid w:val="00BA7D4E"/>
    <w:rsid w:val="00CC022B"/>
    <w:rsid w:val="00CF2A84"/>
    <w:rsid w:val="00DD4A4C"/>
    <w:rsid w:val="00E3523B"/>
    <w:rsid w:val="00FB50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42433"/>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customStyle="1" w:styleId="CM4">
    <w:name w:val="CM4"/>
    <w:basedOn w:val="Normal"/>
    <w:next w:val="Normal"/>
    <w:uiPriority w:val="99"/>
    <w:rsid w:val="00CF2A84"/>
    <w:pPr>
      <w:autoSpaceDE w:val="0"/>
      <w:autoSpaceDN w:val="0"/>
      <w:adjustRightInd w:val="0"/>
      <w:spacing w:after="0" w:line="276" w:lineRule="auto"/>
      <w:ind w:left="0" w:firstLine="0"/>
      <w:jc w:val="center"/>
    </w:pPr>
    <w:rPr>
      <w:rFonts w:ascii="Times New Roman" w:eastAsia="Calibri" w:hAnsi="Times New Roman" w:cs="Times New Roman"/>
      <w:color w:val="auto"/>
      <w:szCs w:val="24"/>
      <w:lang w:val="hu-H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BEB5-C603-40CA-A2AF-9685B1F8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1005</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4</cp:revision>
  <dcterms:created xsi:type="dcterms:W3CDTF">2017-08-25T13:59:00Z</dcterms:created>
  <dcterms:modified xsi:type="dcterms:W3CDTF">2017-08-25T14:02:00Z</dcterms:modified>
</cp:coreProperties>
</file>