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D4" w:rsidRPr="00E117B6" w:rsidRDefault="009B55D4" w:rsidP="009B55D4">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Infiintarea de activitati neagricole</w:t>
      </w:r>
    </w:p>
    <w:p w:rsidR="009B55D4" w:rsidRPr="00E117B6" w:rsidRDefault="009B55D4" w:rsidP="009B55D4">
      <w:pPr>
        <w:widowControl w:val="0"/>
        <w:tabs>
          <w:tab w:val="center" w:pos="4510"/>
        </w:tabs>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 xml:space="preserve">Măsura 6.1 / 6A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rsidR="009B55D4" w:rsidRPr="00E117B6" w:rsidRDefault="009B55D4" w:rsidP="009B55D4">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9B55D4" w:rsidRPr="00E117B6" w:rsidRDefault="009B55D4" w:rsidP="009B55D4">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SPRIJIN FORFETAR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pStyle w:val="ListParagraph"/>
        <w:widowControl w:val="0"/>
        <w:numPr>
          <w:ilvl w:val="0"/>
          <w:numId w:val="10"/>
        </w:numPr>
        <w:overflowPunct w:val="0"/>
        <w:autoSpaceDE w:val="0"/>
        <w:autoSpaceDN w:val="0"/>
        <w:adjustRightInd w:val="0"/>
        <w:ind w:right="2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In randul activitatilor non agricole, </w:t>
      </w:r>
      <w:r w:rsidRPr="00E117B6">
        <w:rPr>
          <w:rFonts w:ascii="Trebuchet MS" w:hAnsi="Trebuchet MS"/>
          <w:b/>
          <w:bCs/>
          <w:color w:val="000000" w:themeColor="text1"/>
          <w:sz w:val="22"/>
          <w:szCs w:val="22"/>
          <w:lang w:val="ro-RO"/>
        </w:rPr>
        <w:t xml:space="preserve">atat industria prelucratoare, cat si turismul, sectoare ce  </w:t>
      </w:r>
      <w:r w:rsidRPr="00E117B6">
        <w:rPr>
          <w:rFonts w:ascii="Trebuchet MS" w:hAnsi="Trebuchet MS"/>
          <w:bCs/>
          <w:color w:val="000000" w:themeColor="text1"/>
          <w:sz w:val="22"/>
          <w:szCs w:val="22"/>
          <w:lang w:val="ro-RO"/>
        </w:rPr>
        <w:t>ar putea valorifica resursele si potentialul natural si cultural al zonei</w:t>
      </w:r>
      <w:r w:rsidRPr="00E117B6">
        <w:rPr>
          <w:rFonts w:ascii="Trebuchet MS" w:hAnsi="Trebuchet MS"/>
          <w:b/>
          <w:bCs/>
          <w:color w:val="000000" w:themeColor="text1"/>
          <w:sz w:val="22"/>
          <w:szCs w:val="22"/>
          <w:lang w:val="ro-RO"/>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rFonts w:ascii="Trebuchet MS" w:hAnsi="Trebuchet MS"/>
          <w:bCs/>
          <w:color w:val="000000" w:themeColor="text1"/>
          <w:sz w:val="22"/>
          <w:szCs w:val="22"/>
          <w:lang w:val="ro-RO"/>
        </w:rPr>
        <w:t xml:space="preserve"> </w:t>
      </w:r>
    </w:p>
    <w:p w:rsidR="009B55D4" w:rsidRPr="00E117B6" w:rsidRDefault="009B55D4" w:rsidP="009B55D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Infrastrucura de agrement este insuficientă pentru populația și potențialul turistic de dezvoltare al zonei.</w:t>
      </w:r>
    </w:p>
    <w:p w:rsidR="009B55D4" w:rsidRPr="00E117B6" w:rsidRDefault="009B55D4" w:rsidP="009B55D4">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 activităţi neagricole pentru prima dată (start-up în baza unui plan de afaceri). Măsura contribuie la: ocuparea unei părţi din excedentul de forţă de muncă existent, la diversificarea economiei din teritoriul LEADER, la creşterea veniturilor populaţiei şi a nivelului de trai, la scăderea sărăciei şi la combaterea excluderii sociale.</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9B55D4" w:rsidRPr="00E117B6" w:rsidRDefault="009B55D4" w:rsidP="009B55D4">
      <w:pPr>
        <w:pStyle w:val="Default"/>
        <w:widowControl/>
        <w:numPr>
          <w:ilvl w:val="0"/>
          <w:numId w:val="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rurale,inclusiv crearea si mentinerea de locuri de munca</w:t>
      </w:r>
    </w:p>
    <w:p w:rsidR="009B55D4" w:rsidRPr="00E117B6" w:rsidRDefault="009B55D4" w:rsidP="009B55D4">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9B55D4" w:rsidRPr="00E117B6" w:rsidRDefault="009B55D4" w:rsidP="009B55D4">
      <w:pPr>
        <w:numPr>
          <w:ilvl w:val="0"/>
          <w:numId w:val="2"/>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Diversificarea economiei teritoriul LEADER, dezvoltarea economică a zonei şi eradicarea sărăciei</w:t>
      </w:r>
    </w:p>
    <w:p w:rsidR="009B55D4" w:rsidRPr="00E117B6" w:rsidRDefault="009B55D4" w:rsidP="009B55D4">
      <w:pPr>
        <w:numPr>
          <w:ilvl w:val="0"/>
          <w:numId w:val="2"/>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dezvoltarea serviciilor pentru populaţie şi alte activităţi economice</w:t>
      </w:r>
    </w:p>
    <w:p w:rsidR="009B55D4" w:rsidRPr="00E117B6" w:rsidRDefault="009B55D4" w:rsidP="009B55D4">
      <w:pPr>
        <w:numPr>
          <w:ilvl w:val="0"/>
          <w:numId w:val="2"/>
        </w:numPr>
        <w:tabs>
          <w:tab w:val="left" w:pos="231"/>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crearea de locuri de muncă de calitate în teritoriul LEADER</w:t>
      </w:r>
    </w:p>
    <w:p w:rsidR="009B55D4" w:rsidRPr="00E117B6" w:rsidRDefault="009B55D4" w:rsidP="009B55D4">
      <w:pPr>
        <w:numPr>
          <w:ilvl w:val="0"/>
          <w:numId w:val="2"/>
        </w:numPr>
        <w:tabs>
          <w:tab w:val="left" w:pos="231"/>
        </w:tabs>
        <w:ind w:left="0" w:firstLine="15"/>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  încurajarea menținerii și dezvoltării activităților meșteșugărești tradiționale</w:t>
      </w:r>
    </w:p>
    <w:p w:rsidR="009B55D4" w:rsidRPr="00E117B6" w:rsidRDefault="009B55D4" w:rsidP="009B55D4">
      <w:pPr>
        <w:widowControl w:val="0"/>
        <w:numPr>
          <w:ilvl w:val="0"/>
          <w:numId w:val="2"/>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turismului prin incurajarea infiintarii unor structuri de cazare altele decat pensiunile agroturistice,baza de agrement etc.</w:t>
      </w:r>
    </w:p>
    <w:p w:rsidR="009B55D4" w:rsidRPr="00E117B6" w:rsidRDefault="009B55D4" w:rsidP="009B55D4">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rsidR="009B55D4" w:rsidRPr="00E117B6" w:rsidRDefault="009B55D4" w:rsidP="009B55D4">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r w:rsidRPr="00E117B6">
        <w:rPr>
          <w:rFonts w:ascii="Trebuchet MS" w:hAnsi="Trebuchet MS"/>
          <w:b/>
          <w:color w:val="000000" w:themeColor="text1"/>
          <w:sz w:val="22"/>
          <w:szCs w:val="22"/>
          <w:lang w:val="ro-RO"/>
        </w:rPr>
        <w:t>alineatul 1a, punctul ii)</w:t>
      </w:r>
      <w:r w:rsidRPr="00E117B6">
        <w:rPr>
          <w:rFonts w:ascii="Trebuchet MS" w:hAnsi="Trebuchet MS"/>
          <w:color w:val="000000" w:themeColor="text1"/>
          <w:sz w:val="22"/>
          <w:szCs w:val="22"/>
          <w:lang w:val="ro-RO"/>
        </w:rPr>
        <w:t xml:space="preserve"> activități neagricole in zone rurale</w:t>
      </w:r>
    </w:p>
    <w:p w:rsidR="009B55D4" w:rsidRPr="00E117B6" w:rsidRDefault="009B55D4" w:rsidP="009B55D4">
      <w:pPr>
        <w:widowControl w:val="0"/>
        <w:overflowPunct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6A</w:t>
      </w:r>
      <w:r w:rsidRPr="00E117B6">
        <w:rPr>
          <w:rFonts w:ascii="Trebuchet MS" w:eastAsia="Times New Roman" w:hAnsi="Trebuchet MS"/>
          <w:b/>
          <w:color w:val="000000" w:themeColor="text1"/>
          <w:sz w:val="22"/>
          <w:szCs w:val="22"/>
          <w:lang w:val="ro-RO" w:eastAsia="ro-RO"/>
        </w:rPr>
        <w:t xml:space="preserve"> Facilitarea diversificării, a înfiinţării şi </w:t>
      </w:r>
      <w:r w:rsidRPr="00E117B6">
        <w:rPr>
          <w:rFonts w:ascii="Trebuchet MS" w:eastAsia="Times New Roman" w:hAnsi="Trebuchet MS"/>
          <w:b/>
          <w:color w:val="000000" w:themeColor="text1"/>
          <w:sz w:val="22"/>
          <w:szCs w:val="22"/>
          <w:lang w:val="ro-RO" w:eastAsia="ro-RO"/>
        </w:rPr>
        <w:lastRenderedPageBreak/>
        <w:t>a dezvoltării de întreprinderi mici, precum şi crearea de locuri de muncă</w:t>
      </w:r>
      <w:r w:rsidRPr="00E117B6">
        <w:rPr>
          <w:rFonts w:ascii="Trebuchet MS" w:hAnsi="Trebuchet MS" w:cs="Trebuchet MS"/>
          <w:color w:val="000000" w:themeColor="text1"/>
          <w:sz w:val="22"/>
          <w:szCs w:val="22"/>
          <w:lang w:val="ro-RO"/>
        </w:rPr>
        <w:t>.</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9B55D4" w:rsidRPr="00E117B6" w:rsidRDefault="009B55D4" w:rsidP="009B55D4">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9B55D4" w:rsidRPr="00E117B6" w:rsidRDefault="009B55D4" w:rsidP="009B55D4">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rsidR="009B55D4" w:rsidRPr="00E117B6" w:rsidRDefault="009B55D4" w:rsidP="009B55D4">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9B55D4" w:rsidRPr="00E117B6" w:rsidRDefault="009B55D4" w:rsidP="009B55D4">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M6.1 este complementara cu măsura M6.2 a SDL prin delimitarea tipului de intervenție, astfel dezvoltarea prin investiții a activităților de producție, modernizare a întreprinderilor și turism sunt sprijinită exclusiv de M6.2 în timp ce alte activități de diversificare a economiei rurale neagricole sunt sprijinite forfetar prin M6.1.</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xml:space="preserve">: măsura M6.1 este în sinergie cu </w:t>
      </w:r>
      <w:proofErr w:type="spellStart"/>
      <w:r>
        <w:rPr>
          <w:rFonts w:ascii="Trebuchet MS" w:hAnsi="Trebuchet MS" w:cs="Trebuchet MS"/>
          <w:color w:val="000000" w:themeColor="text1"/>
        </w:rPr>
        <w:t>masurile</w:t>
      </w:r>
      <w:proofErr w:type="spellEnd"/>
      <w:r>
        <w:rPr>
          <w:rFonts w:ascii="Trebuchet MS" w:hAnsi="Trebuchet MS" w:cs="Trebuchet MS"/>
          <w:color w:val="000000" w:themeColor="text1"/>
        </w:rPr>
        <w:t xml:space="preserve"> M6.2,M6.3,M6.4,M6.5, </w:t>
      </w:r>
      <w:r>
        <w:rPr>
          <w:rFonts w:ascii="Trebuchet MS" w:hAnsi="Trebuchet MS" w:cs="Trebuchet MS"/>
          <w:color w:val="000000" w:themeColor="text1"/>
          <w:sz w:val="22"/>
          <w:szCs w:val="22"/>
          <w:lang w:val="ro-RO"/>
        </w:rPr>
        <w:t>contribuind la prioritatea P6:</w:t>
      </w:r>
      <w:r w:rsidRPr="00456578">
        <w:rPr>
          <w:rFonts w:ascii="Trebuchet MS" w:hAnsi="Trebuchet MS"/>
          <w:b/>
          <w:bCs/>
          <w:color w:val="000000" w:themeColor="text1"/>
          <w:sz w:val="22"/>
          <w:szCs w:val="22"/>
          <w:lang w:val="ro-RO"/>
        </w:rPr>
        <w:t xml:space="preserve"> </w:t>
      </w:r>
      <w:r w:rsidRPr="00E117B6">
        <w:rPr>
          <w:rFonts w:ascii="Trebuchet MS" w:hAnsi="Trebuchet MS"/>
          <w:b/>
          <w:bCs/>
          <w:color w:val="000000" w:themeColor="text1"/>
          <w:sz w:val="22"/>
          <w:szCs w:val="22"/>
          <w:lang w:val="ro-RO"/>
        </w:rPr>
        <w:t>Promovarea incluziunii sociale, a reducerii sărăciei și a dezvoltării economice în zonele rurale</w:t>
      </w:r>
      <w:r w:rsidRPr="00E117B6" w:rsidDel="007A53B3">
        <w:rPr>
          <w:rFonts w:ascii="Trebuchet MS" w:hAnsi="Trebuchet MS" w:cs="Trebuchet MS"/>
          <w:color w:val="000000" w:themeColor="text1"/>
          <w:sz w:val="22"/>
          <w:szCs w:val="22"/>
          <w:lang w:val="ro-RO"/>
        </w:rPr>
        <w:t xml:space="preserve">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9B55D4" w:rsidRPr="00E117B6" w:rsidRDefault="009B55D4" w:rsidP="009B55D4">
      <w:pPr>
        <w:widowControl w:val="0"/>
        <w:autoSpaceDE w:val="0"/>
        <w:autoSpaceDN w:val="0"/>
        <w:adjustRightInd w:val="0"/>
        <w:jc w:val="both"/>
        <w:rPr>
          <w:rFonts w:ascii="Trebuchet MS" w:hAnsi="Trebuchet MS"/>
          <w:b/>
          <w:color w:val="000000" w:themeColor="text1"/>
          <w:sz w:val="22"/>
          <w:szCs w:val="22"/>
          <w:u w:val="single"/>
          <w:lang w:val="ro-RO"/>
        </w:rPr>
      </w:pPr>
    </w:p>
    <w:p w:rsidR="009B55D4" w:rsidRPr="00E117B6" w:rsidRDefault="009B55D4" w:rsidP="009B55D4">
      <w:pPr>
        <w:numPr>
          <w:ilvl w:val="0"/>
          <w:numId w:val="3"/>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stimularea activităţilor economice noi din sfera serviciilor turistice, serviciilor pentru populaţie sau pentru alte activităţi economice neagricole din teritoriul GAL;</w:t>
      </w:r>
    </w:p>
    <w:p w:rsidR="009B55D4" w:rsidRPr="00E117B6" w:rsidRDefault="009B55D4" w:rsidP="009B55D4">
      <w:pPr>
        <w:numPr>
          <w:ilvl w:val="0"/>
          <w:numId w:val="3"/>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rsidR="009B55D4" w:rsidRPr="00E117B6" w:rsidRDefault="009B55D4" w:rsidP="009B55D4">
      <w:pPr>
        <w:widowControl w:val="0"/>
        <w:numPr>
          <w:ilvl w:val="0"/>
          <w:numId w:val="3"/>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rsidR="009B55D4" w:rsidRPr="00E117B6" w:rsidRDefault="009B55D4" w:rsidP="009B55D4">
      <w:pPr>
        <w:jc w:val="both"/>
        <w:rPr>
          <w:rFonts w:ascii="Trebuchet MS" w:hAnsi="Trebuchet MS"/>
          <w:color w:val="000000" w:themeColor="text1"/>
          <w:sz w:val="22"/>
          <w:szCs w:val="22"/>
          <w:lang w:val="ro-RO"/>
        </w:rPr>
      </w:pPr>
    </w:p>
    <w:p w:rsidR="009B55D4" w:rsidRDefault="009B55D4" w:rsidP="009B55D4">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Trimiteri la alte acte legislative</w:t>
      </w:r>
    </w:p>
    <w:p w:rsidR="009B55D4" w:rsidRPr="009B55D4" w:rsidRDefault="009B55D4" w:rsidP="009B55D4">
      <w:pPr>
        <w:jc w:val="both"/>
        <w:rPr>
          <w:rFonts w:ascii="Trebuchet MS" w:hAnsi="Trebuchet MS" w:cs="Trebuchet MS"/>
          <w:bCs/>
          <w:color w:val="000000" w:themeColor="text1"/>
          <w:sz w:val="22"/>
          <w:szCs w:val="22"/>
        </w:rPr>
      </w:pPr>
      <w:r w:rsidRPr="00E117B6">
        <w:rPr>
          <w:rFonts w:ascii="Trebuchet MS" w:hAnsi="Trebuchet MS" w:cs="Trebuchet MS"/>
          <w:b/>
          <w:bCs/>
          <w:color w:val="000000" w:themeColor="text1"/>
          <w:sz w:val="22"/>
          <w:szCs w:val="22"/>
          <w:lang w:val="ro-RO"/>
        </w:rPr>
        <w:t xml:space="preserve"> </w:t>
      </w:r>
      <w:r>
        <w:rPr>
          <w:rFonts w:ascii="Trebuchet MS" w:hAnsi="Trebuchet MS" w:cs="Trebuchet MS"/>
          <w:b/>
          <w:bCs/>
          <w:color w:val="000000" w:themeColor="text1"/>
        </w:rPr>
        <w:t>.........</w:t>
      </w:r>
      <w:r w:rsidRPr="009B55D4">
        <w:rPr>
          <w:rFonts w:ascii="Trebuchet MS" w:eastAsia="Trebuchet MS" w:hAnsi="Trebuchet MS" w:cs="Trebuchet MS"/>
          <w:color w:val="000000" w:themeColor="text1"/>
          <w:sz w:val="22"/>
          <w:szCs w:val="22"/>
          <w:u w:val="single" w:color="FF0000"/>
        </w:rPr>
        <w:t xml:space="preserve">HG 226/2015 </w:t>
      </w:r>
      <w:proofErr w:type="spellStart"/>
      <w:r w:rsidRPr="009B55D4">
        <w:rPr>
          <w:rFonts w:ascii="Trebuchet MS" w:eastAsia="Trebuchet MS" w:hAnsi="Trebuchet MS" w:cs="Trebuchet MS"/>
          <w:color w:val="000000" w:themeColor="text1"/>
          <w:sz w:val="22"/>
          <w:szCs w:val="22"/>
          <w:u w:val="single" w:color="FF0000"/>
        </w:rPr>
        <w:t>privind</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stabilirea</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cadrului</w:t>
      </w:r>
      <w:proofErr w:type="spellEnd"/>
      <w:r w:rsidRPr="009B55D4">
        <w:rPr>
          <w:rFonts w:ascii="Trebuchet MS" w:eastAsia="Trebuchet MS" w:hAnsi="Trebuchet MS" w:cs="Trebuchet MS"/>
          <w:color w:val="000000" w:themeColor="text1"/>
          <w:sz w:val="22"/>
          <w:szCs w:val="22"/>
          <w:u w:val="single" w:color="FF0000"/>
        </w:rPr>
        <w:t xml:space="preserve"> general de </w:t>
      </w:r>
      <w:proofErr w:type="spellStart"/>
      <w:r w:rsidRPr="009B55D4">
        <w:rPr>
          <w:rFonts w:ascii="Trebuchet MS" w:eastAsia="Trebuchet MS" w:hAnsi="Trebuchet MS" w:cs="Trebuchet MS"/>
          <w:color w:val="000000" w:themeColor="text1"/>
          <w:sz w:val="22"/>
          <w:szCs w:val="22"/>
          <w:u w:val="single" w:color="FF0000"/>
        </w:rPr>
        <w:t>implementare</w:t>
      </w:r>
      <w:proofErr w:type="spellEnd"/>
      <w:r w:rsidRPr="009B55D4">
        <w:rPr>
          <w:rFonts w:ascii="Trebuchet MS" w:eastAsia="Trebuchet MS" w:hAnsi="Trebuchet MS" w:cs="Trebuchet MS"/>
          <w:color w:val="000000" w:themeColor="text1"/>
          <w:sz w:val="22"/>
          <w:szCs w:val="22"/>
          <w:u w:val="single" w:color="FF0000"/>
        </w:rPr>
        <w:t xml:space="preserve"> a </w:t>
      </w:r>
      <w:proofErr w:type="spellStart"/>
      <w:r w:rsidRPr="009B55D4">
        <w:rPr>
          <w:rFonts w:ascii="Trebuchet MS" w:eastAsia="Trebuchet MS" w:hAnsi="Trebuchet MS" w:cs="Trebuchet MS"/>
          <w:color w:val="000000" w:themeColor="text1"/>
          <w:sz w:val="22"/>
          <w:szCs w:val="22"/>
          <w:u w:val="single" w:color="FF0000"/>
        </w:rPr>
        <w:t>măsurilor</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programului</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național</w:t>
      </w:r>
      <w:proofErr w:type="spellEnd"/>
      <w:r w:rsidRPr="009B55D4">
        <w:rPr>
          <w:rFonts w:ascii="Trebuchet MS" w:eastAsia="Trebuchet MS" w:hAnsi="Trebuchet MS" w:cs="Trebuchet MS"/>
          <w:color w:val="000000" w:themeColor="text1"/>
          <w:sz w:val="22"/>
          <w:szCs w:val="22"/>
        </w:rPr>
        <w:t xml:space="preserve"> </w:t>
      </w:r>
      <w:r w:rsidRPr="009B55D4">
        <w:rPr>
          <w:rFonts w:ascii="Trebuchet MS" w:eastAsia="Trebuchet MS" w:hAnsi="Trebuchet MS" w:cs="Trebuchet MS"/>
          <w:color w:val="000000" w:themeColor="text1"/>
          <w:sz w:val="22"/>
          <w:szCs w:val="22"/>
          <w:u w:val="single" w:color="FF0000"/>
        </w:rPr>
        <w:t xml:space="preserve">de </w:t>
      </w:r>
      <w:proofErr w:type="spellStart"/>
      <w:r w:rsidRPr="009B55D4">
        <w:rPr>
          <w:rFonts w:ascii="Trebuchet MS" w:eastAsia="Trebuchet MS" w:hAnsi="Trebuchet MS" w:cs="Trebuchet MS"/>
          <w:color w:val="000000" w:themeColor="text1"/>
          <w:sz w:val="22"/>
          <w:szCs w:val="22"/>
          <w:u w:val="single" w:color="FF0000"/>
        </w:rPr>
        <w:t>dezvoltare</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rurală</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cofinanțate</w:t>
      </w:r>
      <w:proofErr w:type="spellEnd"/>
      <w:r w:rsidRPr="009B55D4">
        <w:rPr>
          <w:rFonts w:ascii="Trebuchet MS" w:eastAsia="Trebuchet MS" w:hAnsi="Trebuchet MS" w:cs="Trebuchet MS"/>
          <w:color w:val="000000" w:themeColor="text1"/>
          <w:sz w:val="22"/>
          <w:szCs w:val="22"/>
          <w:u w:val="single" w:color="FF0000"/>
        </w:rPr>
        <w:t xml:space="preserve"> din </w:t>
      </w:r>
      <w:proofErr w:type="spellStart"/>
      <w:r w:rsidRPr="009B55D4">
        <w:rPr>
          <w:rFonts w:ascii="Trebuchet MS" w:eastAsia="Trebuchet MS" w:hAnsi="Trebuchet MS" w:cs="Trebuchet MS"/>
          <w:color w:val="000000" w:themeColor="text1"/>
          <w:sz w:val="22"/>
          <w:szCs w:val="22"/>
          <w:u w:val="single" w:color="FF0000"/>
        </w:rPr>
        <w:t>Fondul</w:t>
      </w:r>
      <w:proofErr w:type="spellEnd"/>
      <w:r w:rsidRPr="009B55D4">
        <w:rPr>
          <w:rFonts w:ascii="Trebuchet MS" w:eastAsia="Trebuchet MS" w:hAnsi="Trebuchet MS" w:cs="Trebuchet MS"/>
          <w:color w:val="000000" w:themeColor="text1"/>
          <w:sz w:val="22"/>
          <w:szCs w:val="22"/>
          <w:u w:val="single" w:color="FF0000"/>
        </w:rPr>
        <w:t xml:space="preserve"> European </w:t>
      </w:r>
      <w:proofErr w:type="spellStart"/>
      <w:r w:rsidRPr="009B55D4">
        <w:rPr>
          <w:rFonts w:ascii="Trebuchet MS" w:eastAsia="Trebuchet MS" w:hAnsi="Trebuchet MS" w:cs="Trebuchet MS"/>
          <w:color w:val="000000" w:themeColor="text1"/>
          <w:sz w:val="22"/>
          <w:szCs w:val="22"/>
          <w:u w:val="single" w:color="FF0000"/>
        </w:rPr>
        <w:t>Agricol</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pentru</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Dezvoltare</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Rurală</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și</w:t>
      </w:r>
      <w:proofErr w:type="spellEnd"/>
      <w:r w:rsidRPr="009B55D4">
        <w:rPr>
          <w:rFonts w:ascii="Trebuchet MS" w:eastAsia="Trebuchet MS" w:hAnsi="Trebuchet MS" w:cs="Trebuchet MS"/>
          <w:color w:val="000000" w:themeColor="text1"/>
          <w:sz w:val="22"/>
          <w:szCs w:val="22"/>
          <w:u w:val="single" w:color="FF0000"/>
        </w:rPr>
        <w:t xml:space="preserve"> de la</w:t>
      </w:r>
      <w:r w:rsidRPr="009B55D4">
        <w:rPr>
          <w:rFonts w:ascii="Trebuchet MS" w:eastAsia="Trebuchet MS" w:hAnsi="Trebuchet MS" w:cs="Trebuchet MS"/>
          <w:color w:val="000000" w:themeColor="text1"/>
          <w:sz w:val="22"/>
          <w:szCs w:val="22"/>
        </w:rPr>
        <w:t xml:space="preserve"> </w:t>
      </w:r>
      <w:proofErr w:type="spellStart"/>
      <w:r w:rsidRPr="009B55D4">
        <w:rPr>
          <w:rFonts w:ascii="Trebuchet MS" w:eastAsia="Trebuchet MS" w:hAnsi="Trebuchet MS" w:cs="Trebuchet MS"/>
          <w:color w:val="000000" w:themeColor="text1"/>
          <w:sz w:val="22"/>
          <w:szCs w:val="22"/>
          <w:u w:val="single" w:color="FF0000"/>
        </w:rPr>
        <w:t>bugetul</w:t>
      </w:r>
      <w:proofErr w:type="spellEnd"/>
      <w:r w:rsidRPr="009B55D4">
        <w:rPr>
          <w:rFonts w:ascii="Trebuchet MS" w:eastAsia="Trebuchet MS" w:hAnsi="Trebuchet MS" w:cs="Trebuchet MS"/>
          <w:color w:val="000000" w:themeColor="text1"/>
          <w:sz w:val="22"/>
          <w:szCs w:val="22"/>
          <w:u w:val="single" w:color="FF0000"/>
        </w:rPr>
        <w:t xml:space="preserve"> de stat, cu </w:t>
      </w:r>
      <w:proofErr w:type="spellStart"/>
      <w:r w:rsidRPr="009B55D4">
        <w:rPr>
          <w:rFonts w:ascii="Trebuchet MS" w:eastAsia="Trebuchet MS" w:hAnsi="Trebuchet MS" w:cs="Trebuchet MS"/>
          <w:color w:val="000000" w:themeColor="text1"/>
          <w:sz w:val="22"/>
          <w:szCs w:val="22"/>
          <w:u w:val="single" w:color="FF0000"/>
        </w:rPr>
        <w:t>modificările</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și</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completările</w:t>
      </w:r>
      <w:proofErr w:type="spellEnd"/>
      <w:r w:rsidRPr="009B55D4">
        <w:rPr>
          <w:rFonts w:ascii="Trebuchet MS" w:eastAsia="Trebuchet MS" w:hAnsi="Trebuchet MS" w:cs="Trebuchet MS"/>
          <w:color w:val="000000" w:themeColor="text1"/>
          <w:sz w:val="22"/>
          <w:szCs w:val="22"/>
          <w:u w:val="single" w:color="FF0000"/>
        </w:rPr>
        <w:t xml:space="preserve"> </w:t>
      </w:r>
      <w:proofErr w:type="spellStart"/>
      <w:r w:rsidRPr="009B55D4">
        <w:rPr>
          <w:rFonts w:ascii="Trebuchet MS" w:eastAsia="Trebuchet MS" w:hAnsi="Trebuchet MS" w:cs="Trebuchet MS"/>
          <w:color w:val="000000" w:themeColor="text1"/>
          <w:sz w:val="22"/>
          <w:szCs w:val="22"/>
          <w:u w:val="single" w:color="FF0000"/>
        </w:rPr>
        <w:t>ulterioare</w:t>
      </w:r>
      <w:proofErr w:type="spellEnd"/>
      <w:r w:rsidRPr="009B55D4">
        <w:rPr>
          <w:rFonts w:ascii="Trebuchet MS" w:eastAsia="Trebuchet MS" w:hAnsi="Trebuchet MS" w:cs="Trebuchet MS"/>
          <w:color w:val="000000" w:themeColor="text1"/>
          <w:sz w:val="22"/>
          <w:szCs w:val="22"/>
          <w:u w:val="single" w:color="FF0000"/>
        </w:rPr>
        <w:t>.</w:t>
      </w:r>
      <w:r w:rsidRPr="009B55D4">
        <w:rPr>
          <w:rFonts w:ascii="Trebuchet MS" w:eastAsia="Trebuchet MS" w:hAnsi="Trebuchet MS" w:cs="Trebuchet MS"/>
          <w:color w:val="000000" w:themeColor="text1"/>
          <w:sz w:val="22"/>
          <w:szCs w:val="22"/>
        </w:rPr>
        <w:t xml:space="preserve">  </w:t>
      </w:r>
      <w:r w:rsidRPr="009B55D4">
        <w:rPr>
          <w:rFonts w:ascii="Trebuchet MS" w:hAnsi="Trebuchet MS" w:cs="TimesNewRomanPS-BoldMT"/>
          <w:bCs/>
          <w:sz w:val="22"/>
          <w:szCs w:val="22"/>
        </w:rPr>
        <w:t xml:space="preserve">ORDONANŢĂ DE URGENŢĂ </w:t>
      </w:r>
      <w:proofErr w:type="spellStart"/>
      <w:r w:rsidRPr="009B55D4">
        <w:rPr>
          <w:rFonts w:ascii="Trebuchet MS" w:hAnsi="Trebuchet MS" w:cs="TimesNewRomanPS-BoldMT"/>
          <w:bCs/>
          <w:sz w:val="22"/>
          <w:szCs w:val="22"/>
        </w:rPr>
        <w:t>Nr</w:t>
      </w:r>
      <w:proofErr w:type="spellEnd"/>
      <w:r w:rsidRPr="009B55D4">
        <w:rPr>
          <w:rFonts w:ascii="Trebuchet MS" w:hAnsi="Trebuchet MS" w:cs="TimesNewRomanPS-BoldMT"/>
          <w:bCs/>
          <w:sz w:val="22"/>
          <w:szCs w:val="22"/>
        </w:rPr>
        <w:t xml:space="preserve">. 44 din 16 </w:t>
      </w:r>
      <w:proofErr w:type="spellStart"/>
      <w:r w:rsidRPr="009B55D4">
        <w:rPr>
          <w:rFonts w:ascii="Trebuchet MS" w:hAnsi="Trebuchet MS" w:cs="TimesNewRomanPS-BoldMT"/>
          <w:bCs/>
          <w:sz w:val="22"/>
          <w:szCs w:val="22"/>
        </w:rPr>
        <w:t>aprilie</w:t>
      </w:r>
      <w:proofErr w:type="spellEnd"/>
      <w:r w:rsidRPr="009B55D4">
        <w:rPr>
          <w:rFonts w:ascii="Trebuchet MS" w:hAnsi="Trebuchet MS" w:cs="TimesNewRomanPS-BoldMT"/>
          <w:bCs/>
          <w:sz w:val="22"/>
          <w:szCs w:val="22"/>
        </w:rPr>
        <w:t xml:space="preserve"> 2008 </w:t>
      </w:r>
      <w:proofErr w:type="spellStart"/>
      <w:r w:rsidRPr="009B55D4">
        <w:rPr>
          <w:rFonts w:ascii="Trebuchet MS" w:hAnsi="Trebuchet MS" w:cs="TimesNewRomanPS-BoldMT"/>
          <w:bCs/>
          <w:sz w:val="22"/>
          <w:szCs w:val="22"/>
        </w:rPr>
        <w:t>privind</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desfăşurarea</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activităţilor</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economice</w:t>
      </w:r>
      <w:proofErr w:type="spellEnd"/>
      <w:r w:rsidRPr="009B55D4">
        <w:rPr>
          <w:rFonts w:ascii="Trebuchet MS" w:hAnsi="Trebuchet MS" w:cs="TimesNewRomanPS-BoldMT"/>
          <w:bCs/>
          <w:sz w:val="22"/>
          <w:szCs w:val="22"/>
        </w:rPr>
        <w:t xml:space="preserve"> de </w:t>
      </w:r>
      <w:proofErr w:type="spellStart"/>
      <w:r w:rsidRPr="009B55D4">
        <w:rPr>
          <w:rFonts w:ascii="Trebuchet MS" w:hAnsi="Trebuchet MS" w:cs="TimesNewRomanPS-BoldMT"/>
          <w:bCs/>
          <w:sz w:val="22"/>
          <w:szCs w:val="22"/>
        </w:rPr>
        <w:t>către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persoanele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fizice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autorizate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întreprinderile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individuale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şi</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întreprinderile</w:t>
      </w:r>
      <w:proofErr w:type="spellEnd"/>
      <w:r w:rsidRPr="009B55D4">
        <w:rPr>
          <w:rFonts w:ascii="Trebuchet MS" w:hAnsi="Trebuchet MS" w:cs="TimesNewRomanPS-BoldMT"/>
          <w:bCs/>
          <w:sz w:val="22"/>
          <w:szCs w:val="22"/>
        </w:rPr>
        <w:t xml:space="preserve"> </w:t>
      </w:r>
      <w:proofErr w:type="spellStart"/>
      <w:r w:rsidRPr="009B55D4">
        <w:rPr>
          <w:rFonts w:ascii="Trebuchet MS" w:hAnsi="Trebuchet MS" w:cs="TimesNewRomanPS-BoldMT"/>
          <w:bCs/>
          <w:sz w:val="22"/>
          <w:szCs w:val="22"/>
        </w:rPr>
        <w:t>familiale</w:t>
      </w:r>
      <w:r w:rsidRPr="009B55D4">
        <w:rPr>
          <w:rFonts w:ascii="Trebuchet MS" w:hAnsi="Trebuchet MS" w:cs="Tahoma"/>
          <w:bCs/>
          <w:color w:val="000000"/>
          <w:kern w:val="36"/>
          <w:sz w:val="22"/>
          <w:szCs w:val="22"/>
        </w:rPr>
        <w:t>ORDONANTA</w:t>
      </w:r>
      <w:proofErr w:type="spellEnd"/>
      <w:r w:rsidRPr="009B55D4">
        <w:rPr>
          <w:rFonts w:ascii="Trebuchet MS" w:hAnsi="Trebuchet MS" w:cs="Tahoma"/>
          <w:bCs/>
          <w:color w:val="000000"/>
          <w:kern w:val="36"/>
          <w:sz w:val="22"/>
          <w:szCs w:val="22"/>
        </w:rPr>
        <w:t xml:space="preserve"> DE URGENTA </w:t>
      </w:r>
      <w:proofErr w:type="spellStart"/>
      <w:r w:rsidRPr="009B55D4">
        <w:rPr>
          <w:rFonts w:ascii="Trebuchet MS" w:hAnsi="Trebuchet MS" w:cs="Tahoma"/>
          <w:bCs/>
          <w:color w:val="000000"/>
          <w:kern w:val="36"/>
          <w:sz w:val="22"/>
          <w:szCs w:val="22"/>
        </w:rPr>
        <w:t>nr</w:t>
      </w:r>
      <w:proofErr w:type="spellEnd"/>
      <w:r w:rsidRPr="009B55D4">
        <w:rPr>
          <w:rFonts w:ascii="Trebuchet MS" w:hAnsi="Trebuchet MS" w:cs="Tahoma"/>
          <w:bCs/>
          <w:color w:val="000000"/>
          <w:kern w:val="36"/>
          <w:sz w:val="22"/>
          <w:szCs w:val="22"/>
        </w:rPr>
        <w:t xml:space="preserve">. 142 din 28 </w:t>
      </w:r>
      <w:proofErr w:type="spellStart"/>
      <w:r w:rsidRPr="009B55D4">
        <w:rPr>
          <w:rFonts w:ascii="Trebuchet MS" w:hAnsi="Trebuchet MS" w:cs="Tahoma"/>
          <w:bCs/>
          <w:color w:val="000000"/>
          <w:kern w:val="36"/>
          <w:sz w:val="22"/>
          <w:szCs w:val="22"/>
        </w:rPr>
        <w:t>octombrie</w:t>
      </w:r>
      <w:proofErr w:type="spellEnd"/>
      <w:r w:rsidRPr="009B55D4">
        <w:rPr>
          <w:rFonts w:ascii="Trebuchet MS" w:hAnsi="Trebuchet MS" w:cs="Tahoma"/>
          <w:bCs/>
          <w:color w:val="000000"/>
          <w:kern w:val="36"/>
          <w:sz w:val="22"/>
          <w:szCs w:val="22"/>
        </w:rPr>
        <w:t xml:space="preserve"> 2008 </w:t>
      </w:r>
      <w:proofErr w:type="spellStart"/>
      <w:r w:rsidRPr="009B55D4">
        <w:rPr>
          <w:rFonts w:ascii="Trebuchet MS" w:hAnsi="Trebuchet MS" w:cs="Tahoma"/>
          <w:bCs/>
          <w:color w:val="000000"/>
          <w:kern w:val="36"/>
          <w:sz w:val="22"/>
          <w:szCs w:val="22"/>
        </w:rPr>
        <w:t>privind</w:t>
      </w:r>
      <w:proofErr w:type="spellEnd"/>
      <w:r w:rsidRPr="009B55D4">
        <w:rPr>
          <w:rFonts w:ascii="Trebuchet MS" w:hAnsi="Trebuchet MS" w:cs="Tahoma"/>
          <w:bCs/>
          <w:color w:val="000000"/>
          <w:kern w:val="36"/>
          <w:sz w:val="22"/>
          <w:szCs w:val="22"/>
        </w:rPr>
        <w:t xml:space="preserve"> </w:t>
      </w:r>
      <w:proofErr w:type="spellStart"/>
      <w:r w:rsidRPr="009B55D4">
        <w:rPr>
          <w:rFonts w:ascii="Trebuchet MS" w:hAnsi="Trebuchet MS" w:cs="Tahoma"/>
          <w:bCs/>
          <w:color w:val="000000"/>
          <w:kern w:val="36"/>
          <w:sz w:val="22"/>
          <w:szCs w:val="22"/>
        </w:rPr>
        <w:t>aprobarea</w:t>
      </w:r>
      <w:proofErr w:type="spellEnd"/>
      <w:r w:rsidRPr="009B55D4">
        <w:rPr>
          <w:rFonts w:ascii="Trebuchet MS" w:hAnsi="Trebuchet MS" w:cs="Tahoma"/>
          <w:bCs/>
          <w:color w:val="000000"/>
          <w:kern w:val="36"/>
          <w:sz w:val="22"/>
          <w:szCs w:val="22"/>
        </w:rPr>
        <w:t xml:space="preserve"> </w:t>
      </w:r>
      <w:proofErr w:type="spellStart"/>
      <w:r w:rsidRPr="009B55D4">
        <w:rPr>
          <w:rFonts w:ascii="Trebuchet MS" w:hAnsi="Trebuchet MS" w:cs="Tahoma"/>
          <w:bCs/>
          <w:color w:val="000000"/>
          <w:kern w:val="36"/>
          <w:sz w:val="22"/>
          <w:szCs w:val="22"/>
        </w:rPr>
        <w:t>Planului</w:t>
      </w:r>
      <w:proofErr w:type="spellEnd"/>
      <w:r w:rsidRPr="009B55D4">
        <w:rPr>
          <w:rFonts w:ascii="Trebuchet MS" w:hAnsi="Trebuchet MS" w:cs="Tahoma"/>
          <w:bCs/>
          <w:color w:val="000000"/>
          <w:kern w:val="36"/>
          <w:sz w:val="22"/>
          <w:szCs w:val="22"/>
        </w:rPr>
        <w:t xml:space="preserve"> de </w:t>
      </w:r>
      <w:proofErr w:type="spellStart"/>
      <w:r w:rsidRPr="009B55D4">
        <w:rPr>
          <w:rFonts w:ascii="Trebuchet MS" w:hAnsi="Trebuchet MS" w:cs="Tahoma"/>
          <w:bCs/>
          <w:color w:val="000000"/>
          <w:kern w:val="36"/>
          <w:sz w:val="22"/>
          <w:szCs w:val="22"/>
        </w:rPr>
        <w:t>amenajare</w:t>
      </w:r>
      <w:proofErr w:type="spellEnd"/>
      <w:r w:rsidRPr="009B55D4">
        <w:rPr>
          <w:rFonts w:ascii="Trebuchet MS" w:hAnsi="Trebuchet MS" w:cs="Tahoma"/>
          <w:bCs/>
          <w:color w:val="000000"/>
          <w:kern w:val="36"/>
          <w:sz w:val="22"/>
          <w:szCs w:val="22"/>
        </w:rPr>
        <w:t xml:space="preserve"> a </w:t>
      </w:r>
      <w:proofErr w:type="spellStart"/>
      <w:r w:rsidRPr="009B55D4">
        <w:rPr>
          <w:rFonts w:ascii="Trebuchet MS" w:hAnsi="Trebuchet MS" w:cs="Tahoma"/>
          <w:bCs/>
          <w:color w:val="000000"/>
          <w:kern w:val="36"/>
          <w:sz w:val="22"/>
          <w:szCs w:val="22"/>
        </w:rPr>
        <w:t>teritoriului</w:t>
      </w:r>
      <w:proofErr w:type="spellEnd"/>
      <w:r w:rsidRPr="009B55D4">
        <w:rPr>
          <w:rFonts w:ascii="Trebuchet MS" w:hAnsi="Trebuchet MS" w:cs="Tahoma"/>
          <w:bCs/>
          <w:color w:val="000000"/>
          <w:kern w:val="36"/>
          <w:sz w:val="22"/>
          <w:szCs w:val="22"/>
        </w:rPr>
        <w:t xml:space="preserve"> national </w:t>
      </w:r>
      <w:proofErr w:type="spellStart"/>
      <w:r w:rsidRPr="009B55D4">
        <w:rPr>
          <w:rFonts w:ascii="Trebuchet MS" w:hAnsi="Trebuchet MS" w:cs="Tahoma"/>
          <w:bCs/>
          <w:color w:val="000000"/>
          <w:kern w:val="36"/>
          <w:sz w:val="22"/>
          <w:szCs w:val="22"/>
        </w:rPr>
        <w:t>Sectiunea</w:t>
      </w:r>
      <w:proofErr w:type="spellEnd"/>
      <w:r w:rsidRPr="009B55D4">
        <w:rPr>
          <w:rFonts w:ascii="Trebuchet MS" w:hAnsi="Trebuchet MS" w:cs="Tahoma"/>
          <w:bCs/>
          <w:color w:val="000000"/>
          <w:kern w:val="36"/>
          <w:sz w:val="22"/>
          <w:szCs w:val="22"/>
        </w:rPr>
        <w:t xml:space="preserve"> a VIII-a - zone cu </w:t>
      </w:r>
      <w:proofErr w:type="spellStart"/>
      <w:r w:rsidRPr="009B55D4">
        <w:rPr>
          <w:rFonts w:ascii="Trebuchet MS" w:hAnsi="Trebuchet MS" w:cs="Tahoma"/>
          <w:bCs/>
          <w:color w:val="000000"/>
          <w:kern w:val="36"/>
          <w:sz w:val="22"/>
          <w:szCs w:val="22"/>
        </w:rPr>
        <w:t>resurse</w:t>
      </w:r>
      <w:proofErr w:type="spellEnd"/>
      <w:r w:rsidRPr="009B55D4">
        <w:rPr>
          <w:rFonts w:ascii="Trebuchet MS" w:hAnsi="Trebuchet MS" w:cs="Tahoma"/>
          <w:bCs/>
          <w:color w:val="000000"/>
          <w:kern w:val="36"/>
          <w:sz w:val="22"/>
          <w:szCs w:val="22"/>
        </w:rPr>
        <w:t xml:space="preserve"> </w:t>
      </w:r>
      <w:proofErr w:type="spellStart"/>
      <w:r w:rsidRPr="009B55D4">
        <w:rPr>
          <w:rFonts w:ascii="Trebuchet MS" w:hAnsi="Trebuchet MS" w:cs="Tahoma"/>
          <w:bCs/>
          <w:color w:val="000000"/>
          <w:kern w:val="36"/>
          <w:sz w:val="22"/>
          <w:szCs w:val="22"/>
        </w:rPr>
        <w:t>turistice</w:t>
      </w:r>
      <w:proofErr w:type="spellEnd"/>
    </w:p>
    <w:p w:rsidR="009B55D4" w:rsidRPr="00E117B6" w:rsidRDefault="009B55D4" w:rsidP="009B55D4">
      <w:pPr>
        <w:jc w:val="both"/>
        <w:rPr>
          <w:rFonts w:ascii="Trebuchet MS" w:hAnsi="Trebuchet MS" w:cs="Trebuchet MS"/>
          <w:b/>
          <w:bCs/>
          <w:color w:val="000000" w:themeColor="text1"/>
          <w:sz w:val="22"/>
          <w:szCs w:val="22"/>
          <w:lang w:val="ro-RO"/>
        </w:rPr>
      </w:pPr>
    </w:p>
    <w:p w:rsidR="009B55D4" w:rsidRPr="00E117B6" w:rsidRDefault="009B55D4" w:rsidP="009B55D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nr.1305/2013 cu modificările și completările ulterioare;</w:t>
      </w:r>
    </w:p>
    <w:p w:rsidR="009B55D4" w:rsidRPr="00E117B6" w:rsidRDefault="009B55D4" w:rsidP="009B55D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nr.1303/2013 cu modificările și completările ulterioare;</w:t>
      </w:r>
    </w:p>
    <w:p w:rsidR="009B55D4" w:rsidRPr="00E117B6" w:rsidRDefault="009B55D4" w:rsidP="009B55D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nr.1407/2013 cu modificările și completările ulterioare;</w:t>
      </w:r>
    </w:p>
    <w:p w:rsidR="009B55D4" w:rsidRPr="00E117B6" w:rsidRDefault="009B55D4" w:rsidP="009B55D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nr.807/2014 cu modificările și completările ulterioare;</w:t>
      </w:r>
    </w:p>
    <w:p w:rsidR="009B55D4" w:rsidRPr="00E117B6" w:rsidRDefault="009B55D4" w:rsidP="009B55D4">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9B55D4" w:rsidRPr="00E117B6" w:rsidRDefault="009B55D4" w:rsidP="009B55D4">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9B55D4" w:rsidRPr="00E117B6" w:rsidRDefault="009B55D4" w:rsidP="009B55D4">
      <w:pPr>
        <w:pStyle w:val="Default"/>
        <w:jc w:val="both"/>
        <w:rPr>
          <w:rFonts w:ascii="Trebuchet MS" w:hAnsi="Trebuchet MS"/>
          <w:b/>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s="Trebuchet MS"/>
          <w:b/>
          <w:bCs/>
          <w:color w:val="000000" w:themeColor="text1"/>
          <w:sz w:val="22"/>
          <w:szCs w:val="22"/>
          <w:lang w:val="ro-RO"/>
        </w:rPr>
      </w:pPr>
    </w:p>
    <w:p w:rsidR="009B55D4" w:rsidRPr="00E117B6" w:rsidRDefault="009B55D4" w:rsidP="009B55D4">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4.Beneficiari direcți/indirecți (grup țintă)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tabs>
          <w:tab w:val="left" w:pos="161"/>
        </w:tabs>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Microîntreprinderile, întreprinderile mici (Start-up)</w:t>
      </w:r>
      <w:r w:rsidRPr="00E117B6">
        <w:rPr>
          <w:rFonts w:ascii="Trebuchet MS" w:eastAsia="Times New Roman" w:hAnsi="Trebuchet MS"/>
          <w:color w:val="000000" w:themeColor="text1"/>
          <w:sz w:val="22"/>
          <w:szCs w:val="22"/>
          <w:lang w:val="ro-RO" w:eastAsia="ro-RO"/>
        </w:rPr>
        <w:t xml:space="preserve">.  –art 19. alin. 1, litera a, punctul ii: </w:t>
      </w:r>
    </w:p>
    <w:p w:rsidR="009B55D4" w:rsidRPr="00E117B6" w:rsidRDefault="009B55D4" w:rsidP="009B55D4">
      <w:pPr>
        <w:numPr>
          <w:ilvl w:val="1"/>
          <w:numId w:val="4"/>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Micro-întreprinderi și întreprinderi mici existente din spațiul rural, care își propun activități neagricole, pe care pe care nu le-au mai efectuat până la data aplicării pentru sprijin; </w:t>
      </w:r>
    </w:p>
    <w:p w:rsidR="009B55D4" w:rsidRPr="00E117B6" w:rsidRDefault="009B55D4" w:rsidP="009B55D4">
      <w:pPr>
        <w:numPr>
          <w:ilvl w:val="1"/>
          <w:numId w:val="4"/>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Micro-întreprinderi și întreprinderi mici noi, înființate în anul depunerii aplicației de finanțare sau cu o vechime de maxim 3 ani fiscali, care nu au desfășurat activități până în momentul depunerii acesteia.</w:t>
      </w:r>
    </w:p>
    <w:p w:rsidR="009B55D4" w:rsidRPr="00E117B6" w:rsidRDefault="009B55D4" w:rsidP="009B55D4">
      <w:pPr>
        <w:pStyle w:val="Default"/>
        <w:ind w:left="36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w:t>
      </w:r>
    </w:p>
    <w:p w:rsidR="009B55D4" w:rsidRPr="00E117B6" w:rsidRDefault="009B55D4" w:rsidP="009B55D4">
      <w:pPr>
        <w:tabs>
          <w:tab w:val="left" w:pos="161"/>
        </w:tabs>
        <w:contextualSpacing/>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rsidR="009B55D4" w:rsidRPr="00E117B6" w:rsidRDefault="009B55D4" w:rsidP="009B55D4">
      <w:pPr>
        <w:numPr>
          <w:ilvl w:val="0"/>
          <w:numId w:val="5"/>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rsidR="009B55D4" w:rsidRPr="00E117B6" w:rsidRDefault="009B55D4" w:rsidP="009B55D4">
      <w:pPr>
        <w:numPr>
          <w:ilvl w:val="0"/>
          <w:numId w:val="5"/>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Persoanele din categoria populaţiei active aflate în căutarea unui loc de muncă</w:t>
      </w:r>
    </w:p>
    <w:p w:rsidR="009B55D4" w:rsidRPr="00E117B6" w:rsidRDefault="009B55D4" w:rsidP="009B55D4">
      <w:pPr>
        <w:pStyle w:val="Default"/>
        <w:jc w:val="both"/>
        <w:rPr>
          <w:rFonts w:ascii="Trebuchet MS" w:hAnsi="Trebuchet MS"/>
          <w:b/>
          <w:bC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tabs>
          <w:tab w:val="left" w:pos="180"/>
        </w:tabs>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Sprijinul va fi acordat sub formă de </w:t>
      </w:r>
      <w:r w:rsidRPr="00E117B6">
        <w:rPr>
          <w:rFonts w:ascii="Trebuchet MS" w:eastAsia="Times New Roman" w:hAnsi="Trebuchet MS"/>
          <w:b/>
          <w:color w:val="000000" w:themeColor="text1"/>
          <w:sz w:val="22"/>
          <w:szCs w:val="22"/>
          <w:lang w:val="ro-RO" w:eastAsia="ro-RO"/>
        </w:rPr>
        <w:t>sumă forfetară</w:t>
      </w:r>
      <w:r w:rsidRPr="00E117B6">
        <w:rPr>
          <w:rFonts w:ascii="Trebuchet MS" w:eastAsia="Times New Roman" w:hAnsi="Trebuchet MS"/>
          <w:color w:val="000000" w:themeColor="text1"/>
          <w:sz w:val="22"/>
          <w:szCs w:val="22"/>
          <w:lang w:val="ro-RO" w:eastAsia="ro-RO"/>
        </w:rPr>
        <w:t xml:space="preserve"> pentru finanțarea înfiinţării de noi activități neagricole în teritoriul LEADER pe baza unui plan de afaceri.</w:t>
      </w:r>
    </w:p>
    <w:p w:rsidR="009B55D4" w:rsidRPr="00E117B6" w:rsidRDefault="009B55D4" w:rsidP="009B55D4">
      <w:pPr>
        <w:contextualSpacing/>
        <w:jc w:val="both"/>
        <w:rPr>
          <w:rFonts w:ascii="Trebuchet MS" w:eastAsia="Times New Roman" w:hAnsi="Trebuchet MS"/>
          <w:b/>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Cerințele minime al planului de afaceri:</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Planul de afaceri nu poate cuprinde alte acţiuni din cadrul PNDR 2014-2020, în afara celor specifice prezentei măsuri.</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Acordarea celei de-a doua transe este conditionată de implementarea corectă a obiectivelor stabilite prin Planul de Afaceri. </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În cazul nerespectării planului de afaceri, se recuperează prima transă, proportional în raport cu obiectivele realizate.</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Implementarea planului de afaceri trebuie să înceapă în termen de nouă luni de la data deciziei de acordare a ajutorului.</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Situaţia economica iniţială a beneficiarului</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Descrierea etapelor pentru dezvoltarea activității neagricole</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Modalitatea de gestionare si implementare a planului de afaceri</w:t>
      </w:r>
    </w:p>
    <w:p w:rsidR="009B55D4" w:rsidRPr="00E117B6" w:rsidRDefault="009B55D4" w:rsidP="009B55D4">
      <w:pPr>
        <w:numPr>
          <w:ilvl w:val="0"/>
          <w:numId w:val="6"/>
        </w:numPr>
        <w:contextualSpacing/>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eastAsia="ro-RO"/>
        </w:rPr>
        <w:t>Activitățile previzionate în scopul atingerii obiectivelor specifice propuse prin planul de afaceri</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Default="009B55D4" w:rsidP="009B55D4">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rsidR="009B55D4" w:rsidRPr="009B55D4" w:rsidRDefault="009B55D4" w:rsidP="009B55D4">
      <w:pPr>
        <w:jc w:val="both"/>
        <w:rPr>
          <w:rStyle w:val="Emphasis"/>
          <w:rFonts w:ascii="Trebuchet MS" w:hAnsi="Trebuchet MS"/>
          <w:i w:val="0"/>
          <w:color w:val="000000" w:themeColor="text1"/>
          <w:sz w:val="22"/>
          <w:szCs w:val="22"/>
        </w:rPr>
      </w:pPr>
      <w:r w:rsidRPr="009B55D4">
        <w:rPr>
          <w:rStyle w:val="Emphasis"/>
          <w:rFonts w:ascii="Trebuchet MS" w:hAnsi="Trebuchet MS"/>
          <w:i w:val="0"/>
          <w:color w:val="000000" w:themeColor="text1"/>
          <w:sz w:val="22"/>
          <w:szCs w:val="22"/>
          <w:lang w:val="ro-RO"/>
        </w:rPr>
        <w:t>Actiuni neeligibile:</w:t>
      </w:r>
    </w:p>
    <w:p w:rsidR="009B55D4" w:rsidRPr="009B55D4" w:rsidRDefault="009B55D4" w:rsidP="009B55D4">
      <w:pPr>
        <w:pStyle w:val="ListParagraph"/>
        <w:numPr>
          <w:ilvl w:val="0"/>
          <w:numId w:val="11"/>
        </w:numPr>
        <w:tabs>
          <w:tab w:val="left" w:pos="270"/>
        </w:tabs>
        <w:jc w:val="both"/>
        <w:rPr>
          <w:rFonts w:ascii="Trebuchet MS" w:hAnsi="Trebuchet MS"/>
          <w:color w:val="000000" w:themeColor="text1"/>
          <w:sz w:val="22"/>
          <w:szCs w:val="22"/>
          <w:lang w:val="ro-RO"/>
        </w:rPr>
      </w:pPr>
      <w:r w:rsidRPr="009B55D4">
        <w:rPr>
          <w:rFonts w:ascii="Trebuchet MS" w:hAnsi="Trebuchet MS"/>
          <w:color w:val="000000" w:themeColor="text1"/>
          <w:sz w:val="22"/>
          <w:szCs w:val="22"/>
          <w:lang w:val="ro-RO"/>
        </w:rPr>
        <w:t>Achizitia de echipamente second-hand;</w:t>
      </w:r>
    </w:p>
    <w:p w:rsidR="009B55D4" w:rsidRPr="009B55D4" w:rsidRDefault="009B55D4" w:rsidP="009B55D4">
      <w:pPr>
        <w:pStyle w:val="ListParagraph"/>
        <w:numPr>
          <w:ilvl w:val="0"/>
          <w:numId w:val="11"/>
        </w:numPr>
        <w:tabs>
          <w:tab w:val="left" w:pos="270"/>
        </w:tabs>
        <w:jc w:val="both"/>
        <w:rPr>
          <w:rFonts w:ascii="Trebuchet MS" w:hAnsi="Trebuchet MS"/>
          <w:color w:val="000000" w:themeColor="text1"/>
          <w:sz w:val="22"/>
          <w:szCs w:val="22"/>
          <w:lang w:val="ro-RO"/>
        </w:rPr>
      </w:pPr>
      <w:r w:rsidRPr="009B55D4">
        <w:rPr>
          <w:rFonts w:ascii="Trebuchet MS" w:hAnsi="Trebuchet MS"/>
          <w:color w:val="000000" w:themeColor="text1"/>
          <w:sz w:val="22"/>
          <w:szCs w:val="22"/>
          <w:lang w:val="ro-RO"/>
        </w:rPr>
        <w:t>Achizitia de mijloace de productie destinate activitatilor agricole</w:t>
      </w:r>
    </w:p>
    <w:p w:rsidR="009B55D4" w:rsidRPr="00E117B6" w:rsidRDefault="009B55D4" w:rsidP="009B55D4">
      <w:pPr>
        <w:tabs>
          <w:tab w:val="left" w:pos="270"/>
        </w:tabs>
        <w:ind w:left="36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7.  Condiții de eligibilitate</w:t>
      </w:r>
    </w:p>
    <w:p w:rsidR="009B55D4" w:rsidRPr="00E117B6" w:rsidRDefault="009B55D4" w:rsidP="009B55D4">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Pentru proiectele de tip start-up</w:t>
      </w:r>
    </w:p>
    <w:p w:rsidR="009B55D4" w:rsidRPr="00E117B6" w:rsidRDefault="009B55D4" w:rsidP="009B55D4">
      <w:pPr>
        <w:numPr>
          <w:ilvl w:val="0"/>
          <w:numId w:val="9"/>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se încadreze în categoria beneficiarilor eligibili;</w:t>
      </w:r>
    </w:p>
    <w:p w:rsidR="009B55D4" w:rsidRPr="00E117B6" w:rsidRDefault="009B55D4" w:rsidP="009B55D4">
      <w:pPr>
        <w:numPr>
          <w:ilvl w:val="0"/>
          <w:numId w:val="9"/>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Solicitantul trebuie să prezinte un plan de afaceri;</w:t>
      </w:r>
    </w:p>
    <w:p w:rsidR="009B55D4" w:rsidRPr="00E117B6" w:rsidRDefault="009B55D4" w:rsidP="009B55D4">
      <w:pPr>
        <w:numPr>
          <w:ilvl w:val="0"/>
          <w:numId w:val="9"/>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s="Arial"/>
          <w:color w:val="000000" w:themeColor="text1"/>
          <w:sz w:val="22"/>
          <w:szCs w:val="22"/>
          <w:lang w:val="ro-RO" w:eastAsia="ro-RO"/>
        </w:rPr>
        <w:t>Sediul social trebuie să fie situat în teritoriul GAL iar activitatea va fi desfășurată în teritoriul GAL;</w:t>
      </w:r>
    </w:p>
    <w:p w:rsidR="009B55D4" w:rsidRPr="00E117B6" w:rsidRDefault="009B55D4" w:rsidP="009B55D4">
      <w:pPr>
        <w:numPr>
          <w:ilvl w:val="0"/>
          <w:numId w:val="9"/>
        </w:numPr>
        <w:jc w:val="both"/>
        <w:rPr>
          <w:rFonts w:ascii="Trebuchet MS" w:eastAsia="Times New Roman" w:hAnsi="Trebuchet MS" w:cs="Arial"/>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xml:space="preserve">Implementarea planului de afaceri trebuie să înceapă în termen de nouă luni </w:t>
      </w:r>
      <w:r w:rsidRPr="00E117B6">
        <w:rPr>
          <w:rFonts w:ascii="Trebuchet MS" w:eastAsia="Times New Roman" w:hAnsi="Trebuchet MS" w:cs="Arial"/>
          <w:color w:val="000000" w:themeColor="text1"/>
          <w:sz w:val="22"/>
          <w:szCs w:val="22"/>
          <w:lang w:val="ro-RO" w:eastAsia="ro-RO"/>
        </w:rPr>
        <w:t>de la data deciziei de acordare a sprijinului.</w:t>
      </w:r>
    </w:p>
    <w:p w:rsidR="009B55D4" w:rsidRPr="00E117B6" w:rsidRDefault="009B55D4" w:rsidP="009B55D4">
      <w:pPr>
        <w:pStyle w:val="Default"/>
        <w:widowControl/>
        <w:numPr>
          <w:ilvl w:val="0"/>
          <w:numId w:val="9"/>
        </w:numPr>
        <w:jc w:val="both"/>
        <w:rPr>
          <w:rFonts w:ascii="Trebuchet MS" w:hAnsi="Trebuchet MS" w:cs="Arial"/>
          <w:color w:val="000000" w:themeColor="text1"/>
          <w:sz w:val="22"/>
          <w:szCs w:val="22"/>
          <w:lang w:val="ro-RO" w:eastAsia="ro-RO"/>
        </w:rPr>
      </w:pPr>
      <w:r w:rsidRPr="00E117B6">
        <w:rPr>
          <w:rFonts w:ascii="Trebuchet MS" w:hAnsi="Trebuchet MS" w:cs="Arial"/>
          <w:color w:val="000000" w:themeColor="text1"/>
          <w:sz w:val="22"/>
          <w:szCs w:val="22"/>
          <w:lang w:val="ro-RO" w:eastAsia="ro-RO"/>
        </w:rPr>
        <w:t>Implementarea planului de afaceri cel târziu până la sfârșitul anului 4;</w:t>
      </w:r>
    </w:p>
    <w:p w:rsidR="009B55D4" w:rsidRPr="00E117B6" w:rsidRDefault="00BF7717" w:rsidP="00BF7717">
      <w:pPr>
        <w:widowControl w:val="0"/>
        <w:autoSpaceDE w:val="0"/>
        <w:autoSpaceDN w:val="0"/>
        <w:adjustRightInd w:val="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 xml:space="preserve">      </w:t>
      </w:r>
      <w:bookmarkStart w:id="0" w:name="_GoBack"/>
      <w:bookmarkEnd w:id="0"/>
      <w:r w:rsidR="009B55D4" w:rsidRPr="00E117B6">
        <w:rPr>
          <w:rFonts w:ascii="Trebuchet MS" w:hAnsi="Trebuchet MS" w:cs="Trebuchet MS"/>
          <w:b/>
          <w:bCs/>
          <w:color w:val="000000" w:themeColor="text1"/>
          <w:sz w:val="22"/>
          <w:szCs w:val="22"/>
          <w:lang w:val="ro-RO"/>
        </w:rPr>
        <w:t>8.  Criterii de selecție</w:t>
      </w:r>
    </w:p>
    <w:p w:rsidR="009B55D4" w:rsidRPr="00E117B6" w:rsidRDefault="009B55D4" w:rsidP="009B55D4">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hAnsi="Trebuchet MS"/>
          <w:color w:val="000000" w:themeColor="text1"/>
          <w:sz w:val="22"/>
          <w:szCs w:val="22"/>
          <w:lang w:val="ro-RO"/>
        </w:rPr>
        <w:t>-</w:t>
      </w:r>
      <w:r w:rsidRPr="00E117B6">
        <w:rPr>
          <w:rFonts w:ascii="Trebuchet MS" w:eastAsia="Times New Roman" w:hAnsi="Trebuchet MS"/>
          <w:color w:val="000000" w:themeColor="text1"/>
          <w:sz w:val="22"/>
          <w:szCs w:val="22"/>
          <w:lang w:val="ro-RO" w:eastAsia="ro-RO"/>
        </w:rPr>
        <w:t xml:space="preserve"> Vor fi selectate cu prioritate proiectele care utilizează energia produsă din surse regenerabile;</w:t>
      </w:r>
    </w:p>
    <w:p w:rsidR="009B55D4" w:rsidRPr="00E117B6" w:rsidRDefault="009B55D4" w:rsidP="009B55D4">
      <w:pPr>
        <w:widowControl w:val="0"/>
        <w:autoSpaceDE w:val="0"/>
        <w:autoSpaceDN w:val="0"/>
        <w:adjustRightInd w:val="0"/>
        <w:ind w:left="424"/>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 investitii in diversificarea antreprenoriatului rural;</w:t>
      </w:r>
    </w:p>
    <w:p w:rsidR="009B55D4" w:rsidRPr="00E117B6" w:rsidRDefault="009B55D4" w:rsidP="009B55D4">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rsidR="009B55D4" w:rsidRPr="00E117B6" w:rsidRDefault="009B55D4" w:rsidP="009B55D4">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Arial" w:hAnsi="Arial" w:cs="Arial"/>
          <w:color w:val="000000" w:themeColor="text1"/>
          <w:sz w:val="22"/>
          <w:szCs w:val="22"/>
          <w:lang w:val="ro-RO"/>
        </w:rPr>
        <w:t>ȋ</w:t>
      </w:r>
      <w:r w:rsidRPr="00E117B6">
        <w:rPr>
          <w:rFonts w:ascii="Trebuchet MS" w:hAnsi="Trebuchet MS" w:cs="Trebuchet MS"/>
          <w:color w:val="000000" w:themeColor="text1"/>
          <w:sz w:val="22"/>
          <w:szCs w:val="22"/>
          <w:lang w:val="ro-RO"/>
        </w:rPr>
        <w:t>n ceea ce priveşte tratamentul egal al solicitanților, o mai bună utilizare a resurselor financiare și direcționarea măsurilor în conformitate cu prioritățile Uniunii în materie de dezvoltare rurală.</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9.  Sume (aplicabile) și rata sprijinului </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lang w:val="ro-RO"/>
        </w:rPr>
      </w:pPr>
    </w:p>
    <w:p w:rsidR="009B55D4" w:rsidRPr="00E117B6" w:rsidRDefault="009B55D4" w:rsidP="009B55D4">
      <w:pPr>
        <w:numPr>
          <w:ilvl w:val="0"/>
          <w:numId w:val="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Cuantumul sprijinului este de:</w:t>
      </w:r>
      <w:r w:rsidRPr="00E117B6">
        <w:rPr>
          <w:rFonts w:ascii="Trebuchet MS" w:eastAsia="Times New Roman" w:hAnsi="Trebuchet MS"/>
          <w:b/>
          <w:color w:val="000000" w:themeColor="text1"/>
          <w:sz w:val="22"/>
          <w:szCs w:val="22"/>
          <w:lang w:val="ro-RO" w:eastAsia="ro-RO"/>
        </w:rPr>
        <w:t xml:space="preserve"> </w:t>
      </w:r>
    </w:p>
    <w:p w:rsidR="009B55D4" w:rsidRPr="00E117B6" w:rsidRDefault="009B55D4" w:rsidP="009B55D4">
      <w:pPr>
        <w:numPr>
          <w:ilvl w:val="1"/>
          <w:numId w:val="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 xml:space="preserve">30.000 Euro/proiect pentru startup-uri prestatoare de servicii, fără activități de producție, fără cheltuieli de construcții și/sau montaj; </w:t>
      </w:r>
    </w:p>
    <w:p w:rsidR="009B55D4" w:rsidRPr="00E117B6" w:rsidRDefault="009B55D4" w:rsidP="009B55D4">
      <w:pPr>
        <w:numPr>
          <w:ilvl w:val="1"/>
          <w:numId w:val="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b/>
          <w:color w:val="000000" w:themeColor="text1"/>
          <w:sz w:val="22"/>
          <w:szCs w:val="22"/>
          <w:lang w:val="ro-RO" w:eastAsia="ro-RO"/>
        </w:rPr>
        <w:t xml:space="preserve">70.000 Euro/proiect pentru startup-uri cu activități de producție sau startup-uri prestatoare de servicii cu cheltuieli de construcții și/sau montaj; </w:t>
      </w:r>
    </w:p>
    <w:p w:rsidR="009B55D4" w:rsidRPr="00E117B6" w:rsidRDefault="009B55D4" w:rsidP="009B55D4">
      <w:pPr>
        <w:numPr>
          <w:ilvl w:val="0"/>
          <w:numId w:val="7"/>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Intensitatea sprijinului este de 100% din cuantumul cheltuielilor eligibile.</w:t>
      </w:r>
    </w:p>
    <w:p w:rsidR="009B55D4" w:rsidRPr="00E117B6" w:rsidRDefault="009B55D4" w:rsidP="009B55D4">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Sprijinul se va acorda în 2 rate pe o perioadă de maximum 3 ani, astfel:</w:t>
      </w:r>
    </w:p>
    <w:p w:rsidR="009B55D4" w:rsidRPr="00E117B6" w:rsidRDefault="009B55D4" w:rsidP="009B55D4">
      <w:pPr>
        <w:numPr>
          <w:ilvl w:val="0"/>
          <w:numId w:val="8"/>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75% din cuantumul sprijinului la semnarea deciziei de finanțare;</w:t>
      </w:r>
    </w:p>
    <w:p w:rsidR="009B55D4" w:rsidRPr="00E117B6" w:rsidRDefault="009B55D4" w:rsidP="009B55D4">
      <w:pPr>
        <w:numPr>
          <w:ilvl w:val="0"/>
          <w:numId w:val="8"/>
        </w:numPr>
        <w:contextualSpacing/>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25% in cuantumul sprijinului se va acorda cu condiția implementării corecte a planului de afaceri.</w:t>
      </w:r>
    </w:p>
    <w:p w:rsidR="009B55D4" w:rsidRPr="00E117B6" w:rsidRDefault="009B55D4" w:rsidP="009B55D4">
      <w:pPr>
        <w:autoSpaceDE w:val="0"/>
        <w:autoSpaceDN w:val="0"/>
        <w:adjustRightInd w:val="0"/>
        <w:jc w:val="both"/>
        <w:rPr>
          <w:rFonts w:ascii="Trebuchet MS" w:eastAsia="Times New Roman" w:hAnsi="Trebuchet MS" w:cs="Times-Roman"/>
          <w:color w:val="000000" w:themeColor="text1"/>
          <w:sz w:val="22"/>
          <w:szCs w:val="22"/>
          <w:lang w:val="ro-RO"/>
        </w:rPr>
      </w:pPr>
      <w:r w:rsidRPr="00E117B6">
        <w:rPr>
          <w:rFonts w:ascii="Trebuchet MS" w:eastAsia="Times New Roman" w:hAnsi="Trebuchet MS" w:cs="Times-Roman"/>
          <w:color w:val="000000" w:themeColor="text1"/>
          <w:sz w:val="22"/>
          <w:szCs w:val="22"/>
          <w:lang w:val="ro-RO"/>
        </w:rPr>
        <w:t>Dosarul cererii de plat</w:t>
      </w:r>
      <w:r w:rsidRPr="00E117B6">
        <w:rPr>
          <w:rFonts w:ascii="Trebuchet MS" w:eastAsia="Times New Roman" w:hAnsi="Trebuchet MS" w:cs="TTE2t00"/>
          <w:color w:val="000000" w:themeColor="text1"/>
          <w:sz w:val="22"/>
          <w:szCs w:val="22"/>
          <w:lang w:val="ro-RO"/>
        </w:rPr>
        <w:t xml:space="preserve">ă </w:t>
      </w:r>
      <w:r w:rsidRPr="00E117B6">
        <w:rPr>
          <w:rFonts w:ascii="Trebuchet MS" w:eastAsia="Times New Roman" w:hAnsi="Trebuchet MS" w:cs="Times-Roman"/>
          <w:color w:val="000000" w:themeColor="text1"/>
          <w:sz w:val="22"/>
          <w:szCs w:val="22"/>
          <w:lang w:val="ro-RO"/>
        </w:rPr>
        <w:t>pentru a doua tran</w:t>
      </w:r>
      <w:r w:rsidRPr="00E117B6">
        <w:rPr>
          <w:rFonts w:ascii="Trebuchet MS" w:eastAsia="Times New Roman" w:hAnsi="Trebuchet MS" w:cs="TTE2t00"/>
          <w:color w:val="000000" w:themeColor="text1"/>
          <w:sz w:val="22"/>
          <w:szCs w:val="22"/>
          <w:lang w:val="ro-RO"/>
        </w:rPr>
        <w:t xml:space="preserve">șă </w:t>
      </w:r>
      <w:r w:rsidRPr="00E117B6">
        <w:rPr>
          <w:rFonts w:ascii="Trebuchet MS" w:eastAsia="Times New Roman" w:hAnsi="Trebuchet MS" w:cs="Times-Roman"/>
          <w:color w:val="000000" w:themeColor="text1"/>
          <w:sz w:val="22"/>
          <w:szCs w:val="22"/>
          <w:lang w:val="ro-RO"/>
        </w:rPr>
        <w:t>se depune dup</w:t>
      </w:r>
      <w:r w:rsidRPr="00E117B6">
        <w:rPr>
          <w:rFonts w:ascii="Trebuchet MS" w:eastAsia="Times New Roman" w:hAnsi="Trebuchet MS" w:cs="TTE2t00"/>
          <w:color w:val="000000" w:themeColor="text1"/>
          <w:sz w:val="22"/>
          <w:szCs w:val="22"/>
          <w:lang w:val="ro-RO"/>
        </w:rPr>
        <w:t xml:space="preserve">ă </w:t>
      </w:r>
      <w:r w:rsidRPr="00E117B6">
        <w:rPr>
          <w:rFonts w:ascii="Trebuchet MS" w:eastAsia="Times New Roman" w:hAnsi="Trebuchet MS" w:cs="Times-Roman"/>
          <w:color w:val="000000" w:themeColor="text1"/>
          <w:sz w:val="22"/>
          <w:szCs w:val="22"/>
          <w:lang w:val="ro-RO"/>
        </w:rPr>
        <w:t>îndeplinirea conformit</w:t>
      </w:r>
      <w:r w:rsidRPr="00E117B6">
        <w:rPr>
          <w:rFonts w:ascii="Trebuchet MS" w:eastAsia="Times New Roman" w:hAnsi="Trebuchet MS" w:cs="TTE2t00"/>
          <w:color w:val="000000" w:themeColor="text1"/>
          <w:sz w:val="22"/>
          <w:szCs w:val="22"/>
          <w:lang w:val="ro-RO"/>
        </w:rPr>
        <w:t>ăț</w:t>
      </w:r>
      <w:r w:rsidRPr="00E117B6">
        <w:rPr>
          <w:rFonts w:ascii="Trebuchet MS" w:eastAsia="Times New Roman" w:hAnsi="Trebuchet MS" w:cs="Times-Roman"/>
          <w:color w:val="000000" w:themeColor="text1"/>
          <w:sz w:val="22"/>
          <w:szCs w:val="22"/>
          <w:lang w:val="ro-RO"/>
        </w:rPr>
        <w:t xml:space="preserve">ii </w:t>
      </w:r>
      <w:r w:rsidRPr="00E117B6">
        <w:rPr>
          <w:rFonts w:ascii="Trebuchet MS" w:eastAsia="Times New Roman" w:hAnsi="Trebuchet MS" w:cs="TTE2t00"/>
          <w:color w:val="000000" w:themeColor="text1"/>
          <w:sz w:val="22"/>
          <w:szCs w:val="22"/>
          <w:lang w:val="ro-RO"/>
        </w:rPr>
        <w:t>ș</w:t>
      </w:r>
      <w:r w:rsidRPr="00E117B6">
        <w:rPr>
          <w:rFonts w:ascii="Trebuchet MS" w:eastAsia="Times New Roman" w:hAnsi="Trebuchet MS" w:cs="Times-Roman"/>
          <w:color w:val="000000" w:themeColor="text1"/>
          <w:sz w:val="22"/>
          <w:szCs w:val="22"/>
          <w:lang w:val="ro-RO"/>
        </w:rPr>
        <w:t>i a investi</w:t>
      </w:r>
      <w:r w:rsidRPr="00E117B6">
        <w:rPr>
          <w:rFonts w:ascii="Trebuchet MS" w:eastAsia="Times New Roman" w:hAnsi="Trebuchet MS" w:cs="TTE2t00"/>
          <w:color w:val="000000" w:themeColor="text1"/>
          <w:sz w:val="22"/>
          <w:szCs w:val="22"/>
          <w:lang w:val="ro-RO"/>
        </w:rPr>
        <w:t>ț</w:t>
      </w:r>
      <w:r w:rsidRPr="00E117B6">
        <w:rPr>
          <w:rFonts w:ascii="Trebuchet MS" w:eastAsia="Times New Roman" w:hAnsi="Trebuchet MS" w:cs="Times-Roman"/>
          <w:color w:val="000000" w:themeColor="text1"/>
          <w:sz w:val="22"/>
          <w:szCs w:val="22"/>
          <w:lang w:val="ro-RO"/>
        </w:rPr>
        <w:t>iilor propuse de beneficiar în planul de afaceri, dar nu mai devreme de al doilea an din Planul de afaceri.</w:t>
      </w:r>
    </w:p>
    <w:p w:rsidR="009B55D4" w:rsidRPr="00E117B6" w:rsidRDefault="009B55D4" w:rsidP="009B55D4">
      <w:pPr>
        <w:widowControl w:val="0"/>
        <w:autoSpaceDE w:val="0"/>
        <w:autoSpaceDN w:val="0"/>
        <w:adjustRightInd w:val="0"/>
        <w:ind w:left="420"/>
        <w:jc w:val="both"/>
        <w:rPr>
          <w:rFonts w:ascii="Trebuchet MS" w:hAnsi="Trebuchet MS" w:cs="Trebuchet MS"/>
          <w:b/>
          <w:bCs/>
          <w:color w:val="000000" w:themeColor="text1"/>
          <w:sz w:val="22"/>
          <w:szCs w:val="22"/>
          <w:lang w:val="ro-RO"/>
        </w:rPr>
      </w:pPr>
    </w:p>
    <w:p w:rsidR="009B55D4" w:rsidRPr="00E117B6" w:rsidRDefault="009B55D4" w:rsidP="009B55D4">
      <w:pPr>
        <w:widowControl w:val="0"/>
        <w:autoSpaceDE w:val="0"/>
        <w:autoSpaceDN w:val="0"/>
        <w:adjustRightInd w:val="0"/>
        <w:ind w:left="420"/>
        <w:jc w:val="both"/>
        <w:rPr>
          <w:rFonts w:ascii="Trebuchet MS" w:hAnsi="Trebuchet MS"/>
          <w:color w:val="000000" w:themeColor="text1"/>
          <w:sz w:val="22"/>
          <w:szCs w:val="22"/>
          <w:u w:val="single"/>
          <w:lang w:val="ro-RO"/>
        </w:rPr>
      </w:pPr>
      <w:r w:rsidRPr="00E117B6">
        <w:rPr>
          <w:rFonts w:ascii="Trebuchet MS" w:hAnsi="Trebuchet MS" w:cs="Trebuchet MS"/>
          <w:b/>
          <w:bCs/>
          <w:color w:val="000000" w:themeColor="text1"/>
          <w:sz w:val="22"/>
          <w:szCs w:val="22"/>
          <w:lang w:val="ro-RO"/>
        </w:rPr>
        <w:t>10</w:t>
      </w:r>
      <w:r w:rsidRPr="00E117B6">
        <w:rPr>
          <w:rFonts w:ascii="Trebuchet MS" w:hAnsi="Trebuchet MS" w:cs="Trebuchet MS"/>
          <w:b/>
          <w:bCs/>
          <w:color w:val="000000" w:themeColor="text1"/>
          <w:sz w:val="22"/>
          <w:szCs w:val="22"/>
          <w:u w:val="single"/>
          <w:lang w:val="ro-RO"/>
        </w:rPr>
        <w:t>. Indicatori de monitorizare</w:t>
      </w:r>
    </w:p>
    <w:p w:rsidR="009B55D4" w:rsidRPr="00E117B6" w:rsidRDefault="009B55D4" w:rsidP="009B55D4">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3718"/>
        <w:gridCol w:w="3066"/>
      </w:tblGrid>
      <w:tr w:rsidR="009B55D4" w:rsidRPr="00E117B6" w:rsidTr="0019602F">
        <w:tc>
          <w:tcPr>
            <w:tcW w:w="2310" w:type="dxa"/>
          </w:tcPr>
          <w:p w:rsidR="009B55D4" w:rsidRPr="00E117B6" w:rsidRDefault="009B55D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94" w:type="dxa"/>
          </w:tcPr>
          <w:p w:rsidR="009B55D4" w:rsidRPr="00E117B6" w:rsidRDefault="009B55D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38" w:type="dxa"/>
          </w:tcPr>
          <w:p w:rsidR="009B55D4" w:rsidRPr="00E117B6" w:rsidRDefault="009B55D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9B55D4" w:rsidRPr="00E117B6" w:rsidTr="0019602F">
        <w:trPr>
          <w:trHeight w:val="829"/>
        </w:trPr>
        <w:tc>
          <w:tcPr>
            <w:tcW w:w="2310" w:type="dxa"/>
          </w:tcPr>
          <w:p w:rsidR="009B55D4" w:rsidRPr="00E117B6" w:rsidRDefault="009B55D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94" w:type="dxa"/>
          </w:tcPr>
          <w:p w:rsidR="009B55D4" w:rsidRPr="00E117B6" w:rsidRDefault="009B55D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138" w:type="dxa"/>
          </w:tcPr>
          <w:p w:rsidR="009B55D4" w:rsidRPr="00E117B6" w:rsidRDefault="009B55D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w:t>
            </w:r>
          </w:p>
        </w:tc>
      </w:tr>
      <w:tr w:rsidR="009B55D4" w:rsidRPr="00E117B6" w:rsidTr="0019602F">
        <w:tc>
          <w:tcPr>
            <w:tcW w:w="2310" w:type="dxa"/>
          </w:tcPr>
          <w:p w:rsidR="009B55D4" w:rsidRPr="00E117B6" w:rsidRDefault="009B55D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94" w:type="dxa"/>
          </w:tcPr>
          <w:p w:rsidR="009B55D4" w:rsidRPr="00E117B6" w:rsidRDefault="009B55D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138" w:type="dxa"/>
          </w:tcPr>
          <w:p w:rsidR="009B55D4" w:rsidRPr="00E117B6" w:rsidRDefault="009B55D4"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210.000 Euro </w:t>
            </w:r>
          </w:p>
        </w:tc>
      </w:tr>
    </w:tbl>
    <w:p w:rsidR="009B55D4" w:rsidRPr="00E117B6" w:rsidRDefault="009B55D4" w:rsidP="009B55D4">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w:t>
      </w:r>
      <w:r>
        <w:rPr>
          <w:rFonts w:ascii="Trebuchet MS" w:hAnsi="Trebuchet MS" w:cs="Trebuchet MS"/>
          <w:color w:val="000000" w:themeColor="text1"/>
          <w:sz w:val="22"/>
          <w:szCs w:val="22"/>
          <w:lang w:val="ro-RO"/>
        </w:rPr>
        <w:t>,PFA,IF,</w:t>
      </w:r>
      <w:r w:rsidRPr="00E117B6">
        <w:rPr>
          <w:rFonts w:ascii="Trebuchet MS" w:hAnsi="Trebuchet MS" w:cs="Trebuchet MS"/>
          <w:color w:val="000000" w:themeColor="text1"/>
          <w:sz w:val="22"/>
          <w:szCs w:val="22"/>
          <w:lang w:val="ro-RO"/>
        </w:rPr>
        <w:t xml:space="preserve"> în vederea asigurării eligibilității depunerii cer</w:t>
      </w:r>
      <w:r>
        <w:rPr>
          <w:rFonts w:ascii="Trebuchet MS" w:hAnsi="Trebuchet MS" w:cs="Trebuchet MS"/>
          <w:color w:val="000000" w:themeColor="text1"/>
          <w:sz w:val="22"/>
          <w:szCs w:val="22"/>
          <w:lang w:val="ro-RO"/>
        </w:rPr>
        <w:t>erii de finanțare pe măsura M6.1.</w:t>
      </w:r>
    </w:p>
    <w:p w:rsidR="000E593C" w:rsidRDefault="000E593C"/>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Times-Roman">
    <w:charset w:val="00"/>
    <w:family w:val="auto"/>
    <w:pitch w:val="variable"/>
    <w:sig w:usb0="00000003" w:usb1="00000000" w:usb2="00000000" w:usb3="00000000" w:csb0="00000001" w:csb1="00000000"/>
  </w:font>
  <w:font w:name="TTE2t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8"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8"/>
  </w:num>
  <w:num w:numId="8">
    <w:abstractNumId w:val="10"/>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E8"/>
    <w:rsid w:val="000E593C"/>
    <w:rsid w:val="005B48E8"/>
    <w:rsid w:val="009B55D4"/>
    <w:rsid w:val="00BF77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AB5C"/>
  <w15:chartTrackingRefBased/>
  <w15:docId w15:val="{B56070C8-8F60-4A70-8556-F8288712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D4"/>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D4"/>
    <w:pPr>
      <w:ind w:left="720"/>
      <w:contextualSpacing/>
    </w:pPr>
  </w:style>
  <w:style w:type="paragraph" w:customStyle="1" w:styleId="Default">
    <w:name w:val="Default"/>
    <w:rsid w:val="009B55D4"/>
    <w:pPr>
      <w:widowControl w:val="0"/>
      <w:autoSpaceDE w:val="0"/>
      <w:autoSpaceDN w:val="0"/>
      <w:adjustRightInd w:val="0"/>
      <w:spacing w:after="0" w:line="276" w:lineRule="auto"/>
      <w:jc w:val="center"/>
    </w:pPr>
    <w:rPr>
      <w:rFonts w:ascii="Tahoma" w:hAnsi="Tahoma" w:cs="Tahoma"/>
      <w:color w:val="000000"/>
      <w:sz w:val="24"/>
      <w:szCs w:val="24"/>
      <w:lang w:val="en-US"/>
    </w:rPr>
  </w:style>
  <w:style w:type="character" w:styleId="Emphasis">
    <w:name w:val="Emphasis"/>
    <w:qFormat/>
    <w:rsid w:val="009B5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1445</Words>
  <Characters>8386</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3</cp:revision>
  <dcterms:created xsi:type="dcterms:W3CDTF">2018-02-04T12:10:00Z</dcterms:created>
  <dcterms:modified xsi:type="dcterms:W3CDTF">2018-02-04T12:13:00Z</dcterms:modified>
</cp:coreProperties>
</file>