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0" w:line="3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  <w:rtl/>
        </w:rPr>
        <w:t xml:space="preserve">الخطة التشغيلية</w:t>
      </w:r>
    </w:p>
    <w:p>
      <w:pPr>
        <w:bidi/>
        <w:spacing w:after="300" w:before="0" w:line="300"/>
        <w:jc w:val="center"/>
      </w:pPr>
      <w:r>
        <w:rPr>
          <w:rFonts w:ascii="Arial" w:cs="Arial" w:eastAsia="Arial" w:hAnsi="Arial"/>
          <w:b w:val="false"/>
          <w:color w:val="595959"/>
          <w:sz w:val="24"/>
          <w:szCs w:val="24"/>
          <w:rtl/>
        </w:rPr>
        <w:t xml:space="preserve">العام الدراسي: ........................</w:t>
      </w:r>
    </w:p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1. المقدمة</w:t>
      </w:r>
    </w:p>
    <w:p>
      <w:p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........................................................................................................</w:t>
      </w:r>
    </w:p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2. الرؤية والرسالة والقيم</w:t>
      </w:r>
    </w:p>
    <w:p>
      <w:pPr>
        <w:bidi/>
        <w:spacing w:after="80" w:before="0" w:line="30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الرؤية: 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........................................................................</w:t>
      </w:r>
    </w:p>
    <w:p>
      <w:pPr>
        <w:bidi/>
        <w:spacing w:after="80" w:before="0" w:line="30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الرسالة: 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......................................................................</w:t>
      </w:r>
    </w:p>
    <w:p>
      <w:pPr>
        <w:bidi/>
        <w:spacing w:after="80" w:before="0" w:line="30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القيم: 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.........................................................................</w:t>
      </w:r>
    </w:p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3. الأهداف العامة</w:t>
      </w:r>
    </w:p>
    <w:p>
      <w:p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........................................................................................................</w:t>
      </w:r>
    </w:p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4. مصادر الخطة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الأهداف العامة.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البرامج والمناهج المعتمدة من وزارة التعليم.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الأنظمة والتعليمات الصادرة عن الجهات المختصة.</w:t>
      </w:r>
    </w:p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5. تحليل البيئة الداخلية والخارجية (SWOT)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نقاط القوة (Strengths)</w:t>
            </w:r>
          </w:p>
        </w:tc>
        <w:tc>
          <w:tcPr>
            <w:tcW w:type="dxa" w:w="4819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2E75B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نقاط الضعف (Weaknesses)</w:t>
            </w:r>
          </w:p>
        </w:tc>
      </w:tr>
      <w:tr>
        <w:trPr>
          <w:trHeight w:val="1300" w:hRule="atLeast"/>
        </w:trPr>
        <w:tc>
          <w:tcPr>
            <w:tcW w:type="dxa" w:w="4819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4819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2E75B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الفرص (Opportunities)</w:t>
            </w:r>
          </w:p>
        </w:tc>
        <w:tc>
          <w:tcPr>
            <w:tcW w:type="dxa" w:w="4819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التهديدات (Threats)</w:t>
            </w:r>
          </w:p>
        </w:tc>
      </w:tr>
      <w:tr>
        <w:trPr>
          <w:trHeight w:val="1300" w:hRule="atLeast"/>
        </w:trPr>
        <w:tc>
          <w:tcPr>
            <w:tcW w:type="dxa" w:w="4819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4819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6. تشخيص الواقع</w:t>
      </w:r>
    </w:p>
    <w:p>
      <w:p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تشخيص الواقع من خلال تحديد نقاط القوة، ونقاط الضعف، والفرص، والتهديدات.</w:t>
      </w:r>
    </w:p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7. أبرز القضايا الرئيسية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ضعف التحصيل لدى المتعلمين.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غياب تطبيق القيم في الأنشطة.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ضعف قنوات التواصل مع المستفيدين.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ضعف الشراكة مع المجتمع.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نقص البرامج التدريبية للكادر التعليمي.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ضعف توظيف التكنولوجيا.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سوء إدارة الموارد.</w:t>
      </w:r>
    </w:p>
    <w:p>
      <w:pPr>
        <w:pStyle w:val="ListParagraph"/>
        <w:numPr>
          <w:ilvl w:val="0"/>
          <w:numId w:val="2"/>
        </w:numPr>
        <w:bidi/>
        <w:spacing w:after="8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نقص في الوسائل التعليمية المبتكرة.</w:t>
      </w:r>
    </w:p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8. مجالات التقويم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sz w:val="24"/>
          <w:szCs w:val="24"/>
          <w:rtl/>
        </w:rPr>
        <w:t xml:space="preserve">الإدارة المدرسية، التعليم والتعلم، نواتج التعلم، البيئة المدرسية.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100"/>
        <w:gridCol w:w="1900"/>
        <w:gridCol w:w="1838"/>
      </w:tblGrid>
      <w:tr>
        <w:trPr>
          <w:tblHeader/>
        </w:trPr>
        <w:tc>
          <w:tcPr>
            <w:tcW w:type="dxa" w:w="1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مجال التقويم</w:t>
            </w:r>
          </w:p>
        </w:tc>
        <w:tc>
          <w:tcPr>
            <w:tcW w:type="dxa" w:w="2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العنصر</w:t>
            </w:r>
          </w:p>
        </w:tc>
        <w:tc>
          <w:tcPr>
            <w:tcW w:type="dxa" w:w="21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المؤشرات</w:t>
            </w:r>
          </w:p>
        </w:tc>
        <w:tc>
          <w:tcPr>
            <w:tcW w:type="dxa" w:w="1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أثرها في صياغة الخطة</w:t>
            </w:r>
          </w:p>
        </w:tc>
        <w:tc>
          <w:tcPr>
            <w:tcW w:type="dxa" w:w="18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الأهداف المرتبطة</w:t>
            </w:r>
          </w:p>
        </w:tc>
      </w:tr>
      <w:tr>
        <w:tc>
          <w:tcPr>
            <w:tcW w:type="dxa" w:w="1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DEEA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التعليم والتعلم (مثال)</w:t>
            </w:r>
          </w:p>
        </w:tc>
        <w:tc>
          <w:tcPr>
            <w:tcW w:type="dxa" w:w="2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التخطيط لعمليات التعليم والتعلم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تنويع أساليب التقويم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المحافظة على إدارة الصف</w:t>
            </w:r>
          </w:p>
        </w:tc>
        <w:tc>
          <w:tcPr>
            <w:tcW w:type="dxa" w:w="21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نتائج التقويم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الاحتياج التدريبي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مراجعة الممارسات</w:t>
            </w:r>
          </w:p>
        </w:tc>
        <w:tc>
          <w:tcPr>
            <w:tcW w:type="dxa" w:w="1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تدريب قصير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تبادل الزيارات</w:t>
            </w:r>
          </w:p>
        </w:tc>
        <w:tc>
          <w:tcPr>
            <w:tcW w:type="dxa" w:w="18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1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8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1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8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9. الأهداف العامة والتفصيلية للخطة التشغيلية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00"/>
        <w:gridCol w:w="3238"/>
      </w:tblGrid>
      <w:tr>
        <w:trPr>
          <w:tblHeader/>
        </w:trPr>
        <w:tc>
          <w:tcPr>
            <w:tcW w:type="dxa" w:w="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</w:t>
            </w:r>
          </w:p>
        </w:tc>
        <w:tc>
          <w:tcPr>
            <w:tcW w:type="dxa" w:w="22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الهدف العام</w:t>
            </w:r>
          </w:p>
        </w:tc>
        <w:tc>
          <w:tcPr>
            <w:tcW w:type="dxa" w:w="3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الأهداف التشغيلية</w:t>
            </w:r>
          </w:p>
        </w:tc>
        <w:tc>
          <w:tcPr>
            <w:tcW w:type="dxa" w:w="32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استراتيجيات التنفيذ</w:t>
            </w:r>
          </w:p>
        </w:tc>
      </w:tr>
      <w:tr>
        <w:tc>
          <w:tcPr>
            <w:tcW w:type="dxa" w:w="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22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DEEA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تحسين تجربة المستفيدين</w:t>
            </w:r>
          </w:p>
        </w:tc>
        <w:tc>
          <w:tcPr>
            <w:tcW w:type="dxa" w:w="3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تحسين جودة التواصل والخدمات المقدّمة للأطفال وأسرهم والمعلمات عبر قنوات واضحة وميسّرة.</w:t>
            </w:r>
          </w:p>
        </w:tc>
        <w:tc>
          <w:tcPr>
            <w:tcW w:type="dxa" w:w="32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تطبيق آلية مبتكرة لقياس رضا المستفيدين، ومعالجة الملاحظات وتحويلها إلى فرص تحسين.</w:t>
            </w:r>
          </w:p>
        </w:tc>
      </w:tr>
      <w:tr>
        <w:trPr>
          <w:trHeight w:val="520" w:hRule="atLeast"/>
        </w:trPr>
        <w:tc>
          <w:tcPr>
            <w:tcW w:type="dxa" w:w="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2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2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2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238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10. برامج ومبادرات الخطة التشغيلية</w:t>
      </w:r>
    </w:p>
    <w:tbl>
      <w:tblPr>
        <w:bidiVisual/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0870"/>
      </w:tblGrid>
      <w:tr>
        <w:trPr>
          <w:tblHeader/>
        </w:trPr>
        <w:tc>
          <w:tcPr>
            <w:tcW w:type="dxa" w:w="7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</w:t>
            </w:r>
          </w:p>
        </w:tc>
        <w:tc>
          <w:tcPr>
            <w:tcW w:type="dxa" w:w="3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اسم البرنامج</w:t>
            </w:r>
          </w:p>
        </w:tc>
        <w:tc>
          <w:tcPr>
            <w:tcW w:type="dxa" w:w="108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نبذة عن البرنامج</w:t>
            </w:r>
          </w:p>
        </w:tc>
      </w:tr>
      <w:tr>
        <w:tc>
          <w:tcPr>
            <w:tcW w:type="dxa" w:w="7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3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DEEA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إملاء الهدهد</w:t>
            </w:r>
          </w:p>
        </w:tc>
        <w:tc>
          <w:tcPr>
            <w:tcW w:type="dxa" w:w="108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تدريب الأطفال والمنسوبات على الإملاء الصحيح باستخدام أنشطة وصور مبسّطة، بهدف تنفيذ تجربة تعليمية تفاعلية ممتعة.</w:t>
            </w:r>
          </w:p>
        </w:tc>
      </w:tr>
    </w:tbl>
    <w:p>
      <w:pPr>
        <w:bidi/>
        <w:spacing w:after="120" w:before="240" w:line="300"/>
        <w:jc w:val="start"/>
      </w:pPr>
      <w:r>
        <w:rPr>
          <w:rFonts w:ascii="Arial" w:cs="Arial" w:eastAsia="Arial" w:hAnsi="Arial"/>
          <w:b/>
          <w:bCs/>
          <w:color w:val="1F3864"/>
          <w:sz w:val="24"/>
          <w:szCs w:val="24"/>
          <w:rtl/>
        </w:rPr>
        <w:t xml:space="preserve">الهدف العام: </w:t>
      </w:r>
      <w:r>
        <w:rPr>
          <w:rFonts w:ascii="Arial" w:cs="Arial" w:eastAsia="Arial" w:hAnsi="Arial"/>
          <w:b w:val="false"/>
          <w:sz w:val="24"/>
          <w:szCs w:val="24"/>
          <w:rtl/>
        </w:rPr>
        <w:t xml:space="preserve">ضمان وصول التعليم للجميع.</w:t>
      </w:r>
    </w:p>
    <w:tbl>
      <w:tblPr>
        <w:bidiVisual/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050"/>
        <w:gridCol w:w="1050"/>
        <w:gridCol w:w="1500"/>
        <w:gridCol w:w="1300"/>
        <w:gridCol w:w="1300"/>
        <w:gridCol w:w="1700"/>
        <w:gridCol w:w="1150"/>
        <w:gridCol w:w="1150"/>
        <w:gridCol w:w="1970"/>
      </w:tblGrid>
      <w:tr>
        <w:tc>
          <w:tcPr>
            <w:tcW w:type="dxa" w:w="2400"/>
            <w:gridSpan w:val="2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الهدف التفصيلي</w:t>
            </w:r>
          </w:p>
        </w:tc>
        <w:tc>
          <w:tcPr>
            <w:tcW w:type="dxa" w:w="12170"/>
            <w:gridSpan w:val="9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DEEAF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أن تتمكّن 90% من المعلمات والأطفال من تنفيذ خطة «إملاء الهدهد» باستخدام وسائل مبتكرة.</w:t>
            </w:r>
          </w:p>
        </w:tc>
      </w:tr>
      <w:tr>
        <w:trPr>
          <w:tblHeader/>
        </w:trPr>
        <w:tc>
          <w:tcPr>
            <w:tcW w:type="dxa" w:w="500"/>
            <w:vMerge w:val="restart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</w:t>
            </w:r>
          </w:p>
        </w:tc>
        <w:tc>
          <w:tcPr>
            <w:tcW w:type="dxa" w:w="1900"/>
            <w:vMerge w:val="restart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اسم البرنامج</w:t>
            </w:r>
          </w:p>
        </w:tc>
        <w:tc>
          <w:tcPr>
            <w:tcW w:type="dxa" w:w="2100"/>
            <w:gridSpan w:val="2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زمن التنفيذ</w:t>
            </w:r>
          </w:p>
        </w:tc>
        <w:tc>
          <w:tcPr>
            <w:tcW w:type="dxa" w:w="1500"/>
            <w:vMerge w:val="restart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المستهدفون</w:t>
            </w:r>
          </w:p>
        </w:tc>
        <w:tc>
          <w:tcPr>
            <w:tcW w:type="dxa" w:w="2600"/>
            <w:gridSpan w:val="2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المتطلبات</w:t>
            </w:r>
          </w:p>
        </w:tc>
        <w:tc>
          <w:tcPr>
            <w:tcW w:type="dxa" w:w="1700"/>
            <w:vMerge w:val="restart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أسلوب التنفيذ</w:t>
            </w:r>
          </w:p>
        </w:tc>
        <w:tc>
          <w:tcPr>
            <w:tcW w:type="dxa" w:w="2300"/>
            <w:gridSpan w:val="2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مسؤول التنفيذ</w:t>
            </w:r>
          </w:p>
        </w:tc>
        <w:tc>
          <w:tcPr>
            <w:tcW w:type="dxa" w:w="1970"/>
            <w:vMerge w:val="restart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مؤشر الإنجاز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</w:tcPr>
          <w:p/>
        </w:tc>
        <w:tc>
          <w:tcPr>
            <w:vMerge w:val="continue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</w:tcPr>
          <w:p/>
        </w:tc>
        <w:tc>
          <w:tcPr>
            <w:tcW w:type="dxa" w:w="105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2E75B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من</w:t>
            </w:r>
          </w:p>
        </w:tc>
        <w:tc>
          <w:tcPr>
            <w:tcW w:type="dxa" w:w="105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2E75B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إلى</w:t>
            </w:r>
          </w:p>
        </w:tc>
        <w:tc>
          <w:tcPr>
            <w:vMerge w:val="continue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</w:tcPr>
          <w:p/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2E75B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مالية</w:t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2E75B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غير مالية</w:t>
            </w:r>
          </w:p>
        </w:tc>
        <w:tc>
          <w:tcPr>
            <w:vMerge w:val="continue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</w:tcPr>
          <w:p/>
        </w:tc>
        <w:tc>
          <w:tcPr>
            <w:tcW w:type="dxa" w:w="115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2E75B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رئيس</w:t>
            </w:r>
          </w:p>
        </w:tc>
        <w:tc>
          <w:tcPr>
            <w:tcW w:type="dxa" w:w="115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2E75B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مساند</w:t>
            </w:r>
          </w:p>
        </w:tc>
        <w:tc>
          <w:tcPr>
            <w:vMerge w:val="continue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</w:tcPr>
          <w:p/>
        </w:tc>
      </w:tr>
      <w:tr>
        <w:tc>
          <w:tcPr>
            <w:tcW w:type="dxa" w:w="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1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إملاء الهدهد</w:t>
            </w:r>
          </w:p>
        </w:tc>
        <w:tc>
          <w:tcPr>
            <w:tcW w:type="dxa" w:w="105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05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7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تهيئة، مشاهدة وتكرار</w:t>
            </w:r>
          </w:p>
        </w:tc>
        <w:tc>
          <w:tcPr>
            <w:tcW w:type="dxa" w:w="115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إدارة الروضة</w:t>
            </w:r>
          </w:p>
        </w:tc>
        <w:tc>
          <w:tcPr>
            <w:tcW w:type="dxa" w:w="115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المعلمات</w:t>
            </w:r>
          </w:p>
        </w:tc>
        <w:tc>
          <w:tcPr>
            <w:tcW w:type="dxa" w:w="19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تمكّن 90% من الأطفال من تنفيذ الخطة بإتقان</w:t>
            </w:r>
          </w:p>
        </w:tc>
      </w:tr>
    </w:tbl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11. سجل المخاطر التشغيلية وخطة الاستجابة</w:t>
      </w:r>
    </w:p>
    <w:tbl>
      <w:tblPr>
        <w:bidiVisual/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200"/>
        <w:gridCol w:w="2000"/>
        <w:gridCol w:w="1800"/>
        <w:gridCol w:w="3070"/>
      </w:tblGrid>
      <w:tr>
        <w:trPr>
          <w:tblHeader/>
        </w:trPr>
        <w:tc>
          <w:tcPr>
            <w:tcW w:type="dxa" w:w="2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الخطر المحتمل</w:t>
            </w:r>
          </w:p>
        </w:tc>
        <w:tc>
          <w:tcPr>
            <w:tcW w:type="dxa" w:w="1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مستوى الخطورة</w:t>
            </w:r>
          </w:p>
        </w:tc>
        <w:tc>
          <w:tcPr>
            <w:tcW w:type="dxa" w:w="32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الإجراء الوقائي</w:t>
            </w:r>
          </w:p>
        </w:tc>
        <w:tc>
          <w:tcPr>
            <w:tcW w:type="dxa" w:w="2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المسؤول</w:t>
            </w:r>
          </w:p>
        </w:tc>
        <w:tc>
          <w:tcPr>
            <w:tcW w:type="dxa" w:w="18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دورية المتابعة</w:t>
            </w:r>
          </w:p>
        </w:tc>
        <w:tc>
          <w:tcPr>
            <w:tcW w:type="dxa" w:w="30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الشاهد</w:t>
            </w:r>
          </w:p>
        </w:tc>
      </w:tr>
      <w:tr>
        <w:tc>
          <w:tcPr>
            <w:tcW w:type="dxa" w:w="2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ارتفاع نسبة الغياب</w:t>
            </w:r>
          </w:p>
        </w:tc>
        <w:tc>
          <w:tcPr>
            <w:tcW w:type="dxa" w:w="1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  <w:rtl/>
              </w:rPr>
              <w:t xml:space="preserve">عالٍ</w:t>
            </w:r>
          </w:p>
        </w:tc>
        <w:tc>
          <w:tcPr>
            <w:tcW w:type="dxa" w:w="32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8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أسبوعي</w:t>
            </w:r>
          </w:p>
        </w:tc>
        <w:tc>
          <w:tcPr>
            <w:tcW w:type="dxa" w:w="30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سجل المتابعة</w:t>
            </w:r>
          </w:p>
        </w:tc>
      </w:tr>
      <w:tr>
        <w:tc>
          <w:tcPr>
            <w:tcW w:type="dxa" w:w="2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نقص الصيانة</w:t>
            </w:r>
          </w:p>
        </w:tc>
        <w:tc>
          <w:tcPr>
            <w:tcW w:type="dxa" w:w="1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  <w:rtl/>
              </w:rPr>
              <w:t xml:space="preserve">متوسط</w:t>
            </w:r>
          </w:p>
        </w:tc>
        <w:tc>
          <w:tcPr>
            <w:tcW w:type="dxa" w:w="32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8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شهري</w:t>
            </w:r>
          </w:p>
        </w:tc>
        <w:tc>
          <w:tcPr>
            <w:tcW w:type="dxa" w:w="30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تحليل النتائج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>المحاضر والمراسلات</w:t>
            </w:r>
          </w:p>
        </w:tc>
      </w:tr>
      <w:tr>
        <w:trPr>
          <w:trHeight w:val="520" w:hRule="atLeast"/>
        </w:trPr>
        <w:tc>
          <w:tcPr>
            <w:tcW w:type="dxa" w:w="2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6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2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8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0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</w:tbl>
    <w:p>
      <w:pPr>
        <w:pStyle w:val="Heading1"/>
        <w:pBdr>
          <w:bottom w:val="single" w:color="2E75B6" w:sz="8" w:space="4"/>
        </w:pBdr>
        <w:bidi/>
        <w:spacing w:after="140" w:before="280"/>
        <w:jc w:val="star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12. نموذج المتابعة الشهرية للبرامج</w:t>
      </w:r>
    </w:p>
    <w:tbl>
      <w:tblPr>
        <w:bidiVisual/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300"/>
        <w:gridCol w:w="1300"/>
        <w:gridCol w:w="1400"/>
        <w:gridCol w:w="2700"/>
        <w:gridCol w:w="2900"/>
        <w:gridCol w:w="2070"/>
      </w:tblGrid>
      <w:tr>
        <w:trPr>
          <w:tblHeader/>
        </w:trPr>
        <w:tc>
          <w:tcPr>
            <w:tcW w:type="dxa" w:w="1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الشهر</w:t>
            </w:r>
          </w:p>
        </w:tc>
        <w:tc>
          <w:tcPr>
            <w:tcW w:type="dxa" w:w="14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عدد البرامج</w:t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المنفّذ</w:t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المتعثّر</w:t>
            </w:r>
          </w:p>
        </w:tc>
        <w:tc>
          <w:tcPr>
            <w:tcW w:type="dxa" w:w="14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نسبة الإنجاز</w:t>
            </w:r>
          </w:p>
        </w:tc>
        <w:tc>
          <w:tcPr>
            <w:tcW w:type="dxa" w:w="27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أسباب التعثّر</w:t>
            </w:r>
          </w:p>
        </w:tc>
        <w:tc>
          <w:tcPr>
            <w:tcW w:type="dxa" w:w="2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الإجراءات التحسينية</w:t>
            </w:r>
          </w:p>
        </w:tc>
        <w:tc>
          <w:tcPr>
            <w:tcW w:type="dxa" w:w="20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shd w:fill="1F38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المسؤول</w:t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7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0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7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0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7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0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5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4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7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90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070"/>
            <w:tcBorders>
              <w:top w:val="single" w:color="8EAADB" w:sz="6"/>
              <w:left w:val="single" w:color="8EAADB" w:sz="6"/>
              <w:bottom w:val="single" w:color="8EAADB" w:sz="6"/>
              <w:right w:val="single" w:color="8EAADB" w:sz="6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sz w:val="22"/>
                <w:szCs w:val="22"/>
                <w:rtl/>
              </w:rPr>
              <w:t xml:space="preserve"/>
            </w:r>
          </w:p>
        </w:tc>
      </w:tr>
    </w:tbl>
    <w:sectPr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الخطة التشغيلية</dc:title>
  <dc:creator>الخطة التشغيلية</dc:creator>
  <cp:lastModifiedBy>Un-named</cp:lastModifiedBy>
  <cp:revision>1</cp:revision>
  <dcterms:created xsi:type="dcterms:W3CDTF">2026-10-18T08:03:50.609Z</dcterms:created>
  <dcterms:modified xsi:type="dcterms:W3CDTF">2026-10-18T08:03:50.613Z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