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Diseño de PCB’S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t xml:space="preserve">Para el Proyecto se diseñaron tarjetas de circuito impreso (PCB),El circuito impreso se utiliza para conectar eléctricamente a través de las pistas conductoras, y sostener mecánicamente, por medio de la base, un conjunto de componentes electrónicos. Las pistas son generalmente de cobre mientras que la base se fabrica generalmente de resinas de fibra de vidrio reforzada, Pertinax, cerámica, plástico, teflón o polímeros como la baquelita.</w:t>
      </w:r>
    </w:p>
    <w:p w:rsidR="00000000" w:rsidDel="00000000" w:rsidP="00000000" w:rsidRDefault="00000000" w:rsidRPr="00000000" w14:paraId="00000004">
      <w:pPr>
        <w:rPr/>
      </w:pPr>
      <w:r w:rsidDel="00000000" w:rsidR="00000000" w:rsidRPr="00000000">
        <w:rPr>
          <w:rtl w:val="0"/>
        </w:rPr>
        <w:t xml:space="preserve">Para llevar a cabo esta tarea se utilizó un software de código abierto (Open-Source) llamado kiCad, el cual incorpora un elegante conjunto de herramientas de software independiente.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Desarrollo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El primer paso es tener el diagrama a bloques de cómo se realizará la conexión de todos los dispositivos empleados, en este caso  tarjeta Raspberry , Arduino Mega 2560, ESP8266, Servo motores, Motores Brushless, y chip MPU6050.</w:t>
      </w:r>
    </w:p>
    <w:p w:rsidR="00000000" w:rsidDel="00000000" w:rsidP="00000000" w:rsidRDefault="00000000" w:rsidRPr="00000000" w14:paraId="00000009">
      <w:pPr>
        <w:ind w:left="720" w:firstLine="0"/>
        <w:jc w:val="center"/>
        <w:rPr/>
      </w:pPr>
      <w:r w:rsidDel="00000000" w:rsidR="00000000" w:rsidRPr="00000000">
        <w:rPr>
          <w:rtl w:val="0"/>
        </w:rPr>
      </w:r>
    </w:p>
    <w:p w:rsidR="00000000" w:rsidDel="00000000" w:rsidP="00000000" w:rsidRDefault="00000000" w:rsidRPr="00000000" w14:paraId="0000000A">
      <w:pPr>
        <w:ind w:left="720" w:firstLine="0"/>
        <w:jc w:val="cente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Utilizando la herramienta de KiCad schematic layout editor se realizó el diagrama eléctrico. En este paso se agrega el Arduino Mega,los pines de conexión para los dispositivos y se asignan los footprint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jc w:val="cente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ind w:left="720" w:firstLine="0"/>
        <w:jc w:val="cente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spacing w:after="320" w:lineRule="auto"/>
        <w:rPr>
          <w:color w:val="303030"/>
        </w:rPr>
      </w:pPr>
      <w:r w:rsidDel="00000000" w:rsidR="00000000" w:rsidRPr="00000000">
        <w:rPr>
          <w:color w:val="303030"/>
          <w:rtl w:val="0"/>
        </w:rPr>
        <w:t xml:space="preserve">Características</w:t>
      </w:r>
    </w:p>
    <w:p w:rsidR="00000000" w:rsidDel="00000000" w:rsidP="00000000" w:rsidRDefault="00000000" w:rsidRPr="00000000" w14:paraId="00000016">
      <w:pPr>
        <w:numPr>
          <w:ilvl w:val="0"/>
          <w:numId w:val="2"/>
        </w:numPr>
        <w:pBdr>
          <w:top w:color="auto" w:space="1" w:sz="0" w:val="none"/>
          <w:bottom w:color="auto" w:space="1" w:sz="0" w:val="none"/>
          <w:right w:color="auto" w:space="0" w:sz="0" w:val="none"/>
          <w:between w:color="auto" w:space="1" w:sz="0" w:val="none"/>
        </w:pBdr>
        <w:ind w:left="720" w:hanging="360"/>
        <w:rPr>
          <w:color w:val="000000"/>
          <w:sz w:val="20"/>
          <w:szCs w:val="20"/>
        </w:rPr>
      </w:pPr>
      <w:r w:rsidDel="00000000" w:rsidR="00000000" w:rsidRPr="00000000">
        <w:rPr>
          <w:sz w:val="20"/>
          <w:szCs w:val="20"/>
          <w:rtl w:val="0"/>
        </w:rPr>
        <w:t xml:space="preserve">Cobre: 1oz.</w:t>
      </w:r>
    </w:p>
    <w:p w:rsidR="00000000" w:rsidDel="00000000" w:rsidP="00000000" w:rsidRDefault="00000000" w:rsidRPr="00000000" w14:paraId="00000017">
      <w:pPr>
        <w:numPr>
          <w:ilvl w:val="0"/>
          <w:numId w:val="2"/>
        </w:numPr>
        <w:pBdr>
          <w:top w:color="auto" w:space="1" w:sz="0" w:val="none"/>
          <w:bottom w:color="auto" w:space="1" w:sz="0" w:val="none"/>
          <w:right w:color="auto" w:space="0" w:sz="0" w:val="none"/>
          <w:between w:color="auto" w:space="1" w:sz="0" w:val="none"/>
        </w:pBdr>
        <w:ind w:left="720" w:hanging="360"/>
        <w:rPr>
          <w:color w:val="000000"/>
          <w:sz w:val="20"/>
          <w:szCs w:val="20"/>
        </w:rPr>
      </w:pPr>
      <w:r w:rsidDel="00000000" w:rsidR="00000000" w:rsidRPr="00000000">
        <w:rPr>
          <w:sz w:val="20"/>
          <w:szCs w:val="20"/>
          <w:rtl w:val="0"/>
        </w:rPr>
        <w:t xml:space="preserve">grosor 1.66 mm</w:t>
      </w:r>
    </w:p>
    <w:p w:rsidR="00000000" w:rsidDel="00000000" w:rsidP="00000000" w:rsidRDefault="00000000" w:rsidRPr="00000000" w14:paraId="00000018">
      <w:pPr>
        <w:numPr>
          <w:ilvl w:val="0"/>
          <w:numId w:val="2"/>
        </w:numPr>
        <w:pBdr>
          <w:top w:color="auto" w:space="1" w:sz="0" w:val="none"/>
          <w:bottom w:color="auto" w:space="1" w:sz="0" w:val="none"/>
          <w:right w:color="auto" w:space="0" w:sz="0" w:val="none"/>
          <w:between w:color="auto" w:space="1" w:sz="0" w:val="none"/>
        </w:pBdr>
        <w:ind w:left="720" w:hanging="360"/>
        <w:rPr>
          <w:color w:val="000000"/>
          <w:sz w:val="20"/>
          <w:szCs w:val="20"/>
        </w:rPr>
      </w:pPr>
      <w:r w:rsidDel="00000000" w:rsidR="00000000" w:rsidRPr="00000000">
        <w:rPr>
          <w:sz w:val="20"/>
          <w:szCs w:val="20"/>
          <w:rtl w:val="0"/>
        </w:rPr>
        <w:t xml:space="preserve">Caras: 2 de cobre idénticas</w:t>
      </w:r>
    </w:p>
    <w:p w:rsidR="00000000" w:rsidDel="00000000" w:rsidP="00000000" w:rsidRDefault="00000000" w:rsidRPr="00000000" w14:paraId="00000019">
      <w:pPr>
        <w:numPr>
          <w:ilvl w:val="0"/>
          <w:numId w:val="2"/>
        </w:numPr>
        <w:pBdr>
          <w:top w:color="auto" w:space="1" w:sz="0" w:val="none"/>
          <w:bottom w:color="auto" w:space="1" w:sz="0" w:val="none"/>
          <w:right w:color="auto" w:space="0" w:sz="0" w:val="none"/>
          <w:between w:color="auto" w:space="1" w:sz="0" w:val="none"/>
        </w:pBdr>
        <w:ind w:left="720" w:hanging="360"/>
        <w:rPr>
          <w:color w:val="000000"/>
          <w:sz w:val="20"/>
          <w:szCs w:val="20"/>
        </w:rPr>
      </w:pPr>
      <w:r w:rsidDel="00000000" w:rsidR="00000000" w:rsidRPr="00000000">
        <w:rPr>
          <w:sz w:val="20"/>
          <w:szCs w:val="20"/>
          <w:rtl w:val="0"/>
        </w:rPr>
        <w:t xml:space="preserve">cara 1 de cobre </w:t>
      </w:r>
    </w:p>
    <w:p w:rsidR="00000000" w:rsidDel="00000000" w:rsidP="00000000" w:rsidRDefault="00000000" w:rsidRPr="00000000" w14:paraId="0000001A">
      <w:pPr>
        <w:numPr>
          <w:ilvl w:val="0"/>
          <w:numId w:val="2"/>
        </w:numPr>
        <w:pBdr>
          <w:top w:color="auto" w:space="1" w:sz="0" w:val="none"/>
          <w:bottom w:color="auto" w:space="1" w:sz="0" w:val="none"/>
          <w:right w:color="auto" w:space="0" w:sz="0" w:val="none"/>
          <w:between w:color="auto" w:space="1" w:sz="0" w:val="none"/>
        </w:pBdr>
        <w:ind w:left="720" w:hanging="360"/>
        <w:rPr>
          <w:color w:val="000000"/>
          <w:sz w:val="20"/>
          <w:szCs w:val="20"/>
        </w:rPr>
      </w:pPr>
      <w:r w:rsidDel="00000000" w:rsidR="00000000" w:rsidRPr="00000000">
        <w:rPr>
          <w:sz w:val="20"/>
          <w:szCs w:val="20"/>
          <w:rtl w:val="0"/>
        </w:rPr>
        <w:t xml:space="preserve">Sustrato de fibra de vidrio epoxi FR4 de alta calidad estándar y sustrato de fibra de vidrio APPE específicas para aplicaciones de alta frecuencia</w:t>
      </w:r>
      <w:r w:rsidDel="00000000" w:rsidR="00000000" w:rsidRPr="00000000">
        <w:rPr>
          <w:rtl w:val="0"/>
        </w:rPr>
      </w:r>
    </w:p>
    <w:p w:rsidR="00000000" w:rsidDel="00000000" w:rsidP="00000000" w:rsidRDefault="00000000" w:rsidRPr="00000000" w14:paraId="0000001B">
      <w:pPr>
        <w:spacing w:after="660" w:lineRule="auto"/>
        <w:ind w:left="720" w:firstLine="0"/>
        <w:rPr>
          <w:color w:val="303030"/>
        </w:rPr>
      </w:pPr>
      <w:r w:rsidDel="00000000" w:rsidR="00000000" w:rsidRPr="00000000">
        <w:rPr>
          <w:rtl w:val="0"/>
        </w:rPr>
      </w:r>
    </w:p>
    <w:p w:rsidR="00000000" w:rsidDel="00000000" w:rsidP="00000000" w:rsidRDefault="00000000" w:rsidRPr="00000000" w14:paraId="0000001C">
      <w:pPr>
        <w:spacing w:after="660" w:lineRule="auto"/>
        <w:ind w:left="0" w:firstLine="0"/>
        <w:rPr/>
      </w:pPr>
      <w:r w:rsidDel="00000000" w:rsidR="00000000" w:rsidRPr="00000000">
        <w:rPr>
          <w:rtl w:val="0"/>
        </w:rPr>
      </w:r>
    </w:p>
    <w:p w:rsidR="00000000" w:rsidDel="00000000" w:rsidP="00000000" w:rsidRDefault="00000000" w:rsidRPr="00000000" w14:paraId="0000001D">
      <w:pPr>
        <w:spacing w:after="660" w:lineRule="auto"/>
        <w:ind w:left="0" w:firstLine="0"/>
        <w:rPr/>
      </w:pPr>
      <w:r w:rsidDel="00000000" w:rsidR="00000000" w:rsidRPr="00000000">
        <w:rPr>
          <w:rtl w:val="0"/>
        </w:rPr>
      </w:r>
    </w:p>
    <w:p w:rsidR="00000000" w:rsidDel="00000000" w:rsidP="00000000" w:rsidRDefault="00000000" w:rsidRPr="00000000" w14:paraId="0000001E">
      <w:pPr>
        <w:spacing w:after="660" w:lineRule="auto"/>
        <w:ind w:left="0" w:firstLine="0"/>
        <w:rPr/>
      </w:pPr>
      <w:r w:rsidDel="00000000" w:rsidR="00000000" w:rsidRPr="00000000">
        <w:rPr>
          <w:rtl w:val="0"/>
        </w:rPr>
      </w:r>
    </w:p>
    <w:p w:rsidR="00000000" w:rsidDel="00000000" w:rsidP="00000000" w:rsidRDefault="00000000" w:rsidRPr="00000000" w14:paraId="0000001F">
      <w:pPr>
        <w:spacing w:after="660" w:lineRule="auto"/>
        <w:ind w:left="0" w:firstLine="0"/>
        <w:rPr/>
      </w:pPr>
      <w:r w:rsidDel="00000000" w:rsidR="00000000" w:rsidRPr="00000000">
        <w:rPr>
          <w:rtl w:val="0"/>
        </w:rPr>
      </w:r>
    </w:p>
    <w:p w:rsidR="00000000" w:rsidDel="00000000" w:rsidP="00000000" w:rsidRDefault="00000000" w:rsidRPr="00000000" w14:paraId="00000020">
      <w:pPr>
        <w:spacing w:after="660" w:lineRule="auto"/>
        <w:ind w:left="0" w:firstLine="0"/>
        <w:rPr/>
      </w:pPr>
      <w:r w:rsidDel="00000000" w:rsidR="00000000" w:rsidRPr="00000000">
        <w:rPr>
          <w:rtl w:val="0"/>
        </w:rPr>
      </w:r>
    </w:p>
    <w:p w:rsidR="00000000" w:rsidDel="00000000" w:rsidP="00000000" w:rsidRDefault="00000000" w:rsidRPr="00000000" w14:paraId="00000021">
      <w:pPr>
        <w:spacing w:after="660" w:lineRule="auto"/>
        <w:ind w:left="0" w:firstLine="0"/>
        <w:rPr/>
      </w:pPr>
      <w:r w:rsidDel="00000000" w:rsidR="00000000" w:rsidRPr="00000000">
        <w:rPr>
          <w:rtl w:val="0"/>
        </w:rPr>
      </w:r>
    </w:p>
    <w:p w:rsidR="00000000" w:rsidDel="00000000" w:rsidP="00000000" w:rsidRDefault="00000000" w:rsidRPr="00000000" w14:paraId="00000022">
      <w:pPr>
        <w:spacing w:after="660" w:lineRule="auto"/>
        <w:ind w:left="0" w:firstLine="0"/>
        <w:rPr/>
      </w:pPr>
      <w:r w:rsidDel="00000000" w:rsidR="00000000" w:rsidRPr="00000000">
        <w:rPr>
          <w:rtl w:val="0"/>
        </w:rPr>
      </w:r>
    </w:p>
    <w:p w:rsidR="00000000" w:rsidDel="00000000" w:rsidP="00000000" w:rsidRDefault="00000000" w:rsidRPr="00000000" w14:paraId="00000023">
      <w:pPr>
        <w:spacing w:after="660" w:lineRule="auto"/>
        <w:ind w:left="0" w:firstLine="0"/>
        <w:rPr/>
      </w:pPr>
      <w:r w:rsidDel="00000000" w:rsidR="00000000" w:rsidRPr="00000000">
        <w:rPr>
          <w:rtl w:val="0"/>
        </w:rPr>
        <w:t xml:space="preserve">Referencias</w:t>
      </w:r>
    </w:p>
    <w:p w:rsidR="00000000" w:rsidDel="00000000" w:rsidP="00000000" w:rsidRDefault="00000000" w:rsidRPr="00000000" w14:paraId="00000024">
      <w:pPr>
        <w:spacing w:after="660" w:lineRule="auto"/>
        <w:ind w:left="0" w:firstLine="0"/>
        <w:rPr/>
      </w:pPr>
      <w:hyperlink r:id="rId6">
        <w:r w:rsidDel="00000000" w:rsidR="00000000" w:rsidRPr="00000000">
          <w:rPr>
            <w:color w:val="1155cc"/>
            <w:u w:val="single"/>
            <w:rtl w:val="0"/>
          </w:rPr>
          <w:t xml:space="preserve">http://docs.kicad-pcb.org/4.0.7/en/getting_started_in_kicad.pdf</w:t>
        </w:r>
      </w:hyperlink>
      <w:r w:rsidDel="00000000" w:rsidR="00000000" w:rsidRPr="00000000">
        <w:rPr>
          <w:rtl w:val="0"/>
        </w:rPr>
      </w:r>
    </w:p>
    <w:p w:rsidR="00000000" w:rsidDel="00000000" w:rsidP="00000000" w:rsidRDefault="00000000" w:rsidRPr="00000000" w14:paraId="00000025">
      <w:pPr>
        <w:spacing w:after="660" w:lineRule="auto"/>
        <w:ind w:left="0" w:firstLine="0"/>
        <w:rPr/>
      </w:pPr>
      <w:hyperlink r:id="rId7">
        <w:r w:rsidDel="00000000" w:rsidR="00000000" w:rsidRPr="00000000">
          <w:rPr>
            <w:color w:val="1155cc"/>
            <w:u w:val="single"/>
            <w:rtl w:val="0"/>
          </w:rPr>
          <w:t xml:space="preserve">https://es.wikipedia.org/wiki/Circuito_impreso</w:t>
        </w:r>
      </w:hyperlink>
      <w:r w:rsidDel="00000000" w:rsidR="00000000" w:rsidRPr="00000000">
        <w:rPr>
          <w:rtl w:val="0"/>
        </w:rPr>
      </w:r>
    </w:p>
    <w:p w:rsidR="00000000" w:rsidDel="00000000" w:rsidP="00000000" w:rsidRDefault="00000000" w:rsidRPr="00000000" w14:paraId="00000026">
      <w:pPr>
        <w:spacing w:after="660" w:lineRule="auto"/>
        <w:ind w:left="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2707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kicad-pcb.org/4.0.7/en/getting_started_in_kicad.pdf" TargetMode="External"/><Relationship Id="rId7" Type="http://schemas.openxmlformats.org/officeDocument/2006/relationships/hyperlink" Target="https://es.wikipedia.org/wiki/Circuito_impre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