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Diseñar una interfaz gráfica que realice lo siguiente.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Conexión con una cámara IP.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Conexión con un Arduino para activar tres LEDS. (Rojo, Verde y Azul).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Conexión con un botón conectado al Arduino.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Funcionamiento. La cámara funcionará como un detector de color. Cuando la cámara detecte un objeto rojo, enviará una señal al arduino para que este “encienda” el led rojo. Para cada uno de los tres colores primarios, arduino encenderá el led correspondiente. Cuando el boton que esta conectado al arduino se activa, se envía a un correo (ingresado por un LineEdit) un archivo en formato csv con el registro de los eventos del programa.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Fecha de entrega: 22 de Septiembre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miniEJemplos</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Conexión con Arduino y QT</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Recibir datos de arduino</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Enviar datos seriales a Arduino.</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Detección de colores</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cvtColor</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GaussianBlur</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inRange</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Crear archivos csv</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