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0" w:line="320" w:lineRule="exact"/>
        <w:jc w:val="center"/>
      </w:pPr>
      <w:r>
        <w:rPr>
          <w:rFonts w:ascii="Georgia" w:hAnsi="Georgia"/>
          <w:b w:val="0"/>
          <w:i/>
          <w:color w:val="555555"/>
          <w:sz w:val="24"/>
          <w:u w:val="none"/>
        </w:rPr>
        <w:t>For women who use herbs with their families</w:t>
      </w:r>
    </w:p>
    <w:p>
      <w:pPr>
        <w:spacing w:before="80" w:after="120" w:line="560" w:lineRule="exact"/>
        <w:jc w:val="center"/>
      </w:pPr>
      <w:r>
        <w:rPr>
          <w:rFonts w:ascii="Georgia" w:hAnsi="Georgia"/>
          <w:b/>
          <w:i w:val="0"/>
          <w:color w:val="1A1A1A"/>
          <w:sz w:val="44"/>
          <w:u w:val="none"/>
        </w:rPr>
        <w:t>The Only Herbal Reference That Starts Where Every Other Guide Stops</w:t>
      </w:r>
    </w:p>
    <w:p>
      <w:pPr>
        <w:spacing w:after="240" w:line="360" w:lineRule="exact"/>
        <w:jc w:val="center"/>
      </w:pPr>
      <w:r>
        <w:rPr>
          <w:rFonts w:ascii="Georgia" w:hAnsi="Georgia"/>
          <w:b w:val="0"/>
          <w:i w:val="0"/>
          <w:color w:val="444444"/>
          <w:sz w:val="24"/>
          <w:u w:val="none"/>
        </w:rPr>
        <w:t>Dosing ranges by form and age. Interaction flags for common medications. Safety notes that go beyond "consult your herbalist." One spiral-bound, laminated kitchen manual. $49.</w:t>
      </w:r>
    </w:p>
    <w:p>
      <w:pPr>
        <w:spacing w:after="240" w:before="0" w:line="320" w:lineRule="exact"/>
        <w:jc w:val="center"/>
      </w:pPr>
      <w:r>
        <w:rPr>
          <w:rFonts w:ascii="Georgia" w:hAnsi="Georgia"/>
          <w:b/>
          <w:i w:val="0"/>
          <w:color w:val="006699"/>
          <w:sz w:val="26"/>
          <w:u w:val="single"/>
        </w:rPr>
        <w:t>Get the Handbook — $49</w:t>
      </w:r>
    </w:p>
    <w:p>
      <w:pPr>
        <w:spacing w:before="120" w:after="120"/>
        <w:pBdr>
          <w:bottom w:val="single" w:sz="4" w:space="1" w:color="cccccc"/>
        </w:pBdr>
      </w:pPr>
    </w:p>
    <w:p>
      <w:pPr>
        <w:spacing w:after="160" w:before="0" w:line="320" w:lineRule="exact"/>
        <w:jc w:val="left"/>
      </w:pPr>
      <w:r>
        <w:rPr>
          <w:rFonts w:ascii="Georgia" w:hAnsi="Georgia"/>
          <w:b w:val="0"/>
          <w:i w:val="0"/>
          <w:color w:val="333333"/>
          <w:sz w:val="22"/>
          <w:u w:val="none"/>
        </w:rPr>
        <w:t>You already know the problem.</w:t>
      </w:r>
    </w:p>
    <w:p>
      <w:pPr>
        <w:spacing w:after="160" w:before="0" w:line="320" w:lineRule="exact"/>
        <w:jc w:val="left"/>
      </w:pPr>
      <w:r>
        <w:rPr>
          <w:rFonts w:ascii="Georgia" w:hAnsi="Georgia"/>
          <w:b w:val="0"/>
          <w:i w:val="0"/>
          <w:color w:val="333333"/>
          <w:sz w:val="22"/>
          <w:u w:val="none"/>
        </w:rPr>
        <w:t>You’ve looked up an herb and found three different answers on three different sites. You’ve held a bottle of elderberry and realized you had no idea whether the dose was right for your nine-year-old. You’ve read an herb book cover to cover and walked away knowing what chamomile is used for — but not how much to actually take.</w:t>
      </w:r>
    </w:p>
    <w:p>
      <w:pPr>
        <w:spacing w:after="160" w:before="0" w:line="320" w:lineRule="exact"/>
        <w:jc w:val="left"/>
      </w:pPr>
      <w:r>
        <w:rPr>
          <w:rFonts w:ascii="Georgia" w:hAnsi="Georgia"/>
          <w:b w:val="0"/>
          <w:i w:val="0"/>
          <w:color w:val="333333"/>
          <w:sz w:val="22"/>
          <w:u w:val="none"/>
        </w:rPr>
        <w:t>Most herbal guides tell you everything except the one thing you need at the moment you’re standing in your kitchen making a decision: the dose. The interaction. The “not for kids under six” that should have been on the first page.</w:t>
      </w:r>
    </w:p>
    <w:p>
      <w:pPr>
        <w:spacing w:after="160" w:before="0" w:line="320" w:lineRule="exact"/>
        <w:jc w:val="left"/>
      </w:pPr>
      <w:r>
        <w:rPr>
          <w:rFonts w:ascii="Georgia" w:hAnsi="Georgia"/>
          <w:b w:val="0"/>
          <w:i w:val="0"/>
          <w:color w:val="333333"/>
          <w:sz w:val="22"/>
          <w:u w:val="none"/>
        </w:rPr>
        <w:t>That’s the gap. And it’s the reason this handbook exists.</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What Makes This Handbook Structurally Different</w:t>
      </w:r>
    </w:p>
    <w:p>
      <w:pPr>
        <w:spacing w:after="160" w:before="0" w:line="320" w:lineRule="exact"/>
        <w:jc w:val="left"/>
      </w:pPr>
      <w:r>
        <w:rPr>
          <w:rFonts w:ascii="Georgia" w:hAnsi="Georgia"/>
          <w:b w:val="0"/>
          <w:i w:val="0"/>
          <w:color w:val="333333"/>
          <w:sz w:val="22"/>
          <w:u w:val="none"/>
        </w:rPr>
        <w:t>Most herb guides are organized around what an herb does. This one is organized around what you need to know before you use it.</w:t>
      </w:r>
    </w:p>
    <w:p>
      <w:pPr>
        <w:spacing w:after="160" w:before="0" w:line="320" w:lineRule="exact"/>
        <w:jc w:val="left"/>
      </w:pPr>
      <w:r>
        <w:rPr>
          <w:rFonts w:ascii="Georgia" w:hAnsi="Georgia"/>
          <w:b w:val="0"/>
          <w:i w:val="0"/>
          <w:color w:val="333333"/>
          <w:sz w:val="22"/>
          <w:u w:val="none"/>
        </w:rPr>
        <w:t>Every herb profile in The Honest Herbalist Handbook starts with three things most references skip:</w:t>
      </w:r>
    </w:p>
    <w:p>
      <w:pPr>
        <w:spacing w:after="120" w:before="0" w:line="320" w:lineRule="exact"/>
      </w:pPr>
      <w:r>
        <w:rPr>
          <w:rFonts w:ascii="Georgia" w:hAnsi="Georgia"/>
          <w:b/>
          <w:i w:val="0"/>
          <w:color w:val="1A1A1A"/>
          <w:sz w:val="22"/>
          <w:u w:val="none"/>
        </w:rPr>
        <w:t>1. Dosing ranges — by form and by age group.</w:t>
      </w:r>
      <w:r>
        <w:rPr>
          <w:rFonts w:ascii="Georgia" w:hAnsi="Georgia"/>
          <w:b w:val="0"/>
          <w:i w:val="0"/>
          <w:color w:val="333333"/>
          <w:sz w:val="22"/>
          <w:u w:val="none"/>
        </w:rPr>
        <w:br/>
        <w:t>Not “a few drops” or “brew a tea.” Actual milligram ranges for tinctures, capsules, teas, and glycerites. Adult ranges and pediatric ranges, clearly separated. When a dose is based on published clinical data, it says so. When it’s based on traditional use, it says that too.</w:t>
      </w:r>
    </w:p>
    <w:p>
      <w:pPr>
        <w:spacing w:after="120" w:before="0" w:line="320" w:lineRule="exact"/>
      </w:pPr>
      <w:r>
        <w:rPr>
          <w:rFonts w:ascii="Georgia" w:hAnsi="Georgia"/>
          <w:b/>
          <w:i w:val="0"/>
          <w:color w:val="1A1A1A"/>
          <w:sz w:val="22"/>
          <w:u w:val="none"/>
        </w:rPr>
        <w:t>2. Interaction flags for common medications.</w:t>
      </w:r>
      <w:r>
        <w:rPr>
          <w:rFonts w:ascii="Georgia" w:hAnsi="Georgia"/>
          <w:b w:val="0"/>
          <w:i w:val="0"/>
          <w:color w:val="333333"/>
          <w:sz w:val="22"/>
          <w:u w:val="none"/>
        </w:rPr>
        <w:br/>
        <w:t>SSRIs. Blood thinners. Birth control. Blood pressure meds. If an herb has a documented interaction with a medication that millions of people take daily, that flag is on the profile — not buried in an appendix you’ll never read.</w:t>
      </w:r>
    </w:p>
    <w:p>
      <w:pPr>
        <w:spacing w:after="120" w:before="0" w:line="320" w:lineRule="exact"/>
      </w:pPr>
      <w:r>
        <w:rPr>
          <w:rFonts w:ascii="Georgia" w:hAnsi="Georgia"/>
          <w:b/>
          <w:i w:val="0"/>
          <w:color w:val="1A1A1A"/>
          <w:sz w:val="22"/>
          <w:u w:val="none"/>
        </w:rPr>
        <w:t>3. A confidence rating for every listed use.</w:t>
      </w:r>
      <w:r>
        <w:rPr>
          <w:rFonts w:ascii="Georgia" w:hAnsi="Georgia"/>
          <w:b w:val="0"/>
          <w:i w:val="0"/>
          <w:color w:val="333333"/>
          <w:sz w:val="22"/>
          <w:u w:val="none"/>
        </w:rPr>
        <w:br/>
        <w:t>Not every herb has the same weight of evidence. This handbook uses a three-tier system — Traditional Use, Some Evidence, Stronger Evidence — so you know the difference between “people have used this for centuries” and “this was tested in a controlled study.”</w:t>
      </w:r>
    </w:p>
    <w:p>
      <w:pPr>
        <w:spacing w:before="280" w:after="160" w:line="360" w:lineRule="exact"/>
      </w:pPr>
      <w:r>
        <w:rPr>
          <w:rFonts w:ascii="Georgia" w:hAnsi="Georgia"/>
          <w:b/>
          <w:i w:val="0"/>
          <w:color w:val="1A1A1A"/>
          <w:sz w:val="26"/>
          <w:u w:val="none"/>
        </w:rPr>
        <w:t>How This Compares to a Typical Herb Guide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78"/>
        <w:gridCol w:w="2878"/>
        <w:gridCol w:w="2878"/>
      </w:tblGrid>
      <w:tr>
        <w:tc>
          <w:tcPr>
            <w:tcW w:type="dxa" w:w="2551"/>
            <w:shd w:fill="1a1a1a"/>
            <w:tcMar>
              <w:top w:w="60" w:type="dxa"/>
              <w:left w:w="80" w:type="dxa"/>
              <w:bottom w:w="60" w:type="dxa"/>
              <w:right w:w="80" w:type="dxa"/>
            </w:tcMar>
          </w:tcPr>
          <w:p>
            <w:pPr>
              <w:jc w:val="left"/>
            </w:pPr>
            <w:r/>
            <w:r>
              <w:rPr>
                <w:rFonts w:ascii="Georgia" w:hAnsi="Georgia"/>
                <w:b/>
                <w:i w:val="0"/>
                <w:color w:val="FFFFFF"/>
                <w:sz w:val="20"/>
                <w:u w:val="none"/>
              </w:rPr>
            </w:r>
          </w:p>
        </w:tc>
        <w:tc>
          <w:tcPr>
            <w:tcW w:type="dxa" w:w="3685"/>
            <w:shd w:fill="1a1a1a"/>
            <w:tcMar>
              <w:top w:w="60" w:type="dxa"/>
              <w:left w:w="80" w:type="dxa"/>
              <w:bottom w:w="60" w:type="dxa"/>
              <w:right w:w="80" w:type="dxa"/>
            </w:tcMar>
          </w:tcPr>
          <w:p>
            <w:pPr>
              <w:jc w:val="left"/>
            </w:pPr>
            <w:r/>
            <w:r>
              <w:rPr>
                <w:rFonts w:ascii="Georgia" w:hAnsi="Georgia"/>
                <w:b/>
                <w:i w:val="0"/>
                <w:color w:val="FFFFFF"/>
                <w:sz w:val="20"/>
                <w:u w:val="none"/>
              </w:rPr>
              <w:t>Typical Herb Guide</w:t>
            </w:r>
          </w:p>
        </w:tc>
        <w:tc>
          <w:tcPr>
            <w:tcW w:type="dxa" w:w="3685"/>
            <w:shd w:fill="1a1a1a"/>
            <w:tcMar>
              <w:top w:w="60" w:type="dxa"/>
              <w:left w:w="80" w:type="dxa"/>
              <w:bottom w:w="60" w:type="dxa"/>
              <w:right w:w="80" w:type="dxa"/>
            </w:tcMar>
          </w:tcPr>
          <w:p>
            <w:pPr>
              <w:jc w:val="left"/>
            </w:pPr>
            <w:r/>
            <w:r>
              <w:rPr>
                <w:rFonts w:ascii="Georgia" w:hAnsi="Georgia"/>
                <w:b/>
                <w:i w:val="0"/>
                <w:color w:val="FFFFFF"/>
                <w:sz w:val="20"/>
                <w:u w:val="none"/>
              </w:rPr>
              <w:t>The Honest Herbalist Handbook</w:t>
            </w:r>
          </w:p>
        </w:tc>
      </w:tr>
      <w:tr>
        <w:tc>
          <w:tcPr>
            <w:tcW w:type="dxa" w:w="2551"/>
            <w:shd w:fill="f7f7f7"/>
            <w:tcMar>
              <w:top w:w="60" w:type="dxa"/>
              <w:left w:w="80" w:type="dxa"/>
              <w:bottom w:w="60" w:type="dxa"/>
              <w:right w:w="80" w:type="dxa"/>
            </w:tcMar>
          </w:tcPr>
          <w:p>
            <w:pPr>
              <w:jc w:val="left"/>
            </w:pPr>
            <w:r/>
            <w:r>
              <w:rPr>
                <w:rFonts w:ascii="Georgia" w:hAnsi="Georgia"/>
                <w:b/>
                <w:i w:val="0"/>
                <w:color w:val="333333"/>
                <w:sz w:val="20"/>
                <w:u w:val="none"/>
              </w:rPr>
              <w:t>Dosing</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"Brew a tea" or no dose listed</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Milligram ranges by form + age group</w:t>
            </w:r>
          </w:p>
        </w:tc>
      </w:tr>
      <w:tr>
        <w:tc>
          <w:tcPr>
            <w:tcW w:type="dxa" w:w="2551"/>
            <w:shd w:fill="ffffff"/>
            <w:tcMar>
              <w:top w:w="60" w:type="dxa"/>
              <w:left w:w="80" w:type="dxa"/>
              <w:bottom w:w="60" w:type="dxa"/>
              <w:right w:w="80" w:type="dxa"/>
            </w:tcMar>
          </w:tcPr>
          <w:p>
            <w:pPr>
              <w:jc w:val="left"/>
            </w:pPr>
            <w:r/>
            <w:r>
              <w:rPr>
                <w:rFonts w:ascii="Georgia" w:hAnsi="Georgia"/>
                <w:b/>
                <w:i w:val="0"/>
                <w:color w:val="333333"/>
                <w:sz w:val="20"/>
                <w:u w:val="none"/>
              </w:rPr>
              <w:t>Drug interactions</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Appendix or missing entirely</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Flagged on every herb profile</w:t>
            </w:r>
          </w:p>
        </w:tc>
      </w:tr>
      <w:tr>
        <w:tc>
          <w:tcPr>
            <w:tcW w:type="dxa" w:w="2551"/>
            <w:shd w:fill="f7f7f7"/>
            <w:tcMar>
              <w:top w:w="60" w:type="dxa"/>
              <w:left w:w="80" w:type="dxa"/>
              <w:bottom w:w="60" w:type="dxa"/>
              <w:right w:w="80" w:type="dxa"/>
            </w:tcMar>
          </w:tcPr>
          <w:p>
            <w:pPr>
              <w:jc w:val="left"/>
            </w:pPr>
            <w:r/>
            <w:r>
              <w:rPr>
                <w:rFonts w:ascii="Georgia" w:hAnsi="Georgia"/>
                <w:b/>
                <w:i w:val="0"/>
                <w:color w:val="333333"/>
                <w:sz w:val="20"/>
                <w:u w:val="none"/>
              </w:rPr>
              <w:t>Evidence quality</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All uses listed equally</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Three-tier confidence rating</w:t>
            </w:r>
          </w:p>
        </w:tc>
      </w:tr>
      <w:tr>
        <w:tc>
          <w:tcPr>
            <w:tcW w:type="dxa" w:w="2551"/>
            <w:shd w:fill="ffffff"/>
            <w:tcMar>
              <w:top w:w="60" w:type="dxa"/>
              <w:left w:w="80" w:type="dxa"/>
              <w:bottom w:w="60" w:type="dxa"/>
              <w:right w:w="80" w:type="dxa"/>
            </w:tcMar>
          </w:tcPr>
          <w:p>
            <w:pPr>
              <w:jc w:val="left"/>
            </w:pPr>
            <w:r/>
            <w:r>
              <w:rPr>
                <w:rFonts w:ascii="Georgia" w:hAnsi="Georgia"/>
                <w:b/>
                <w:i w:val="0"/>
                <w:color w:val="333333"/>
                <w:sz w:val="20"/>
                <w:u w:val="none"/>
              </w:rPr>
              <w:t>Safety for children</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"Consult your pediatrician"</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Pediatric ranges with age cutoffs</w:t>
            </w:r>
          </w:p>
        </w:tc>
      </w:tr>
      <w:tr>
        <w:tc>
          <w:tcPr>
            <w:tcW w:type="dxa" w:w="2551"/>
            <w:shd w:fill="f7f7f7"/>
            <w:tcMar>
              <w:top w:w="60" w:type="dxa"/>
              <w:left w:w="80" w:type="dxa"/>
              <w:bottom w:w="60" w:type="dxa"/>
              <w:right w:w="80" w:type="dxa"/>
            </w:tcMar>
          </w:tcPr>
          <w:p>
            <w:pPr>
              <w:jc w:val="left"/>
            </w:pPr>
            <w:r/>
            <w:r>
              <w:rPr>
                <w:rFonts w:ascii="Georgia" w:hAnsi="Georgia"/>
                <w:b/>
                <w:i w:val="0"/>
                <w:color w:val="333333"/>
                <w:sz w:val="20"/>
                <w:u w:val="none"/>
              </w:rPr>
              <w:t>When to stop</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Rarely addressed</w:t>
            </w:r>
          </w:p>
        </w:tc>
        <w:tc>
          <w:tcPr>
            <w:tcW w:type="dxa" w:w="3685"/>
            <w:shd w:fill="f7f7f7"/>
            <w:tcMar>
              <w:top w:w="60" w:type="dxa"/>
              <w:left w:w="80" w:type="dxa"/>
              <w:bottom w:w="60" w:type="dxa"/>
              <w:right w:w="80" w:type="dxa"/>
            </w:tcMar>
          </w:tcPr>
          <w:p>
            <w:pPr>
              <w:jc w:val="left"/>
            </w:pPr>
            <w:r/>
            <w:r>
              <w:rPr>
                <w:rFonts w:ascii="Georgia" w:hAnsi="Georgia"/>
                <w:b w:val="0"/>
                <w:i w:val="0"/>
                <w:color w:val="333333"/>
                <w:sz w:val="20"/>
                <w:u w:val="none"/>
              </w:rPr>
              <w:t>"When not to DIY" section per herb</w:t>
            </w:r>
          </w:p>
        </w:tc>
      </w:tr>
      <w:tr>
        <w:tc>
          <w:tcPr>
            <w:tcW w:type="dxa" w:w="2551"/>
            <w:shd w:fill="ffffff"/>
            <w:tcMar>
              <w:top w:w="60" w:type="dxa"/>
              <w:left w:w="80" w:type="dxa"/>
              <w:bottom w:w="60" w:type="dxa"/>
              <w:right w:w="80" w:type="dxa"/>
            </w:tcMar>
          </w:tcPr>
          <w:p>
            <w:pPr>
              <w:jc w:val="left"/>
            </w:pPr>
            <w:r/>
            <w:r>
              <w:rPr>
                <w:rFonts w:ascii="Georgia" w:hAnsi="Georgia"/>
                <w:b/>
                <w:i w:val="0"/>
                <w:color w:val="333333"/>
                <w:sz w:val="20"/>
                <w:u w:val="none"/>
              </w:rPr>
              <w:t>Format</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Paperback, shelf reference</w:t>
            </w:r>
          </w:p>
        </w:tc>
        <w:tc>
          <w:tcPr>
            <w:tcW w:type="dxa" w:w="3685"/>
            <w:shd w:fill="ffffff"/>
            <w:tcMar>
              <w:top w:w="60" w:type="dxa"/>
              <w:left w:w="80" w:type="dxa"/>
              <w:bottom w:w="60" w:type="dxa"/>
              <w:right w:w="80" w:type="dxa"/>
            </w:tcMar>
          </w:tcPr>
          <w:p>
            <w:pPr>
              <w:jc w:val="left"/>
            </w:pPr>
            <w:r/>
            <w:r>
              <w:rPr>
                <w:rFonts w:ascii="Georgia" w:hAnsi="Georgia"/>
                <w:b w:val="0"/>
                <w:i w:val="0"/>
                <w:color w:val="333333"/>
                <w:sz w:val="20"/>
                <w:u w:val="none"/>
              </w:rPr>
              <w:t>Laminated, spiral-bound — built for the kitchen counter</w:t>
            </w:r>
          </w:p>
        </w:tc>
      </w:tr>
    </w:tbl>
    <w:p>
      <w:pPr>
        <w:spacing w:after="80" w:before="0" w:line="320" w:lineRule="exact"/>
      </w:pPr>
    </w:p>
    <w:p>
      <w:pPr>
        <w:spacing w:after="160" w:before="0" w:line="320" w:lineRule="exact"/>
        <w:jc w:val="left"/>
      </w:pPr>
      <w:r>
        <w:rPr>
          <w:rFonts w:ascii="Georgia" w:hAnsi="Georgia"/>
          <w:b w:val="0"/>
          <w:i w:val="0"/>
          <w:color w:val="333333"/>
          <w:sz w:val="22"/>
          <w:u w:val="none"/>
        </w:rPr>
        <w:t>This isn’t a book you read once and shelve. It’s a reference you open when you’re holding a bottle and need an answer.</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Built for the Way You Actually Use Herbs</w:t>
      </w:r>
    </w:p>
    <w:p>
      <w:pPr>
        <w:spacing w:after="160" w:before="0" w:line="320" w:lineRule="exact"/>
        <w:jc w:val="left"/>
      </w:pPr>
      <w:r>
        <w:rPr>
          <w:rFonts w:ascii="Georgia" w:hAnsi="Georgia"/>
          <w:b w:val="0"/>
          <w:i w:val="0"/>
          <w:color w:val="333333"/>
          <w:sz w:val="22"/>
          <w:u w:val="none"/>
        </w:rPr>
        <w:t>You’re not trying to become a clinical herbalist. You’re not anti-medicine. You’re the person who reaches for chamomile before melatonin, who gives your kid honey and thyme before calling the pediatrician — but who also wants to know you’re not accidentally making things worse.</w:t>
      </w:r>
    </w:p>
    <w:p>
      <w:pPr>
        <w:spacing w:after="160" w:before="0" w:line="320" w:lineRule="exact"/>
        <w:jc w:val="left"/>
      </w:pPr>
      <w:r>
        <w:rPr>
          <w:rFonts w:ascii="Georgia" w:hAnsi="Georgia"/>
          <w:b w:val="0"/>
          <w:i w:val="0"/>
          <w:color w:val="333333"/>
          <w:sz w:val="22"/>
          <w:u w:val="none"/>
        </w:rPr>
        <w:t>This handbook was built for that exact mindset. Natural-first, but not reckless. Curious, but careful. The kind of person who reads the label and still Googles the ingredient — and then wishes the Google results agreed with each other.</w:t>
      </w:r>
    </w:p>
    <w:p>
      <w:pPr>
        <w:spacing w:after="160" w:before="0" w:line="320" w:lineRule="exact"/>
        <w:jc w:val="left"/>
      </w:pPr>
      <w:r>
        <w:rPr>
          <w:rFonts w:ascii="Georgia" w:hAnsi="Georgia"/>
          <w:b w:val="0"/>
          <w:i w:val="0"/>
          <w:color w:val="333333"/>
          <w:sz w:val="22"/>
          <w:u w:val="none"/>
        </w:rPr>
        <w:t>You don’t need a course. You don’t need a certification. You need a reference that respects the way you already think about your family’s health.</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What Readers Are Saying</w:t>
      </w:r>
    </w:p>
    <w:p>
      <w:pPr>
        <w:spacing w:before="240" w:after="80" w:line="320" w:lineRule="exact"/>
        <w:ind w:left="850" w:right="850"/>
      </w:pPr>
      <w:r>
        <w:rPr>
          <w:rFonts w:ascii="Georgia" w:hAnsi="Georgia"/>
          <w:b/>
          <w:i/>
          <w:color w:val="333333"/>
          <w:sz w:val="22"/>
          <w:u w:val="none"/>
        </w:rPr>
        <w:t>“I found three interactions in my daily routine I never knew existed.”</w:t>
      </w:r>
    </w:p>
    <w:p>
      <w:pPr>
        <w:spacing w:after="40" w:line="320" w:lineRule="exact"/>
        <w:ind w:left="850" w:right="850"/>
      </w:pPr>
      <w:r>
        <w:rPr>
          <w:rFonts w:ascii="Georgia" w:hAnsi="Georgia"/>
          <w:b w:val="0"/>
          <w:i/>
          <w:color w:val="555555"/>
          <w:sz w:val="22"/>
          <w:u w:val="none"/>
        </w:rPr>
        <w:t>I’ve been using herbs for years — valerian for sleep, St. John’s Wort for mood, turmeric for inflammation. When I looked them up in the handbook, I found that St. John’s Wort interacts with my birth control. Three years of use and no one — not a single blog, book, or practitioner — had flagged that. The interaction chart alone was worth the price.</w:t>
      </w:r>
    </w:p>
    <w:p>
      <w:pPr>
        <w:spacing w:after="240" w:line="320" w:lineRule="exact"/>
        <w:ind w:left="850" w:right="850"/>
      </w:pPr>
      <w:r>
        <w:rPr>
          <w:rFonts w:ascii="Georgia" w:hAnsi="Georgia"/>
          <w:b/>
          <w:i w:val="0"/>
          <w:color w:val="333333"/>
          <w:sz w:val="22"/>
          <w:u w:val="none"/>
        </w:rPr>
        <w:t>— Sarah M., verified buyer</w:t>
      </w:r>
    </w:p>
    <w:p>
      <w:pPr>
        <w:spacing w:before="240" w:after="80" w:line="320" w:lineRule="exact"/>
        <w:ind w:left="850" w:right="850"/>
      </w:pPr>
      <w:r>
        <w:rPr>
          <w:rFonts w:ascii="Georgia" w:hAnsi="Georgia"/>
          <w:b/>
          <w:i/>
          <w:color w:val="333333"/>
          <w:sz w:val="22"/>
          <w:u w:val="none"/>
        </w:rPr>
        <w:t>“Finally, a dose I can trust for my kids.”</w:t>
      </w:r>
    </w:p>
    <w:p>
      <w:pPr>
        <w:spacing w:after="40" w:line="320" w:lineRule="exact"/>
        <w:ind w:left="850" w:right="850"/>
      </w:pPr>
      <w:r>
        <w:rPr>
          <w:rFonts w:ascii="Georgia" w:hAnsi="Georgia"/>
          <w:b w:val="0"/>
          <w:i/>
          <w:color w:val="555555"/>
          <w:sz w:val="22"/>
          <w:u w:val="none"/>
        </w:rPr>
        <w:t>My daughter is six. Every time I wanted to give her something for a cough or a stomach ache, I was guessing. The pediatric dosing ranges in this handbook took that guesswork away completely. I keep it on the counter next to the spice rack.</w:t>
      </w:r>
    </w:p>
    <w:p>
      <w:pPr>
        <w:spacing w:after="240" w:line="320" w:lineRule="exact"/>
        <w:ind w:left="850" w:right="850"/>
      </w:pPr>
      <w:r>
        <w:rPr>
          <w:rFonts w:ascii="Georgia" w:hAnsi="Georgia"/>
          <w:b/>
          <w:i w:val="0"/>
          <w:color w:val="333333"/>
          <w:sz w:val="22"/>
          <w:u w:val="none"/>
        </w:rPr>
        <w:t>— Rachel K., verified buyer</w:t>
      </w:r>
    </w:p>
    <w:p>
      <w:pPr>
        <w:spacing w:before="240" w:after="80" w:line="320" w:lineRule="exact"/>
        <w:ind w:left="850" w:right="850"/>
      </w:pPr>
      <w:r>
        <w:rPr>
          <w:rFonts w:ascii="Georgia" w:hAnsi="Georgia"/>
          <w:b/>
          <w:i/>
          <w:color w:val="333333"/>
          <w:sz w:val="22"/>
          <w:u w:val="none"/>
        </w:rPr>
        <w:t>“This is what I thought I was buying when I bought my last three herb books.”</w:t>
      </w:r>
    </w:p>
    <w:p>
      <w:pPr>
        <w:spacing w:after="40" w:line="320" w:lineRule="exact"/>
        <w:ind w:left="850" w:right="850"/>
      </w:pPr>
      <w:r>
        <w:rPr>
          <w:rFonts w:ascii="Georgia" w:hAnsi="Georgia"/>
          <w:b w:val="0"/>
          <w:i/>
          <w:color w:val="555555"/>
          <w:sz w:val="22"/>
          <w:u w:val="none"/>
        </w:rPr>
        <w:t>I have a shelf full of herbal guides. They all tell me what chamomile is good for. None of them told me that the dose for a 30-pound child is different from an adult dose, or that it can interact with blood thinners. This is the first one that treats safety like it belongs on the front page, not the back.</w:t>
      </w:r>
    </w:p>
    <w:p>
      <w:pPr>
        <w:spacing w:after="240" w:line="320" w:lineRule="exact"/>
        <w:ind w:left="850" w:right="850"/>
      </w:pPr>
      <w:r>
        <w:rPr>
          <w:rFonts w:ascii="Georgia" w:hAnsi="Georgia"/>
          <w:b/>
          <w:i w:val="0"/>
          <w:color w:val="333333"/>
          <w:sz w:val="22"/>
          <w:u w:val="none"/>
        </w:rPr>
        <w:t>— Jenny D., verified buyer</w:t>
      </w:r>
    </w:p>
    <w:p>
      <w:pPr>
        <w:spacing w:before="240" w:after="80" w:line="320" w:lineRule="exact"/>
        <w:ind w:left="850" w:right="850"/>
      </w:pPr>
      <w:r>
        <w:rPr>
          <w:rFonts w:ascii="Georgia" w:hAnsi="Georgia"/>
          <w:b/>
          <w:i/>
          <w:color w:val="333333"/>
          <w:sz w:val="22"/>
          <w:u w:val="none"/>
        </w:rPr>
        <w:t>“I stopped Googling herbs at midnight.”</w:t>
      </w:r>
    </w:p>
    <w:p>
      <w:pPr>
        <w:spacing w:after="40" w:line="320" w:lineRule="exact"/>
        <w:ind w:left="850" w:right="850"/>
      </w:pPr>
      <w:r>
        <w:rPr>
          <w:rFonts w:ascii="Georgia" w:hAnsi="Georgia"/>
          <w:b w:val="0"/>
          <w:i/>
          <w:color w:val="555555"/>
          <w:sz w:val="22"/>
          <w:u w:val="none"/>
        </w:rPr>
        <w:t>I used to spend 45 minutes cross-referencing three different websites before giving my family anything. Now I open the handbook, check the profile, check the flags, and I’m done. The time I’ve saved is honestly ridiculous.</w:t>
      </w:r>
    </w:p>
    <w:p>
      <w:pPr>
        <w:spacing w:after="240" w:line="320" w:lineRule="exact"/>
        <w:ind w:left="850" w:right="850"/>
      </w:pPr>
      <w:r>
        <w:rPr>
          <w:rFonts w:ascii="Georgia" w:hAnsi="Georgia"/>
          <w:b/>
          <w:i w:val="0"/>
          <w:color w:val="333333"/>
          <w:sz w:val="22"/>
          <w:u w:val="none"/>
        </w:rPr>
        <w:t>— Amanda P., verified buyer</w:t>
      </w:r>
    </w:p>
    <w:p>
      <w:pPr>
        <w:spacing w:before="120" w:after="120"/>
        <w:pBdr>
          <w:bottom w:val="single" w:sz="4" w:space="1" w:color="cccccc"/>
        </w:pBdr>
      </w:pPr>
    </w:p>
    <w:p>
      <w:pPr>
        <w:spacing w:after="160" w:before="0" w:line="320" w:lineRule="exact"/>
        <w:jc w:val="left"/>
      </w:pPr>
      <w:r>
        <w:rPr>
          <w:rFonts w:ascii="Georgia" w:hAnsi="Georgia"/>
          <w:b w:val="0"/>
          <w:i w:val="0"/>
          <w:color w:val="333333"/>
          <w:sz w:val="22"/>
          <w:u w:val="none"/>
        </w:rPr>
        <w:t>If you’re already using herbs with your family — or planning to start — this is the reference that makes every decision faster and safer.</w:t>
      </w:r>
    </w:p>
    <w:p>
      <w:pPr>
        <w:spacing w:after="240" w:before="0" w:line="320" w:lineRule="exact"/>
        <w:jc w:val="center"/>
      </w:pPr>
      <w:r>
        <w:rPr>
          <w:rFonts w:ascii="Georgia" w:hAnsi="Georgia"/>
          <w:b/>
          <w:i w:val="0"/>
          <w:color w:val="006699"/>
          <w:sz w:val="26"/>
          <w:u w:val="single"/>
        </w:rPr>
        <w:t>Get the Honest Herbalist Handbook — $49</w:t>
      </w:r>
    </w:p>
    <w:p>
      <w:pPr>
        <w:spacing w:after="80" w:before="0" w:line="320" w:lineRule="exact"/>
        <w:jc w:val="center"/>
      </w:pPr>
      <w:r>
        <w:rPr>
          <w:rFonts w:ascii="Georgia" w:hAnsi="Georgia"/>
          <w:b w:val="0"/>
          <w:i w:val="0"/>
          <w:color w:val="444444"/>
          <w:sz w:val="22"/>
          <w:u w:val="none"/>
        </w:rPr>
        <w:t>Laminated. Spiral-bound. Built for your kitchen counter. Ships to your door.</w:t>
      </w:r>
    </w:p>
    <w:p>
      <w:pPr>
        <w:spacing w:after="160" w:before="0" w:line="320" w:lineRule="exact"/>
        <w:jc w:val="center"/>
      </w:pPr>
      <w:r>
        <w:rPr>
          <w:rFonts w:ascii="Georgia" w:hAnsi="Georgia"/>
          <w:b w:val="0"/>
          <w:i w:val="0"/>
          <w:color w:val="444444"/>
          <w:sz w:val="22"/>
          <w:u w:val="none"/>
        </w:rPr>
        <w:t>Two digital bonus guides included — yours instantly while the handbook ships.</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What You Get</w:t>
      </w:r>
    </w:p>
    <w:p>
      <w:pPr>
        <w:spacing w:after="160" w:before="0" w:line="320" w:lineRule="exact"/>
      </w:pPr>
      <w:r>
        <w:rPr>
          <w:rFonts w:ascii="Georgia" w:hAnsi="Georgia"/>
          <w:b/>
          <w:i w:val="0"/>
          <w:color w:val="1A1A1A"/>
          <w:sz w:val="22"/>
          <w:u w:val="none"/>
        </w:rPr>
        <w:t>The Honest Herbalist Handbook</w:t>
      </w:r>
      <w:r>
        <w:rPr>
          <w:rFonts w:ascii="Georgia" w:hAnsi="Georgia"/>
          <w:b w:val="0"/>
          <w:i w:val="0"/>
          <w:color w:val="333333"/>
          <w:sz w:val="22"/>
          <w:u w:val="none"/>
        </w:rPr>
        <w:t xml:space="preserve"> — Laminated, spiral-bound kitchen manual</w:t>
      </w:r>
    </w:p>
    <w:p>
      <w:pPr>
        <w:pStyle w:val="ListBullet"/>
        <w:spacing w:after="80" w:line="320" w:lineRule="exact"/>
        <w:ind w:left="680"/>
      </w:pPr>
      <w:r>
        <w:rPr>
          <w:rFonts w:ascii="Georgia" w:hAnsi="Georgia"/>
          <w:b/>
          <w:i w:val="0"/>
          <w:color w:val="333333"/>
          <w:sz w:val="22"/>
          <w:u w:val="none"/>
        </w:rPr>
        <w:t>300+ herb profiles</w:t>
      </w:r>
      <w:r>
        <w:rPr>
          <w:rFonts w:ascii="Georgia" w:hAnsi="Georgia"/>
          <w:b w:val="0"/>
          <w:i w:val="0"/>
          <w:color w:val="333333"/>
          <w:sz w:val="22"/>
          <w:u w:val="none"/>
        </w:rPr>
        <w:t xml:space="preserve"> — each organized safety-first: dose, interactions, confidence level, then uses</w:t>
      </w:r>
    </w:p>
    <w:p>
      <w:pPr>
        <w:pStyle w:val="ListBullet"/>
        <w:spacing w:after="80" w:line="320" w:lineRule="exact"/>
        <w:ind w:left="680"/>
      </w:pPr>
      <w:r>
        <w:rPr>
          <w:rFonts w:ascii="Georgia" w:hAnsi="Georgia"/>
          <w:b/>
          <w:i w:val="0"/>
          <w:color w:val="333333"/>
          <w:sz w:val="22"/>
          <w:u w:val="none"/>
        </w:rPr>
        <w:t>Dosing ranges by form</w:t>
      </w:r>
      <w:r>
        <w:rPr>
          <w:rFonts w:ascii="Georgia" w:hAnsi="Georgia"/>
          <w:b w:val="0"/>
          <w:i w:val="0"/>
          <w:color w:val="333333"/>
          <w:sz w:val="22"/>
          <w:u w:val="none"/>
        </w:rPr>
        <w:t xml:space="preserve"> — tincture, capsule, tea, glycerite — with separate adult and pediatric columns</w:t>
      </w:r>
    </w:p>
    <w:p>
      <w:pPr>
        <w:pStyle w:val="ListBullet"/>
        <w:spacing w:after="80" w:line="320" w:lineRule="exact"/>
        <w:ind w:left="680"/>
      </w:pPr>
      <w:r>
        <w:rPr>
          <w:rFonts w:ascii="Georgia" w:hAnsi="Georgia"/>
          <w:b/>
          <w:i w:val="0"/>
          <w:color w:val="333333"/>
          <w:sz w:val="22"/>
          <w:u w:val="none"/>
        </w:rPr>
        <w:t>Drug interaction flags</w:t>
      </w:r>
      <w:r>
        <w:rPr>
          <w:rFonts w:ascii="Georgia" w:hAnsi="Georgia"/>
          <w:b w:val="0"/>
          <w:i w:val="0"/>
          <w:color w:val="333333"/>
          <w:sz w:val="22"/>
          <w:u w:val="none"/>
        </w:rPr>
        <w:t xml:space="preserve"> — SSRIs, blood thinners, birth control, blood pressure meds, and more — flagged on the profile, not buried in an appendix</w:t>
      </w:r>
    </w:p>
    <w:p>
      <w:pPr>
        <w:pStyle w:val="ListBullet"/>
        <w:spacing w:after="80" w:line="320" w:lineRule="exact"/>
        <w:ind w:left="680"/>
      </w:pPr>
      <w:r>
        <w:rPr>
          <w:rFonts w:ascii="Georgia" w:hAnsi="Georgia"/>
          <w:b/>
          <w:i w:val="0"/>
          <w:color w:val="333333"/>
          <w:sz w:val="22"/>
          <w:u w:val="none"/>
        </w:rPr>
        <w:t>Three-tier confidence ratings</w:t>
      </w:r>
      <w:r>
        <w:rPr>
          <w:rFonts w:ascii="Georgia" w:hAnsi="Georgia"/>
          <w:b w:val="0"/>
          <w:i w:val="0"/>
          <w:color w:val="333333"/>
          <w:sz w:val="22"/>
          <w:u w:val="none"/>
        </w:rPr>
        <w:t xml:space="preserve"> — know whether an herb’s use is traditional, has some evidence, or has stronger clinical support</w:t>
      </w:r>
    </w:p>
    <w:p>
      <w:pPr>
        <w:pStyle w:val="ListBullet"/>
        <w:spacing w:after="80" w:line="320" w:lineRule="exact"/>
        <w:ind w:left="680"/>
      </w:pPr>
      <w:r>
        <w:rPr>
          <w:rFonts w:ascii="Georgia" w:hAnsi="Georgia"/>
          <w:b/>
          <w:i w:val="0"/>
          <w:color w:val="333333"/>
          <w:sz w:val="22"/>
          <w:u w:val="none"/>
        </w:rPr>
        <w:t>Symptom-first index</w:t>
      </w:r>
      <w:r>
        <w:rPr>
          <w:rFonts w:ascii="Georgia" w:hAnsi="Georgia"/>
          <w:b w:val="0"/>
          <w:i w:val="0"/>
          <w:color w:val="333333"/>
          <w:sz w:val="22"/>
          <w:u w:val="none"/>
        </w:rPr>
        <w:t xml:space="preserve"> — look up what you need (sleep, stress, digestion, colds, skin, first aid) and find the herbs that apply, ranked by confidence</w:t>
      </w:r>
    </w:p>
    <w:p>
      <w:pPr>
        <w:pStyle w:val="ListBullet"/>
        <w:spacing w:after="80" w:line="320" w:lineRule="exact"/>
        <w:ind w:left="680"/>
      </w:pPr>
      <w:r>
        <w:rPr>
          <w:rFonts w:ascii="Georgia" w:hAnsi="Georgia"/>
          <w:b/>
          <w:i w:val="0"/>
          <w:color w:val="333333"/>
          <w:sz w:val="22"/>
          <w:u w:val="none"/>
        </w:rPr>
        <w:t>“When not to DIY” flags</w:t>
      </w:r>
      <w:r>
        <w:rPr>
          <w:rFonts w:ascii="Georgia" w:hAnsi="Georgia"/>
          <w:b w:val="0"/>
          <w:i w:val="0"/>
          <w:color w:val="333333"/>
          <w:sz w:val="22"/>
          <w:u w:val="none"/>
        </w:rPr>
        <w:t xml:space="preserve"> — clear escalation triggers so you know when to stop and call a practitioner</w:t>
      </w:r>
    </w:p>
    <w:p>
      <w:pPr>
        <w:pStyle w:val="ListBullet"/>
        <w:spacing w:after="80" w:line="320" w:lineRule="exact"/>
        <w:ind w:left="680"/>
      </w:pPr>
      <w:r>
        <w:rPr>
          <w:rFonts w:ascii="Georgia" w:hAnsi="Georgia"/>
          <w:b/>
          <w:i w:val="0"/>
          <w:color w:val="333333"/>
          <w:sz w:val="22"/>
          <w:u w:val="none"/>
        </w:rPr>
        <w:t>Preparation basics</w:t>
      </w:r>
      <w:r>
        <w:rPr>
          <w:rFonts w:ascii="Georgia" w:hAnsi="Georgia"/>
          <w:b w:val="0"/>
          <w:i w:val="0"/>
          <w:color w:val="333333"/>
          <w:sz w:val="22"/>
          <w:u w:val="none"/>
        </w:rPr>
        <w:t xml:space="preserve"> — teas, tinctures, salves, syrups — simple, safe, with dosing for each</w:t>
      </w:r>
    </w:p>
    <w:p>
      <w:pPr>
        <w:pStyle w:val="ListBullet"/>
        <w:spacing w:after="80" w:line="320" w:lineRule="exact"/>
        <w:ind w:left="680"/>
      </w:pPr>
      <w:r>
        <w:rPr>
          <w:rFonts w:ascii="Georgia" w:hAnsi="Georgia"/>
          <w:b/>
          <w:i w:val="0"/>
          <w:color w:val="333333"/>
          <w:sz w:val="22"/>
          <w:u w:val="none"/>
        </w:rPr>
        <w:t>Sourcing and quality checklist</w:t>
      </w:r>
      <w:r>
        <w:rPr>
          <w:rFonts w:ascii="Georgia" w:hAnsi="Georgia"/>
          <w:b w:val="0"/>
          <w:i w:val="0"/>
          <w:color w:val="333333"/>
          <w:sz w:val="22"/>
          <w:u w:val="none"/>
        </w:rPr>
        <w:t xml:space="preserve"> — how to avoid low-quality products, third-party testing signals, brand vetting</w:t>
      </w:r>
    </w:p>
    <w:p>
      <w:pPr>
        <w:spacing w:after="80" w:before="0" w:line="320" w:lineRule="exact"/>
      </w:pPr>
      <w:r>
        <w:rPr>
          <w:rFonts w:ascii="Georgia" w:hAnsi="Georgia"/>
          <w:b/>
          <w:i w:val="0"/>
          <w:color w:val="1A1A1A"/>
          <w:sz w:val="22"/>
          <w:u w:val="none"/>
        </w:rPr>
        <w:t xml:space="preserve">Format: </w:t>
      </w:r>
      <w:r>
        <w:rPr>
          <w:rFonts w:ascii="Georgia" w:hAnsi="Georgia"/>
          <w:b w:val="0"/>
          <w:i w:val="0"/>
          <w:color w:val="333333"/>
          <w:sz w:val="22"/>
          <w:u w:val="none"/>
        </w:rPr>
        <w:t>Laminated pages. Spiral binding that lies flat on the counter. Built to handle kitchen hands, spills, and daily use. Not a shelf book — a working reference.</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Included With Your Order — Available Instantly</w:t>
      </w:r>
    </w:p>
    <w:p>
      <w:pPr>
        <w:spacing w:after="160" w:before="0" w:line="320" w:lineRule="exact"/>
        <w:jc w:val="left"/>
      </w:pPr>
      <w:r>
        <w:rPr>
          <w:rFonts w:ascii="Georgia" w:hAnsi="Georgia"/>
          <w:b w:val="0"/>
          <w:i w:val="0"/>
          <w:color w:val="333333"/>
          <w:sz w:val="22"/>
          <w:u w:val="none"/>
        </w:rPr>
        <w:t>Your handbook ships to your door. But you don’t have to wait to start using it.</w:t>
      </w:r>
    </w:p>
    <w:p>
      <w:pPr>
        <w:spacing w:before="160" w:after="80" w:line="320" w:lineRule="exact"/>
      </w:pPr>
      <w:r>
        <w:rPr>
          <w:rFonts w:ascii="Georgia" w:hAnsi="Georgia"/>
          <w:b/>
          <w:i w:val="0"/>
          <w:color w:val="1A1A1A"/>
          <w:sz w:val="22"/>
          <w:u w:val="none"/>
        </w:rPr>
        <w:t>Bonus 1: Herbal Safety Quick-Check Guide (Digital — Instant Access)</w:t>
      </w:r>
    </w:p>
    <w:p>
      <w:pPr>
        <w:spacing w:after="160" w:before="0" w:line="320" w:lineRule="exact"/>
        <w:jc w:val="left"/>
      </w:pPr>
      <w:r>
        <w:rPr>
          <w:rFonts w:ascii="Georgia" w:hAnsi="Georgia"/>
          <w:b w:val="0"/>
          <w:i w:val="0"/>
          <w:color w:val="333333"/>
          <w:sz w:val="22"/>
          <w:u w:val="none"/>
        </w:rPr>
        <w:t>A printable one-page reference covering the most common herb-drug interactions, pregnancy and nursing flags, and pediatric cautions. Stick it on the fridge. Use it today.</w:t>
      </w:r>
    </w:p>
    <w:p>
      <w:pPr>
        <w:spacing w:before="160" w:after="80" w:line="320" w:lineRule="exact"/>
      </w:pPr>
      <w:r>
        <w:rPr>
          <w:rFonts w:ascii="Georgia" w:hAnsi="Georgia"/>
          <w:b/>
          <w:i w:val="0"/>
          <w:color w:val="1A1A1A"/>
          <w:sz w:val="22"/>
          <w:u w:val="none"/>
        </w:rPr>
        <w:t>Bonus 2: Home Apothecary Starter Guide (Digital — Instant Access)</w:t>
      </w:r>
    </w:p>
    <w:p>
      <w:pPr>
        <w:spacing w:after="160" w:before="0" w:line="320" w:lineRule="exact"/>
        <w:jc w:val="left"/>
      </w:pPr>
      <w:r>
        <w:rPr>
          <w:rFonts w:ascii="Georgia" w:hAnsi="Georgia"/>
          <w:b w:val="0"/>
          <w:i w:val="0"/>
          <w:color w:val="333333"/>
          <w:sz w:val="22"/>
          <w:u w:val="none"/>
        </w:rPr>
        <w:t>A practical walkthrough of the 12 herbs worth having in your cabinet, how to source them, what to make first, and a budget-conscious shopping list. Start building your apothecary while the handbook ships.</w:t>
      </w:r>
    </w:p>
    <w:p>
      <w:pPr>
        <w:spacing w:before="200" w:after="80" w:line="320" w:lineRule="exact"/>
      </w:pPr>
      <w:r>
        <w:rPr>
          <w:rFonts w:ascii="Georgia" w:hAnsi="Georgia"/>
          <w:b/>
          <w:i w:val="0"/>
          <w:color w:val="1A1A1A"/>
          <w:sz w:val="22"/>
          <w:u w:val="none"/>
        </w:rPr>
        <w:t>What this costs in context:</w:t>
      </w:r>
    </w:p>
    <w:p>
      <w:pPr>
        <w:pStyle w:val="ListBullet"/>
        <w:spacing w:after="60" w:line="320" w:lineRule="exact"/>
        <w:ind w:left="680"/>
      </w:pPr>
      <w:r>
        <w:rPr>
          <w:rFonts w:ascii="Georgia" w:hAnsi="Georgia"/>
          <w:b w:val="0"/>
          <w:i w:val="0"/>
          <w:color w:val="333333"/>
          <w:sz w:val="22"/>
          <w:u w:val="none"/>
        </w:rPr>
        <w:t>One naturopath consultation: $80–$200</w:t>
      </w:r>
    </w:p>
    <w:p>
      <w:pPr>
        <w:pStyle w:val="ListBullet"/>
        <w:spacing w:after="60" w:line="320" w:lineRule="exact"/>
        <w:ind w:left="680"/>
      </w:pPr>
      <w:r>
        <w:rPr>
          <w:rFonts w:ascii="Georgia" w:hAnsi="Georgia"/>
          <w:b w:val="0"/>
          <w:i w:val="0"/>
          <w:color w:val="333333"/>
          <w:sz w:val="22"/>
          <w:u w:val="none"/>
        </w:rPr>
        <w:t>One "is this safe for my kid?" urgent care visit: $150+</w:t>
      </w:r>
    </w:p>
    <w:p>
      <w:pPr>
        <w:pStyle w:val="ListBullet"/>
        <w:spacing w:after="60" w:line="320" w:lineRule="exact"/>
        <w:ind w:left="680"/>
      </w:pPr>
      <w:r>
        <w:rPr>
          <w:rFonts w:ascii="Georgia" w:hAnsi="Georgia"/>
          <w:b w:val="0"/>
          <w:i w:val="0"/>
          <w:color w:val="333333"/>
          <w:sz w:val="22"/>
          <w:u w:val="none"/>
        </w:rPr>
        <w:t>Hours of cross-referencing contradictory blog posts: priceless frustration</w:t>
      </w:r>
    </w:p>
    <w:p>
      <w:pPr>
        <w:spacing w:before="160" w:after="160" w:line="320" w:lineRule="exact"/>
      </w:pPr>
      <w:r>
        <w:rPr>
          <w:rFonts w:ascii="Georgia" w:hAnsi="Georgia"/>
          <w:b/>
          <w:i w:val="0"/>
          <w:color w:val="1A1A1A"/>
          <w:sz w:val="22"/>
          <w:u w:val="none"/>
        </w:rPr>
        <w:t>The Honest Herbalist Handbook: $49.</w:t>
      </w:r>
      <w:r>
        <w:rPr>
          <w:rFonts w:ascii="Georgia" w:hAnsi="Georgia"/>
          <w:b w:val="0"/>
          <w:i w:val="0"/>
          <w:color w:val="333333"/>
          <w:sz w:val="22"/>
          <w:u w:val="none"/>
        </w:rPr>
        <w:t xml:space="preserve"> One reference. Every herb. Every dose. Every flag.</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The “Look It Up” Guarantee</w:t>
      </w:r>
    </w:p>
    <w:p>
      <w:pPr>
        <w:spacing w:after="160" w:before="0" w:line="320" w:lineRule="exact"/>
        <w:jc w:val="left"/>
      </w:pPr>
      <w:r>
        <w:rPr>
          <w:rFonts w:ascii="Georgia" w:hAnsi="Georgia"/>
          <w:b w:val="0"/>
          <w:i w:val="0"/>
          <w:color w:val="333333"/>
          <w:sz w:val="22"/>
          <w:u w:val="none"/>
        </w:rPr>
        <w:t>Try it for 30 days.</w:t>
      </w:r>
    </w:p>
    <w:p>
      <w:pPr>
        <w:spacing w:after="160" w:before="0" w:line="320" w:lineRule="exact"/>
        <w:jc w:val="left"/>
      </w:pPr>
      <w:r>
        <w:rPr>
          <w:rFonts w:ascii="Georgia" w:hAnsi="Georgia"/>
          <w:b w:val="0"/>
          <w:i w:val="0"/>
          <w:color w:val="333333"/>
          <w:sz w:val="22"/>
          <w:u w:val="none"/>
        </w:rPr>
        <w:t>When your handbook arrives, open it to any herb you already use. Check the dosing range. Check the interaction flags. Check the confidence rating.</w:t>
      </w:r>
    </w:p>
    <w:p>
      <w:pPr>
        <w:spacing w:after="160" w:before="0" w:line="320" w:lineRule="exact"/>
        <w:jc w:val="left"/>
      </w:pPr>
      <w:r>
        <w:rPr>
          <w:rFonts w:ascii="Georgia" w:hAnsi="Georgia"/>
          <w:b w:val="0"/>
          <w:i w:val="0"/>
          <w:color w:val="333333"/>
          <w:sz w:val="22"/>
          <w:u w:val="none"/>
        </w:rPr>
        <w:t>If the information isn’t more specific, more organized, and more useful than what you’ve been relying on — return it. Full refund. No questionnaire. No hoops.</w:t>
      </w:r>
    </w:p>
    <w:p>
      <w:pPr>
        <w:spacing w:after="160" w:before="0" w:line="320" w:lineRule="exact"/>
        <w:jc w:val="left"/>
      </w:pPr>
      <w:r>
        <w:rPr>
          <w:rFonts w:ascii="Georgia" w:hAnsi="Georgia"/>
          <w:b w:val="0"/>
          <w:i w:val="0"/>
          <w:color w:val="333333"/>
          <w:sz w:val="22"/>
          <w:u w:val="none"/>
        </w:rPr>
        <w:t>We’re confident because the book is built to pass that test on the first page you open.</w:t>
      </w:r>
    </w:p>
    <w:p>
      <w:pPr>
        <w:spacing w:before="120" w:after="120"/>
        <w:pBdr>
          <w:bottom w:val="single" w:sz="4" w:space="1" w:color="cccccc"/>
        </w:pBdr>
      </w:pPr>
    </w:p>
    <w:p>
      <w:pPr>
        <w:spacing w:after="240" w:before="0" w:line="320" w:lineRule="exact"/>
        <w:jc w:val="center"/>
      </w:pPr>
      <w:r>
        <w:rPr>
          <w:rFonts w:ascii="Georgia" w:hAnsi="Georgia"/>
          <w:b/>
          <w:i w:val="0"/>
          <w:color w:val="006699"/>
          <w:sz w:val="26"/>
          <w:u w:val="single"/>
        </w:rPr>
        <w:t>Get the Honest Herbalist Handbook — $49</w:t>
      </w:r>
    </w:p>
    <w:p>
      <w:pPr>
        <w:spacing w:after="40" w:before="0" w:line="320" w:lineRule="exact"/>
        <w:jc w:val="center"/>
      </w:pPr>
      <w:r>
        <w:rPr>
          <w:rFonts w:ascii="Georgia" w:hAnsi="Georgia"/>
          <w:b w:val="0"/>
          <w:i w:val="0"/>
          <w:color w:val="444444"/>
          <w:sz w:val="22"/>
          <w:u w:val="none"/>
        </w:rPr>
        <w:t>Laminated. Spiral-bound. Ships to your door.</w:t>
      </w:r>
    </w:p>
    <w:p>
      <w:pPr>
        <w:spacing w:after="40" w:before="0" w:line="320" w:lineRule="exact"/>
        <w:jc w:val="center"/>
      </w:pPr>
      <w:r>
        <w:rPr>
          <w:rFonts w:ascii="Georgia" w:hAnsi="Georgia"/>
          <w:b w:val="0"/>
          <w:i w:val="0"/>
          <w:color w:val="444444"/>
          <w:sz w:val="22"/>
          <w:u w:val="none"/>
        </w:rPr>
        <w:t>Two digital bonus guides included — yours instantly.</w:t>
      </w:r>
    </w:p>
    <w:p>
      <w:pPr>
        <w:spacing w:after="160" w:before="0" w:line="320" w:lineRule="exact"/>
        <w:jc w:val="center"/>
      </w:pPr>
      <w:r>
        <w:rPr>
          <w:rFonts w:ascii="Georgia" w:hAnsi="Georgia"/>
          <w:b w:val="0"/>
          <w:i w:val="0"/>
          <w:color w:val="444444"/>
          <w:sz w:val="22"/>
          <w:u w:val="none"/>
        </w:rPr>
        <w:t>30-day money-back guarantee.</w:t>
      </w:r>
    </w:p>
    <w:p>
      <w:pPr>
        <w:spacing w:before="120" w:after="120"/>
        <w:pBdr>
          <w:bottom w:val="single" w:sz="4" w:space="1" w:color="cccccc"/>
        </w:pBdr>
      </w:pPr>
    </w:p>
    <w:p>
      <w:pPr>
        <w:spacing w:before="360" w:after="160" w:line="400" w:lineRule="exact"/>
        <w:jc w:val="left"/>
      </w:pPr>
      <w:r>
        <w:rPr>
          <w:rFonts w:ascii="Georgia" w:hAnsi="Georgia"/>
          <w:b/>
          <w:i w:val="0"/>
          <w:color w:val="1A1A1A"/>
          <w:sz w:val="32"/>
          <w:u w:val="none"/>
        </w:rPr>
        <w:t>Common Questions</w:t>
      </w:r>
    </w:p>
    <w:p>
      <w:pPr>
        <w:spacing w:before="200" w:after="80" w:line="320" w:lineRule="exact"/>
      </w:pPr>
      <w:r>
        <w:rPr>
          <w:rFonts w:ascii="Georgia" w:hAnsi="Georgia"/>
          <w:b/>
          <w:i w:val="0"/>
          <w:color w:val="1A1A1A"/>
          <w:sz w:val="22"/>
          <w:u w:val="none"/>
        </w:rPr>
        <w:t>I already have several herb books. How is this different?</w:t>
      </w:r>
    </w:p>
    <w:p>
      <w:pPr>
        <w:spacing w:after="160" w:before="0" w:line="320" w:lineRule="exact"/>
      </w:pPr>
      <w:r>
        <w:rPr>
          <w:rFonts w:ascii="Georgia" w:hAnsi="Georgia"/>
          <w:b w:val="0"/>
          <w:i w:val="0"/>
          <w:color w:val="333333"/>
          <w:sz w:val="22"/>
          <w:u w:val="none"/>
        </w:rPr>
        <w:t>Most herb books organize around what an herb does. This one organizes around what you need to know before you use it — dose, interactions, safety flags, confidence level. If your current books include milligram dosing ranges by form and age group, you may not need this. If they don’t, this is the one that fills that gap.</w:t>
      </w:r>
    </w:p>
    <w:p>
      <w:pPr>
        <w:spacing w:before="200" w:after="80" w:line="320" w:lineRule="exact"/>
      </w:pPr>
      <w:r>
        <w:rPr>
          <w:rFonts w:ascii="Georgia" w:hAnsi="Georgia"/>
          <w:b/>
          <w:i w:val="0"/>
          <w:color w:val="1A1A1A"/>
          <w:sz w:val="22"/>
          <w:u w:val="none"/>
        </w:rPr>
        <w:t>Is this evidence-based?</w:t>
      </w:r>
    </w:p>
    <w:p>
      <w:pPr>
        <w:spacing w:after="160" w:before="0" w:line="320" w:lineRule="exact"/>
      </w:pPr>
      <w:r>
        <w:rPr>
          <w:rFonts w:ascii="Georgia" w:hAnsi="Georgia"/>
          <w:b w:val="0"/>
          <w:i w:val="0"/>
          <w:color w:val="333333"/>
          <w:sz w:val="22"/>
          <w:u w:val="none"/>
        </w:rPr>
        <w:t>Every herb profile includes a three-tier confidence rating: Traditional Use, Some Evidence, or Stronger Evidence. Where clinical studies exist, the handbook references them. Where only traditional use exists, it says so plainly. No overpromising.</w:t>
      </w:r>
    </w:p>
    <w:p>
      <w:pPr>
        <w:spacing w:before="200" w:after="80" w:line="320" w:lineRule="exact"/>
      </w:pPr>
      <w:r>
        <w:rPr>
          <w:rFonts w:ascii="Georgia" w:hAnsi="Georgia"/>
          <w:b/>
          <w:i w:val="0"/>
          <w:color w:val="1A1A1A"/>
          <w:sz w:val="22"/>
          <w:u w:val="none"/>
        </w:rPr>
        <w:t>I’m on medications. Does this cover drug interactions?</w:t>
      </w:r>
    </w:p>
    <w:p>
      <w:pPr>
        <w:spacing w:after="160" w:before="0" w:line="320" w:lineRule="exact"/>
      </w:pPr>
      <w:r>
        <w:rPr>
          <w:rFonts w:ascii="Georgia" w:hAnsi="Georgia"/>
          <w:b w:val="0"/>
          <w:i w:val="0"/>
          <w:color w:val="333333"/>
          <w:sz w:val="22"/>
          <w:u w:val="none"/>
        </w:rPr>
        <w:t>Yes. The handbook flags documented interactions with common medication categories — SSRIs, blood thinners, birth control, blood pressure medications, and more — directly on each herb profile.</w:t>
      </w:r>
    </w:p>
    <w:p>
      <w:pPr>
        <w:spacing w:before="200" w:after="80" w:line="320" w:lineRule="exact"/>
      </w:pPr>
      <w:r>
        <w:rPr>
          <w:rFonts w:ascii="Georgia" w:hAnsi="Georgia"/>
          <w:b/>
          <w:i w:val="0"/>
          <w:color w:val="1A1A1A"/>
          <w:sz w:val="22"/>
          <w:u w:val="none"/>
        </w:rPr>
        <w:t>Is this safe to use for children’s dosing?</w:t>
      </w:r>
    </w:p>
    <w:p>
      <w:pPr>
        <w:spacing w:after="160" w:before="0" w:line="320" w:lineRule="exact"/>
      </w:pPr>
      <w:r>
        <w:rPr>
          <w:rFonts w:ascii="Georgia" w:hAnsi="Georgia"/>
          <w:b w:val="0"/>
          <w:i w:val="0"/>
          <w:color w:val="333333"/>
          <w:sz w:val="22"/>
          <w:u w:val="none"/>
        </w:rPr>
        <w:t>The handbook includes pediatric dosing ranges with age-based cutoffs. It also flags herbs that are not appropriate for children and notes when professional guidance is recommended.</w:t>
      </w:r>
    </w:p>
    <w:p>
      <w:pPr>
        <w:spacing w:before="200" w:after="80" w:line="320" w:lineRule="exact"/>
      </w:pPr>
      <w:r>
        <w:rPr>
          <w:rFonts w:ascii="Georgia" w:hAnsi="Georgia"/>
          <w:b/>
          <w:i w:val="0"/>
          <w:color w:val="1A1A1A"/>
          <w:sz w:val="22"/>
          <w:u w:val="none"/>
        </w:rPr>
        <w:t>What if I’m not satisfied?</w:t>
      </w:r>
    </w:p>
    <w:p>
      <w:pPr>
        <w:spacing w:after="160" w:before="0" w:line="320" w:lineRule="exact"/>
      </w:pPr>
      <w:r>
        <w:rPr>
          <w:rFonts w:ascii="Georgia" w:hAnsi="Georgia"/>
          <w:b w:val="0"/>
          <w:i w:val="0"/>
          <w:color w:val="333333"/>
          <w:sz w:val="22"/>
          <w:u w:val="none"/>
        </w:rPr>
        <w:t>Return it within 30 days for a full refund. No questionnaire.</w:t>
      </w:r>
    </w:p>
    <w:p>
      <w:pPr>
        <w:spacing w:before="120" w:after="120"/>
        <w:pBdr>
          <w:bottom w:val="single" w:sz="4" w:space="1" w:color="cccccc"/>
        </w:pBdr>
      </w:pPr>
    </w:p>
    <w:p>
      <w:pPr>
        <w:spacing w:after="240" w:before="0" w:line="320" w:lineRule="exact"/>
        <w:jc w:val="center"/>
      </w:pPr>
      <w:r>
        <w:rPr>
          <w:rFonts w:ascii="Georgia" w:hAnsi="Georgia"/>
          <w:b/>
          <w:i w:val="0"/>
          <w:color w:val="006699"/>
          <w:sz w:val="26"/>
          <w:u w:val="single"/>
        </w:rPr>
        <w:t>Get the Honest Herbalist Handbook — $49</w:t>
      </w:r>
    </w:p>
    <w:p>
      <w:pPr>
        <w:spacing w:before="240" w:after="160" w:line="320" w:lineRule="exact"/>
      </w:pPr>
      <w:r>
        <w:rPr>
          <w:rFonts w:ascii="Georgia" w:hAnsi="Georgia"/>
          <w:b/>
          <w:i w:val="0"/>
          <w:color w:val="1A1A1A"/>
          <w:sz w:val="22"/>
          <w:u w:val="none"/>
        </w:rPr>
        <w:t xml:space="preserve">P.S. </w:t>
      </w:r>
      <w:r>
        <w:rPr>
          <w:rFonts w:ascii="Georgia" w:hAnsi="Georgia"/>
          <w:b w:val="0"/>
          <w:i w:val="0"/>
          <w:color w:val="333333"/>
          <w:sz w:val="22"/>
          <w:u w:val="none"/>
        </w:rPr>
        <w:t xml:space="preserve">— </w:t>
      </w:r>
      <w:r>
        <w:rPr>
          <w:rFonts w:ascii="Georgia" w:hAnsi="Georgia"/>
          <w:b w:val="0"/>
          <w:i w:val="0"/>
          <w:color w:val="333333"/>
          <w:sz w:val="22"/>
          <w:u w:val="none"/>
        </w:rPr>
        <w:t>Every herb guide tells you what chamomile is good for. This is the one that tells you how much to give a six-year-old, what medications it interacts with, and when to stop using it. That’s the difference. And it’s the reason over 12,000 readers keep this on their kitchen counter.</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