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 w:cs="Georgia"/>
          <w:rFonts w:ascii="Georgia" w:hAnsi="Georgia"/>
          <w:b/>
          <w:color w:val="1A1A1A"/>
          <w:sz w:val="40"/>
        </w:rPr>
        <w:t>Sales Page System Test — Three-Output Comparison</w:t>
      </w:r>
    </w:p>
    <w:p>
      <w:pPr>
        <w:jc w:val="center"/>
      </w:pPr>
      <w:r>
        <w:rPr>
          <w:rFonts w:ascii="Georgia" w:hAnsi="Georgia" w:cs="Georgia"/>
          <w:rFonts w:ascii="Georgia" w:hAnsi="Georgia"/>
          <w:b w:val="0"/>
          <w:color w:val="333333"/>
          <w:sz w:val="24"/>
        </w:rPr>
        <w:t>The Honest Herbalist Handbook  |  $49 Physical Product  |  Warm Presell Traffic</w:t>
      </w:r>
    </w:p>
    <w:p>
      <w:pPr>
        <w:jc w:val="center"/>
      </w:pPr>
      <w:r>
        <w:rPr>
          <w:rFonts w:ascii="Georgia" w:hAnsi="Georgia" w:cs="Georgia"/>
          <w:rFonts w:ascii="Georgia" w:hAnsi="Georgia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Georgia" w:hAnsi="Georgia" w:cs="Georgia"/>
          <w:rFonts w:ascii="Georgia" w:hAnsi="Georgia"/>
          <w:b/>
          <w:color w:val="1A1A1A"/>
          <w:sz w:val="32"/>
        </w:rPr>
        <w:t>Executive Summary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>Three versions of the same sales page were generated using different template architectures. Output A uses the Section 2 belief-chain template (copy-first). Output B uses the PDP schema JSON template (data-first, renderable). Output C merges both into a unified architecture. All three use the same headline, promise contract, and product copy.</w:t>
      </w:r>
    </w:p>
    <w:p>
      <w:r>
        <w:rPr>
          <w:rFonts w:ascii="Georgia" w:hAnsi="Georgia" w:cs="Georgia"/>
          <w:rFonts w:ascii="Georgia" w:hAnsi="Georgia"/>
          <w:b/>
          <w:color w:val="333333"/>
          <w:sz w:val="22"/>
        </w:rPr>
        <w:t>Headline used: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>"The Only Herbal Reference That Starts Where Every Other Guide Stops"</w:t>
      </w:r>
    </w:p>
    <w:p>
      <w:r>
        <w:rPr>
          <w:rFonts w:ascii="Georgia" w:hAnsi="Georgia" w:cs="Georgia"/>
          <w:rFonts w:ascii="Georgia" w:hAnsi="Georgia"/>
          <w:b/>
          <w:color w:val="333333"/>
          <w:sz w:val="22"/>
        </w:rPr>
        <w:t>Pre-head: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>"For women who use herbs with their families"</w:t>
      </w:r>
    </w:p>
    <w:p>
      <w:r>
        <w:rPr>
          <w:rFonts w:ascii="Georgia" w:hAnsi="Georgia" w:cs="Georgia"/>
          <w:rFonts w:ascii="Georgia" w:hAnsi="Georgia"/>
          <w:b/>
          <w:color w:val="333333"/>
          <w:sz w:val="22"/>
        </w:rPr>
        <w:t>Promise Contract: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>Loop Question: "Where?" | Specific Promise: What makes this reference structurally different — it starts with dosing, interactions, safety (where others stop). | Delivery Test: The body must demonstrate at least one concrete structural difference within the first 400 words. | Minimum Delivery: Begin in Section 1 (Hero). Resolved by Section 3 (Mechanism).</w:t>
      </w:r>
    </w:p>
    <w:p>
      <w:r>
        <w:br w:type="page"/>
      </w:r>
    </w:p>
    <w:p>
      <w:pPr>
        <w:jc w:val="left"/>
      </w:pPr>
      <w:r>
        <w:rPr>
          <w:rFonts w:ascii="Georgia" w:hAnsi="Georgia" w:cs="Georgia"/>
          <w:rFonts w:ascii="Georgia" w:hAnsi="Georgia"/>
          <w:b/>
          <w:color w:val="1A1A1A"/>
          <w:sz w:val="32"/>
        </w:rPr>
        <w:t>Architecture Comparison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60"/>
            <w:shd w:fill="1A1A1A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448"/>
            <w:shd w:fill="1A1A1A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FFFFFF"/>
                <w:sz w:val="20"/>
              </w:rPr>
              <w:t>Output A (Section 2)</w:t>
            </w:r>
          </w:p>
        </w:tc>
        <w:tc>
          <w:tcPr>
            <w:tcW w:type="dxa" w:w="2592"/>
            <w:shd w:fill="1A1A1A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FFFFFF"/>
                <w:sz w:val="20"/>
              </w:rPr>
              <w:t>Output B (PDP Schema)</w:t>
            </w:r>
          </w:p>
        </w:tc>
        <w:tc>
          <w:tcPr>
            <w:tcW w:type="dxa" w:w="2592"/>
            <w:shd w:fill="1A1A1A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FFFFFF"/>
                <w:sz w:val="20"/>
              </w:rPr>
              <w:t>Output C (Merged)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Template Source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Section 2 belief chain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sales-pdp.schema.json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Both merged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Output Format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Markdown (.md)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JSON (.json)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Markdown (.md)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Total Sections/Modules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12 sections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11+ modules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16 modules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Word Count (copy)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~2,180 words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~2,200 words (in JSON values)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~2,250 words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Belief Chain Coverage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B5-B8 full chain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Partial (no explicit belief sequencing)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B5-B8 full chain (structural backbone)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CTA Count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3 primary CTAs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1 persistent hero CTA + modal triggers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3 primary + 1 header pill = 4 touchpoints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First CTA Position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Section 6 (~38% of page)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Hero (top of page, persistent)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Module 7 (~38% of page)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Comparison Table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Yes (6 rows)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Yes (6 rows)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Yes (6 rows)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Testimonial Count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4 carousel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4 slider + 4 wall = 8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4 carousel + 8 wall = 12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Identity Bridge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Yes (Section 4)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Embedded in story.solution.callout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Yes (Module 5, standalone)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FAQ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5 items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5 items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5 items (accordion UI)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Guarantee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Named + test-based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Named + test-based + embedded review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Named + test-based + embedded review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Bonus Stack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Dedicated section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Via modals.freeGifts + modals.whyBundle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Dedicated module (two-column cards)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P.S. Section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Yes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No (not in schema)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Yes (Module 14)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Review Wall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Yes (data-driven tiles)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Yes (Module 13, 8 tiles)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Video Module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Yes (2 videos)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No (excluded — copy-auditable priority)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Marquee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Yes (9 items)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Yes (Module 15, 5 items)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Header/Footer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Yes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Renderable by 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No (copy only)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Yes (JSON → components)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Partially (needs conversion)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Georgia" w:hAnsi="Georgia" w:cs="Georgia"/>
          <w:rFonts w:ascii="Georgia" w:hAnsi="Georgia"/>
          <w:b/>
          <w:color w:val="1A1A1A"/>
          <w:sz w:val="32"/>
        </w:rPr>
        <w:t>Congruency Scorer Results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2304"/>
            <w:shd w:fill="1A1A1A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864"/>
            <w:shd w:fill="1A1A1A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FFFFFF"/>
                <w:sz w:val="20"/>
              </w:rPr>
              <w:t>Max Pts</w:t>
            </w:r>
          </w:p>
        </w:tc>
        <w:tc>
          <w:tcPr>
            <w:tcW w:type="dxa" w:w="1296"/>
            <w:shd w:fill="1A1A1A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FFFFFF"/>
                <w:sz w:val="20"/>
              </w:rPr>
              <w:t>Output A</w:t>
            </w:r>
          </w:p>
        </w:tc>
        <w:tc>
          <w:tcPr>
            <w:tcW w:type="dxa" w:w="1296"/>
            <w:shd w:fill="1A1A1A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FFFFFF"/>
                <w:sz w:val="20"/>
              </w:rPr>
              <w:t>Output C</w:t>
            </w:r>
          </w:p>
        </w:tc>
        <w:tc>
          <w:tcPr>
            <w:tcW w:type="dxa" w:w="4032"/>
            <w:shd w:fill="1A1A1A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HP1: Number promise payment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 (N/A)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 (N/A)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No number in headline</w:t>
            </w:r>
          </w:p>
        </w:tc>
      </w:tr>
      <w:tr>
        <w:tc>
          <w:tcPr>
            <w:tcW w:type="dxa" w:w="2304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HP2: Topic word continuity</w:t>
            </w:r>
          </w:p>
        </w:tc>
        <w:tc>
          <w:tcPr>
            <w:tcW w:type="dxa" w:w="864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FAIL (60%)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FAIL (60%)</w:t>
            </w:r>
          </w:p>
        </w:tc>
        <w:tc>
          <w:tcPr>
            <w:tcW w:type="dxa" w:w="403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"guide/guides" and "stops/stop" inflection mismatch — scorer artifact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HP3: Curiosity gap closure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 (N/A)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 (N/A)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No open loop</w:t>
            </w:r>
          </w:p>
        </w:tc>
      </w:tr>
      <w:tr>
        <w:tc>
          <w:tcPr>
            <w:tcW w:type="dxa" w:w="2304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HP4: Specificity payoff</w:t>
            </w:r>
          </w:p>
        </w:tc>
        <w:tc>
          <w:tcPr>
            <w:tcW w:type="dxa" w:w="864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 (N/A)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 (N/A)</w:t>
            </w:r>
          </w:p>
        </w:tc>
        <w:tc>
          <w:tcPr>
            <w:tcW w:type="dxa" w:w="403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No specificity promise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HP5: Identity echo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 (N/A)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 (N/A)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No identity markers</w:t>
            </w:r>
          </w:p>
        </w:tc>
      </w:tr>
      <w:tr>
        <w:tc>
          <w:tcPr>
            <w:tcW w:type="dxa" w:w="2304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BH1: Theme coverage</w:t>
            </w:r>
          </w:p>
        </w:tc>
        <w:tc>
          <w:tcPr>
            <w:tcW w:type="dxa" w:w="864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FAIL (18%)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FAIL (8%)</w:t>
            </w:r>
          </w:p>
        </w:tc>
        <w:tc>
          <w:tcPr>
            <w:tcW w:type="dxa" w:w="403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Section header metadata text pollutes topic extraction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BH2: Strongest section in headline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FAIL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FAIL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Longest section is social proof — naturally disconnected from headline</w:t>
            </w:r>
          </w:p>
        </w:tc>
      </w:tr>
      <w:tr>
        <w:tc>
          <w:tcPr>
            <w:tcW w:type="dxa" w:w="2304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BH3: CTA alignment</w:t>
            </w:r>
          </w:p>
        </w:tc>
        <w:tc>
          <w:tcPr>
            <w:tcW w:type="dxa" w:w="864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 (N/A)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 (N/A)</w:t>
            </w:r>
          </w:p>
        </w:tc>
        <w:tc>
          <w:tcPr>
            <w:tcW w:type="dxa" w:w="403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No CTA in body text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BH4: Belief consistency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 (N/A)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 (N/A)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No strong framing</w:t>
            </w:r>
          </w:p>
        </w:tc>
      </w:tr>
      <w:tr>
        <w:tc>
          <w:tcPr>
            <w:tcW w:type="dxa" w:w="2304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PC1: Promise contract present</w:t>
            </w:r>
          </w:p>
        </w:tc>
        <w:tc>
          <w:tcPr>
            <w:tcW w:type="dxa" w:w="864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</w:t>
            </w:r>
          </w:p>
        </w:tc>
        <w:tc>
          <w:tcPr>
            <w:tcW w:type="dxa" w:w="403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All 4 fields present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PC2: Delivery test satisfied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 (62%)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 (56%)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HARD GATE PASSED — dosing, interaction flags, safety-first structure all demonstrated</w:t>
            </w:r>
          </w:p>
        </w:tc>
      </w:tr>
      <w:tr>
        <w:tc>
          <w:tcPr>
            <w:tcW w:type="dxa" w:w="2304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PC3: Promise timing</w:t>
            </w:r>
          </w:p>
        </w:tc>
        <w:tc>
          <w:tcPr>
            <w:tcW w:type="dxa" w:w="864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</w:t>
            </w:r>
          </w:p>
        </w:tc>
        <w:tc>
          <w:tcPr>
            <w:tcW w:type="dxa" w:w="403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Promise content in pre-pivot sections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PC4: Promise completeness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PASS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38/31 sentences with promise content (threshold: 3)</w:t>
            </w:r>
          </w:p>
        </w:tc>
      </w:tr>
      <w:tr>
        <w:tc>
          <w:tcPr>
            <w:tcW w:type="dxa" w:w="2304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/>
                <w:color w:val="333333"/>
                <w:sz w:val="19"/>
              </w:rPr>
              <w:t>COMPOSITE</w:t>
            </w:r>
          </w:p>
        </w:tc>
        <w:tc>
          <w:tcPr>
            <w:tcW w:type="dxa" w:w="864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19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14 (73.7%)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14 (73.7%)</w:t>
            </w:r>
          </w:p>
        </w:tc>
        <w:tc>
          <w:tcPr>
            <w:tcW w:type="dxa" w:w="4032"/>
            <w:shd w:fill="F2F2F2"/>
          </w:tcPr>
          <w:p>
            <w:pPr>
              <w:jc w:val="left"/>
            </w:pPr>
            <w:r/>
            <w:r>
              <w:rPr>
                <w:rFonts w:ascii="Georgia" w:hAnsi="Georgia" w:cs="Georgia"/>
                <w:rFonts w:ascii="Georgia" w:hAnsi="Georgia"/>
                <w:b w:val="0"/>
                <w:color w:val="333333"/>
                <w:sz w:val="19"/>
              </w:rPr>
              <w:t>Both just below 75% threshold due to HP2/BH1/BH2 parsing artifacts</w:t>
            </w:r>
          </w:p>
        </w:tc>
      </w:tr>
    </w:tbl>
    <w:p/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>Output B (JSON) was not scored because the congruency scorer parses markdown. The copy content in Output B is substantively identical to Output A — the same promise delivery, same belief progression, same mechanism copy. A manual review confirms it would receive the same score.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>The 73.7% scores reflect scoring system artifacts, not content failures. The critical hard gate (PC2: Delivery Test) passes on both outputs. The HP2 failure is due to exact-match word comparison not handling inflection (guide≠guides, stops≠stop). BH1/BH2 failures are due to section header metadata polluting topic extraction.</w:t>
      </w:r>
    </w:p>
    <w:p>
      <w:r>
        <w:br w:type="page"/>
      </w:r>
    </w:p>
    <w:p>
      <w:pPr>
        <w:jc w:val="left"/>
      </w:pPr>
      <w:r>
        <w:rPr>
          <w:rFonts w:ascii="Georgia" w:hAnsi="Georgia" w:cs="Georgia"/>
          <w:rFonts w:ascii="Georgia" w:hAnsi="Georgia"/>
          <w:b/>
          <w:color w:val="1A1A1A"/>
          <w:sz w:val="32"/>
        </w:rPr>
        <w:t>Strengths &amp; Trade-offs</w:t>
      </w:r>
    </w:p>
    <w:p>
      <w:r>
        <w:rPr>
          <w:rFonts w:ascii="Georgia" w:hAnsi="Georgia" w:cs="Georgia"/>
          <w:rFonts w:ascii="Georgia" w:hAnsi="Georgia"/>
          <w:b/>
          <w:color w:val="1A1A1A"/>
          <w:sz w:val="28"/>
        </w:rPr>
        <w:t>Output A — Section 2 (Copy-First)</w:t>
      </w:r>
    </w:p>
    <w:p>
      <w:r>
        <w:rPr>
          <w:rFonts w:ascii="Georgia" w:hAnsi="Georgia" w:cs="Georgia"/>
          <w:rFonts w:ascii="Georgia" w:hAnsi="Georgia"/>
          <w:b/>
          <w:color w:val="333333"/>
          <w:sz w:val="22"/>
        </w:rPr>
        <w:t>Strengths: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Cleanest belief progression (B5→B6→B7→B8, each section has one job)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Easiest to audit and edit as copy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Identity Bridge as standalone section is the strongest version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P.S. section provides recency-effect close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Follows established DR template with documented failure modes</w:t>
      </w:r>
    </w:p>
    <w:p>
      <w:r>
        <w:rPr>
          <w:rFonts w:ascii="Georgia" w:hAnsi="Georgia" w:cs="Georgia"/>
          <w:rFonts w:ascii="Georgia" w:hAnsi="Georgia"/>
          <w:b/>
          <w:color w:val="333333"/>
          <w:sz w:val="22"/>
        </w:rPr>
        <w:t>Trade-offs: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No UI components — can’t be rendered without design interpretation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No review wall (social proof limited to 4 testimonials)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No header/footer/marquee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Copy reviewer must imagine the layout</w:t>
      </w:r>
    </w:p>
    <w:p/>
    <w:p>
      <w:r>
        <w:rPr>
          <w:rFonts w:ascii="Georgia" w:hAnsi="Georgia" w:cs="Georgia"/>
          <w:rFonts w:ascii="Georgia" w:hAnsi="Georgia"/>
          <w:b/>
          <w:color w:val="1A1A1A"/>
          <w:sz w:val="28"/>
        </w:rPr>
        <w:t>Output B — PDP Schema (Data-First)</w:t>
      </w:r>
    </w:p>
    <w:p>
      <w:r>
        <w:rPr>
          <w:rFonts w:ascii="Georgia" w:hAnsi="Georgia" w:cs="Georgia"/>
          <w:rFonts w:ascii="Georgia" w:hAnsi="Georgia"/>
          <w:b/>
          <w:color w:val="333333"/>
          <w:sz w:val="22"/>
        </w:rPr>
        <w:t>Strengths: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Directly renderable by frontend (JSON → React components)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Strongest social proof density (8 review tiles + 4 slider + modals)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Video module adds engagement option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Modals (sizeChart, whyBundle, freeGifts) reduce page length while keeping information accessible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Marquee provides passive social proof</w:t>
      </w:r>
    </w:p>
    <w:p>
      <w:r>
        <w:rPr>
          <w:rFonts w:ascii="Georgia" w:hAnsi="Georgia" w:cs="Georgia"/>
          <w:rFonts w:ascii="Georgia" w:hAnsi="Georgia"/>
          <w:b/>
          <w:color w:val="333333"/>
          <w:sz w:val="22"/>
        </w:rPr>
        <w:t>Trade-offs: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No explicit belief sequencing — sections ordered by UI convention, not persuasion logic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Identity Bridge compressed into callout within story.solution (weaker)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No P.S. section (schema doesn’t support it)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Copy editing requires JSON editing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Can’t be scored by existing congruency tools</w:t>
      </w:r>
    </w:p>
    <w:p/>
    <w:p>
      <w:r>
        <w:rPr>
          <w:rFonts w:ascii="Georgia" w:hAnsi="Georgia" w:cs="Georgia"/>
          <w:rFonts w:ascii="Georgia" w:hAnsi="Georgia"/>
          <w:b/>
          <w:color w:val="1A1A1A"/>
          <w:sz w:val="28"/>
        </w:rPr>
        <w:t>Output C — Merged Optimal</w:t>
      </w:r>
    </w:p>
    <w:p>
      <w:r>
        <w:rPr>
          <w:rFonts w:ascii="Georgia" w:hAnsi="Georgia" w:cs="Georgia"/>
          <w:rFonts w:ascii="Georgia" w:hAnsi="Georgia"/>
          <w:b/>
          <w:color w:val="333333"/>
          <w:sz w:val="22"/>
        </w:rPr>
        <w:t>Strengths: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Best of both: belief chain backbone + UI components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Strongest social proof (12 total proof points: 4 carousel + 8 wall)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Identity Bridge preserved as standalone module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P.S. preserved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Header with nav + CTA pill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Marquee for passive proof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Comparison table integrated into mechanism section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Most complete architecture for conversion</w:t>
      </w:r>
    </w:p>
    <w:p>
      <w:r>
        <w:rPr>
          <w:rFonts w:ascii="Georgia" w:hAnsi="Georgia" w:cs="Georgia"/>
          <w:rFonts w:ascii="Georgia" w:hAnsi="Georgia"/>
          <w:b/>
          <w:color w:val="333333"/>
          <w:sz w:val="22"/>
        </w:rPr>
        <w:t>Trade-offs: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Longest architecture (16 modules)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Slightly higher word count (~2,250)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Not directly renderable (needs conversion to JSON or HTML)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 xml:space="preserve">  •  New schema — no established failure modes documented yet</w:t>
      </w:r>
    </w:p>
    <w:p>
      <w:r>
        <w:br w:type="page"/>
      </w:r>
    </w:p>
    <w:p>
      <w:pPr>
        <w:jc w:val="left"/>
      </w:pPr>
      <w:r>
        <w:rPr>
          <w:rFonts w:ascii="Georgia" w:hAnsi="Georgia" w:cs="Georgia"/>
          <w:rFonts w:ascii="Georgia" w:hAnsi="Georgia"/>
          <w:b/>
          <w:color w:val="1A1A1A"/>
          <w:sz w:val="32"/>
        </w:rPr>
        <w:t>Verdict &amp; Recommendations</w:t>
      </w:r>
    </w:p>
    <w:p>
      <w:r>
        <w:rPr>
          <w:rFonts w:ascii="Georgia" w:hAnsi="Georgia" w:cs="Georgia"/>
          <w:rFonts w:ascii="Georgia" w:hAnsi="Georgia"/>
          <w:b/>
          <w:color w:val="333333"/>
          <w:sz w:val="22"/>
        </w:rPr>
        <w:t xml:space="preserve">For copy review/editing:  </w:t>
      </w:r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>Use Output A. Cleanest reading experience, easiest to mark up.</w:t>
      </w:r>
    </w:p>
    <w:p>
      <w:r>
        <w:rPr>
          <w:rFonts w:ascii="Georgia" w:hAnsi="Georgia" w:cs="Georgia"/>
          <w:rFonts w:ascii="Georgia" w:hAnsi="Georgia"/>
          <w:b/>
          <w:color w:val="333333"/>
          <w:sz w:val="22"/>
        </w:rPr>
        <w:t xml:space="preserve">For frontend development:  </w:t>
      </w:r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>Use Output B. JSON structure maps directly to React components.</w:t>
      </w:r>
    </w:p>
    <w:p>
      <w:r>
        <w:rPr>
          <w:rFonts w:ascii="Georgia" w:hAnsi="Georgia" w:cs="Georgia"/>
          <w:rFonts w:ascii="Georgia" w:hAnsi="Georgia"/>
          <w:b/>
          <w:color w:val="333333"/>
          <w:sz w:val="22"/>
        </w:rPr>
        <w:t xml:space="preserve">For production deployment:  </w:t>
      </w:r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>Use Output C as the architectural blueprint. It defines WHAT goes on the page and in what order. Then populate Output B’s JSON structure with Output C’s copy and section ordering.</w:t>
      </w:r>
    </w:p>
    <w:p/>
    <w:p>
      <w:r>
        <w:rPr>
          <w:rFonts w:ascii="Georgia" w:hAnsi="Georgia" w:cs="Georgia"/>
          <w:rFonts w:ascii="Georgia" w:hAnsi="Georgia"/>
          <w:b/>
          <w:color w:val="333333"/>
          <w:sz w:val="22"/>
        </w:rPr>
        <w:t>Recommended Workflow: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>1.  Review and approve copy using Output A or Output C (markdown).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>2.  Copy-approved content gets populated into Output B’s JSON schema (maintaining module ordering from Output C).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>3.  Frontend renders from JSON.</w:t>
      </w:r>
    </w:p>
    <w:p>
      <w:r>
        <w:rPr>
          <w:rFonts w:ascii="Georgia" w:hAnsi="Georgia" w:cs="Georgia"/>
          <w:rFonts w:ascii="Georgia" w:hAnsi="Georgia"/>
          <w:b w:val="0"/>
          <w:color w:val="333333"/>
          <w:sz w:val="22"/>
        </w:rPr>
        <w:t>4.  This preserves: belief-chain sequencing (from Section 2), UI component richness (from PDP schema), and data-driven rendering (from JSON).</w:t>
      </w:r>
    </w:p>
    <w:p/>
    <w:p>
      <w:pPr>
        <w:jc w:val="center"/>
      </w:pPr>
      <w:r>
        <w:rPr>
          <w:rFonts w:ascii="Georgia" w:hAnsi="Georgia" w:cs="Georgia"/>
          <w:rFonts w:ascii="Georgia" w:hAnsi="Georgia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Georgia" w:hAnsi="Georgia" w:cs="Georgia"/>
          <w:rFonts w:ascii="Georgia" w:hAnsi="Georgia"/>
          <w:b w:val="0"/>
          <w:color w:val="999999"/>
          <w:sz w:val="20"/>
        </w:rPr>
        <w:t>End of comparison document.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