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6108F" w14:textId="264E5F70" w:rsidR="00A3609E" w:rsidRPr="00C83ECF" w:rsidRDefault="00A3609E" w:rsidP="00A3609E">
      <w:pPr>
        <w:spacing w:before="0" w:after="160"/>
        <w:rPr>
          <w:color w:val="FF00FF"/>
        </w:rPr>
      </w:pPr>
    </w:p>
    <w:tbl>
      <w:tblPr>
        <w:tblStyle w:val="TableGrid"/>
        <w:tblW w:w="5000" w:type="pct"/>
        <w:tblLook w:val="04A0" w:firstRow="1" w:lastRow="0" w:firstColumn="1" w:lastColumn="0" w:noHBand="0" w:noVBand="1"/>
      </w:tblPr>
      <w:tblGrid>
        <w:gridCol w:w="9350"/>
      </w:tblGrid>
      <w:tr w:rsidR="00A3609E" w:rsidRPr="00C83ECF" w14:paraId="2AB2DCD9" w14:textId="77777777" w:rsidTr="73960BB4">
        <w:tc>
          <w:tcPr>
            <w:tcW w:w="5000" w:type="pct"/>
            <w:shd w:val="clear" w:color="auto" w:fill="F2F2F2" w:themeFill="background1" w:themeFillShade="F2"/>
          </w:tcPr>
          <w:p w14:paraId="53562413" w14:textId="41D19BE8" w:rsidR="00A3609E" w:rsidRPr="00C83ECF" w:rsidRDefault="004D2188" w:rsidP="00BE094D">
            <w:pPr>
              <w:rPr>
                <w:color w:val="FF66CC"/>
              </w:rPr>
            </w:pPr>
            <w:bookmarkStart w:id="0" w:name="_Ref92709455"/>
            <w:bookmarkEnd w:id="0"/>
            <w:r>
              <w:rPr>
                <w:b/>
                <w:color w:val="FF66CC"/>
                <w:sz w:val="24"/>
              </w:rPr>
              <w:t xml:space="preserve">Cloud Transition Services (CTS) </w:t>
            </w:r>
            <w:r>
              <w:rPr>
                <w:b/>
                <w:color w:val="FF66CC"/>
                <w:sz w:val="24"/>
              </w:rPr>
              <w:br/>
            </w:r>
            <w:r w:rsidR="00A3609E" w:rsidRPr="00C83ECF">
              <w:rPr>
                <w:b/>
                <w:color w:val="FF66CC"/>
                <w:sz w:val="24"/>
              </w:rPr>
              <w:t xml:space="preserve">Creation Template Guidance </w:t>
            </w:r>
            <w:r w:rsidR="00A3609E" w:rsidRPr="00C83ECF">
              <w:rPr>
                <w:b/>
                <w:color w:val="FF66CC"/>
                <w:sz w:val="24"/>
              </w:rPr>
              <w:br/>
            </w:r>
            <w:r w:rsidR="00A3609E" w:rsidRPr="00C83ECF">
              <w:rPr>
                <w:b/>
                <w:color w:val="FF66CC"/>
                <w:szCs w:val="20"/>
                <w:highlight w:val="yellow"/>
              </w:rPr>
              <w:t>(</w:t>
            </w:r>
            <w:r w:rsidR="00A3609E" w:rsidRPr="00C83ECF">
              <w:rPr>
                <w:rStyle w:val="InstructionalChar"/>
                <w:b/>
                <w:color w:val="FF66CC"/>
                <w:szCs w:val="20"/>
                <w:highlight w:val="yellow"/>
              </w:rPr>
              <w:t>Delete this page &amp; table before sending to a Customer!)</w:t>
            </w:r>
          </w:p>
        </w:tc>
      </w:tr>
      <w:tr w:rsidR="00A3609E" w:rsidRPr="00C83ECF" w14:paraId="6FCC944D" w14:textId="77777777" w:rsidTr="73960BB4">
        <w:trPr>
          <w:trHeight w:val="1880"/>
        </w:trPr>
        <w:tc>
          <w:tcPr>
            <w:tcW w:w="5000" w:type="pct"/>
          </w:tcPr>
          <w:p w14:paraId="2ACF328C" w14:textId="77777777" w:rsidR="00A3609E" w:rsidRPr="00C83ECF" w:rsidRDefault="00A3609E" w:rsidP="00BE094D">
            <w:r w:rsidRPr="00C83ECF">
              <w:rPr>
                <w:b/>
                <w:color w:val="FF66CC"/>
                <w:sz w:val="24"/>
              </w:rPr>
              <w:t xml:space="preserve">About this </w:t>
            </w:r>
            <w:r>
              <w:rPr>
                <w:b/>
                <w:color w:val="FF66CC"/>
                <w:sz w:val="24"/>
              </w:rPr>
              <w:t>document</w:t>
            </w:r>
          </w:p>
          <w:p w14:paraId="69D2E3CC" w14:textId="7BF3955D" w:rsidR="00A3609E" w:rsidRPr="00C83ECF" w:rsidRDefault="00A3609E" w:rsidP="00BE094D">
            <w:r w:rsidRPr="00C83ECF">
              <w:t xml:space="preserve">This </w:t>
            </w:r>
            <w:r>
              <w:t>document</w:t>
            </w:r>
            <w:r w:rsidRPr="00C83ECF">
              <w:t xml:space="preserve"> has been created by the Offerings Teams as a</w:t>
            </w:r>
            <w:r>
              <w:t xml:space="preserve">n insert into a customer’s ESWO </w:t>
            </w:r>
            <w:r w:rsidRPr="00C83ECF">
              <w:t xml:space="preserve">only for the Offering it represents and that is a published Microsoft </w:t>
            </w:r>
            <w:r w:rsidR="001F1726">
              <w:t xml:space="preserve">Industry Solutions Delivery </w:t>
            </w:r>
            <w:r w:rsidRPr="00C83ECF">
              <w:t>worldwide Phoenix Catalog (CompassOne) Offering.</w:t>
            </w:r>
          </w:p>
          <w:p w14:paraId="5A79F920" w14:textId="77777777" w:rsidR="00A3609E" w:rsidRPr="00C83ECF" w:rsidRDefault="00A3609E" w:rsidP="00BE094D">
            <w:pPr>
              <w:rPr>
                <w:b/>
              </w:rPr>
            </w:pPr>
            <w:r w:rsidRPr="00C83ECF">
              <w:rPr>
                <w:b/>
              </w:rPr>
              <w:t xml:space="preserve">This </w:t>
            </w:r>
            <w:r>
              <w:rPr>
                <w:b/>
              </w:rPr>
              <w:t>document</w:t>
            </w:r>
            <w:r w:rsidRPr="00C83ECF">
              <w:rPr>
                <w:b/>
              </w:rPr>
              <w:t xml:space="preserve">, and the content contained within, can be used in </w:t>
            </w:r>
            <w:r>
              <w:rPr>
                <w:b/>
              </w:rPr>
              <w:t>this</w:t>
            </w:r>
            <w:r w:rsidRPr="00C83ECF">
              <w:rPr>
                <w:b/>
              </w:rPr>
              <w:t xml:space="preserve"> scenario:</w:t>
            </w:r>
          </w:p>
          <w:p w14:paraId="14572FAC" w14:textId="31392551" w:rsidR="00A3609E" w:rsidRPr="00C83ECF" w:rsidRDefault="00A3609E">
            <w:pPr>
              <w:pStyle w:val="ListParagraph"/>
              <w:numPr>
                <w:ilvl w:val="0"/>
                <w:numId w:val="10"/>
              </w:numPr>
            </w:pPr>
            <w:r w:rsidRPr="00C83ECF">
              <w:t>As content that can be</w:t>
            </w:r>
            <w:r w:rsidRPr="00C83ECF">
              <w:rPr>
                <w:u w:val="single"/>
              </w:rPr>
              <w:t xml:space="preserve"> inserted into</w:t>
            </w:r>
            <w:r w:rsidRPr="00C83ECF">
              <w:t xml:space="preserve"> a Customer’s ESWO, much as the “Work Order Stub”</w:t>
            </w:r>
            <w:r w:rsidR="009D7B49">
              <w:t xml:space="preserve"> concept</w:t>
            </w:r>
            <w:r w:rsidRPr="00C83ECF">
              <w:t>.</w:t>
            </w:r>
          </w:p>
        </w:tc>
      </w:tr>
      <w:tr w:rsidR="00A3609E" w:rsidRPr="00C83ECF" w14:paraId="6F0EB056" w14:textId="77777777" w:rsidTr="73960BB4">
        <w:trPr>
          <w:trHeight w:val="1070"/>
        </w:trPr>
        <w:tc>
          <w:tcPr>
            <w:tcW w:w="5000" w:type="pct"/>
          </w:tcPr>
          <w:p w14:paraId="16623E5E" w14:textId="77777777" w:rsidR="00A3609E" w:rsidRPr="00C83ECF" w:rsidRDefault="00A3609E" w:rsidP="00BE094D">
            <w:r w:rsidRPr="00C83ECF">
              <w:rPr>
                <w:b/>
                <w:color w:val="FF66CC"/>
                <w:sz w:val="24"/>
              </w:rPr>
              <w:t>Instructions for Deal Creators</w:t>
            </w:r>
          </w:p>
          <w:p w14:paraId="51FF614E" w14:textId="77777777" w:rsidR="00A3609E" w:rsidRPr="00C83ECF" w:rsidRDefault="00A3609E" w:rsidP="00BE094D">
            <w:r w:rsidRPr="00C83ECF">
              <w:t>You will notice throughout this document:</w:t>
            </w:r>
          </w:p>
          <w:p w14:paraId="4D44E047" w14:textId="77777777" w:rsidR="00A3609E" w:rsidRPr="00C83ECF" w:rsidRDefault="00A3609E">
            <w:pPr>
              <w:pStyle w:val="ListParagraph"/>
              <w:numPr>
                <w:ilvl w:val="0"/>
                <w:numId w:val="7"/>
              </w:numPr>
            </w:pPr>
            <w:r w:rsidRPr="00D165C2">
              <w:rPr>
                <w:rStyle w:val="InstructionalChar"/>
              </w:rPr>
              <w:t>Pink text</w:t>
            </w:r>
            <w:r w:rsidRPr="00C83ECF">
              <w:t>, which is instructional and should be deleted before sending to the Customer</w:t>
            </w:r>
          </w:p>
          <w:p w14:paraId="665CCFB1" w14:textId="77777777" w:rsidR="00A3609E" w:rsidRPr="00C83ECF" w:rsidRDefault="00A3609E">
            <w:pPr>
              <w:pStyle w:val="ListParagraph"/>
              <w:numPr>
                <w:ilvl w:val="0"/>
                <w:numId w:val="7"/>
              </w:numPr>
            </w:pPr>
            <w:r w:rsidRPr="00C83ECF">
              <w:rPr>
                <w:rStyle w:val="OptionalChar"/>
              </w:rPr>
              <w:t>Blue text,</w:t>
            </w:r>
            <w:r w:rsidRPr="00C83ECF">
              <w:t xml:space="preserve"> which is optional and should be removed or changed to style ‘normal’ based on the Customer deal before sending to the Customer</w:t>
            </w:r>
          </w:p>
          <w:p w14:paraId="1198B995" w14:textId="78595E27" w:rsidR="00A3609E" w:rsidRPr="00C83ECF" w:rsidRDefault="00837724" w:rsidP="00BE094D">
            <w:r>
              <w:t>The content in this document is designed to be used directly in an ESWO</w:t>
            </w:r>
            <w:r w:rsidR="007D2CF9">
              <w:t>. Complete these steps to tailor for your customer</w:t>
            </w:r>
            <w:r w:rsidR="00A3609E" w:rsidRPr="00C83ECF">
              <w:t>:</w:t>
            </w:r>
          </w:p>
          <w:p w14:paraId="4237DA0D" w14:textId="77777777" w:rsidR="00A3609E" w:rsidRPr="00C83ECF" w:rsidRDefault="00A3609E">
            <w:pPr>
              <w:pStyle w:val="ListParagraph"/>
              <w:numPr>
                <w:ilvl w:val="0"/>
                <w:numId w:val="7"/>
              </w:numPr>
            </w:pPr>
            <w:r w:rsidRPr="00C83ECF">
              <w:t>Update the offer content for the Customer deal.</w:t>
            </w:r>
          </w:p>
          <w:p w14:paraId="73B4F352" w14:textId="77777777" w:rsidR="00A3609E" w:rsidRPr="00C83ECF" w:rsidRDefault="10018FB8">
            <w:pPr>
              <w:pStyle w:val="ListParagraph"/>
              <w:numPr>
                <w:ilvl w:val="0"/>
                <w:numId w:val="7"/>
              </w:numPr>
            </w:pPr>
            <w:r>
              <w:t xml:space="preserve">Remove any </w:t>
            </w:r>
            <w:r w:rsidRPr="73960BB4">
              <w:rPr>
                <w:rStyle w:val="InstructionalChar"/>
              </w:rPr>
              <w:t>Pink text</w:t>
            </w:r>
            <w:r w:rsidRPr="73960BB4">
              <w:rPr>
                <w:color w:val="FF66CC"/>
              </w:rPr>
              <w:t xml:space="preserve"> </w:t>
            </w:r>
            <w:r>
              <w:t>and remove or change any</w:t>
            </w:r>
            <w:r w:rsidRPr="73960BB4">
              <w:rPr>
                <w:color w:val="FF66CC"/>
              </w:rPr>
              <w:t xml:space="preserve"> </w:t>
            </w:r>
            <w:r w:rsidRPr="73960BB4">
              <w:rPr>
                <w:rStyle w:val="OptionalChar"/>
              </w:rPr>
              <w:t>Blue text</w:t>
            </w:r>
            <w:r>
              <w:t>.</w:t>
            </w:r>
          </w:p>
          <w:p w14:paraId="2286D3B2" w14:textId="18DBC7B7" w:rsidR="00A3609E" w:rsidRDefault="00A3609E">
            <w:pPr>
              <w:pStyle w:val="ListParagraph"/>
              <w:numPr>
                <w:ilvl w:val="0"/>
                <w:numId w:val="7"/>
              </w:numPr>
            </w:pPr>
            <w:r w:rsidRPr="00C83ECF">
              <w:t xml:space="preserve">Extract the content in this template and place it directly into the </w:t>
            </w:r>
            <w:r w:rsidRPr="00C83ECF">
              <w:rPr>
                <w:b/>
                <w:i/>
              </w:rPr>
              <w:t xml:space="preserve">section 1.2 Description of </w:t>
            </w:r>
            <w:r w:rsidR="00A236F5">
              <w:rPr>
                <w:b/>
                <w:i/>
              </w:rPr>
              <w:t xml:space="preserve">the </w:t>
            </w:r>
            <w:r w:rsidRPr="00C83ECF">
              <w:rPr>
                <w:b/>
                <w:i/>
              </w:rPr>
              <w:t>Services</w:t>
            </w:r>
            <w:r w:rsidR="00A236F5">
              <w:t>,</w:t>
            </w:r>
            <w:r w:rsidR="00BE5880">
              <w:t xml:space="preserve"> </w:t>
            </w:r>
            <w:r w:rsidRPr="00C83ECF">
              <w:t xml:space="preserve">of an </w:t>
            </w:r>
            <w:r w:rsidRPr="000739BC">
              <w:t>ESWO</w:t>
            </w:r>
            <w:r w:rsidR="000739BC">
              <w:rPr>
                <w:iCs/>
              </w:rPr>
              <w:t xml:space="preserve"> (</w:t>
            </w:r>
            <w:r w:rsidR="007E2D7E">
              <w:rPr>
                <w:iCs/>
              </w:rPr>
              <w:t>maintain</w:t>
            </w:r>
            <w:r w:rsidR="009D337C">
              <w:rPr>
                <w:iCs/>
              </w:rPr>
              <w:t xml:space="preserve"> the </w:t>
            </w:r>
            <w:r w:rsidR="007E2D7E">
              <w:rPr>
                <w:iCs/>
              </w:rPr>
              <w:t>“</w:t>
            </w:r>
            <w:r w:rsidR="003C64B3" w:rsidRPr="003C64B3">
              <w:rPr>
                <w:i/>
                <w:iCs/>
              </w:rPr>
              <w:t>Services Delivery Location: &lt;Country&gt;</w:t>
            </w:r>
            <w:r w:rsidR="003C64B3">
              <w:t>heading)</w:t>
            </w:r>
          </w:p>
          <w:p w14:paraId="676409EB" w14:textId="28A8F003" w:rsidR="009E21AC" w:rsidRDefault="009E21AC">
            <w:pPr>
              <w:pStyle w:val="ListParagraph"/>
              <w:numPr>
                <w:ilvl w:val="0"/>
                <w:numId w:val="7"/>
              </w:numPr>
            </w:pPr>
            <w:r>
              <w:t>Be sure to also attach the Engagement Delivery Approach (EDA) document to the ESWO</w:t>
            </w:r>
            <w:r w:rsidR="00E70F20">
              <w:t>, by listing in the “</w:t>
            </w:r>
            <w:r w:rsidR="00E70F20" w:rsidRPr="00E70F20">
              <w:rPr>
                <w:i/>
                <w:iCs/>
              </w:rPr>
              <w:t>Attachments</w:t>
            </w:r>
            <w:r w:rsidR="00E70F20">
              <w:t>” section,</w:t>
            </w:r>
            <w:r w:rsidR="00BF0B1B">
              <w:t xml:space="preserve"> when using this template</w:t>
            </w:r>
            <w:r>
              <w:t xml:space="preserve"> since the EDA contains the common approach and governance content that applies to </w:t>
            </w:r>
            <w:r w:rsidR="007F2785">
              <w:t xml:space="preserve">all the </w:t>
            </w:r>
            <w:r w:rsidR="002076B3">
              <w:t>s</w:t>
            </w:r>
            <w:r w:rsidR="007F2785">
              <w:t>ervices in this SKU</w:t>
            </w:r>
            <w:r w:rsidR="002076B3">
              <w:t>.</w:t>
            </w:r>
          </w:p>
          <w:p w14:paraId="3CC8B560" w14:textId="77777777" w:rsidR="00DE46F2" w:rsidRDefault="0A6564DA">
            <w:pPr>
              <w:pStyle w:val="ListParagraph"/>
              <w:numPr>
                <w:ilvl w:val="0"/>
                <w:numId w:val="7"/>
              </w:numPr>
            </w:pPr>
            <w:r>
              <w:t xml:space="preserve">The staffing plan for the engagement should be created from </w:t>
            </w:r>
            <w:r w:rsidR="21535B9D">
              <w:t xml:space="preserve">the CompassOne record and </w:t>
            </w:r>
            <w:r w:rsidR="44F4DC41">
              <w:t xml:space="preserve">may be </w:t>
            </w:r>
            <w:r w:rsidR="649C847F">
              <w:t>included</w:t>
            </w:r>
            <w:r w:rsidR="21535B9D">
              <w:t xml:space="preserve"> as an </w:t>
            </w:r>
            <w:r w:rsidR="2302DE92">
              <w:t>attachment</w:t>
            </w:r>
            <w:r w:rsidR="1D9E66CF">
              <w:t xml:space="preserve"> and list</w:t>
            </w:r>
            <w:r w:rsidR="38BE1544">
              <w:t>ed</w:t>
            </w:r>
            <w:r w:rsidR="1D9E66CF">
              <w:t xml:space="preserve"> in the “Attachments” section</w:t>
            </w:r>
            <w:r w:rsidR="44F4DC41">
              <w:t xml:space="preserve"> of the Work Order, if needed</w:t>
            </w:r>
            <w:r w:rsidR="1D9E66CF">
              <w:t>.</w:t>
            </w:r>
            <w:r w:rsidR="776FE7CB">
              <w:t xml:space="preserve"> See the Deal Shaping and Pricing Guide for additional guidance. </w:t>
            </w:r>
          </w:p>
          <w:p w14:paraId="2D6FBC7D" w14:textId="77777777" w:rsidR="00255F68" w:rsidRDefault="008754A6">
            <w:pPr>
              <w:pStyle w:val="ListParagraph"/>
              <w:numPr>
                <w:ilvl w:val="0"/>
                <w:numId w:val="7"/>
              </w:numPr>
            </w:pPr>
            <w:r>
              <w:t xml:space="preserve">The ESWO </w:t>
            </w:r>
            <w:r w:rsidRPr="00040566">
              <w:t>1.3 Fees</w:t>
            </w:r>
            <w:r>
              <w:t xml:space="preserve"> </w:t>
            </w:r>
            <w:r w:rsidR="002952B7">
              <w:t xml:space="preserve">section needs to be updated from the OSE template. </w:t>
            </w:r>
          </w:p>
          <w:p w14:paraId="0BBF68D7" w14:textId="4D30A0AA" w:rsidR="00255F68" w:rsidRDefault="00A43518">
            <w:pPr>
              <w:pStyle w:val="ListParagraph"/>
              <w:numPr>
                <w:ilvl w:val="1"/>
                <w:numId w:val="7"/>
              </w:numPr>
            </w:pPr>
            <w:r>
              <w:t>Copy financials from CompassOne into the OSE ESWO Calculations tab following the guidance</w:t>
            </w:r>
            <w:r w:rsidR="00160260">
              <w:t xml:space="preserve"> there</w:t>
            </w:r>
            <w:r w:rsidR="00255F68">
              <w:t>.</w:t>
            </w:r>
          </w:p>
          <w:p w14:paraId="699EF870" w14:textId="153DE969" w:rsidR="008754A6" w:rsidRDefault="00255F68">
            <w:pPr>
              <w:pStyle w:val="ListParagraph"/>
              <w:numPr>
                <w:ilvl w:val="1"/>
                <w:numId w:val="7"/>
              </w:numPr>
            </w:pPr>
            <w:r>
              <w:t>C</w:t>
            </w:r>
            <w:r w:rsidR="00160260">
              <w:t xml:space="preserve">opy the resulting pricing into the OSE ESWO Guidance tab. Copy the ESWO Guidance tab content into the ESWO </w:t>
            </w:r>
            <w:r w:rsidR="00074855">
              <w:t>1.3 Fees section</w:t>
            </w:r>
            <w:r w:rsidR="00B00955">
              <w:t xml:space="preserve"> following the guidance at the top of the tab</w:t>
            </w:r>
            <w:r w:rsidR="00074855">
              <w:t xml:space="preserve">. </w:t>
            </w:r>
          </w:p>
          <w:p w14:paraId="7FE77F61" w14:textId="35CB0C1D" w:rsidR="007863E4" w:rsidRPr="00C83ECF" w:rsidRDefault="007863E4">
            <w:pPr>
              <w:pStyle w:val="ListParagraph"/>
              <w:numPr>
                <w:ilvl w:val="1"/>
                <w:numId w:val="7"/>
              </w:numPr>
            </w:pPr>
            <w:r>
              <w:t xml:space="preserve">In CompassOne, under Payments, generate the monthly fee schedule and </w:t>
            </w:r>
            <w:r w:rsidR="000A101E">
              <w:t>populate the Billing Schedule table</w:t>
            </w:r>
            <w:r w:rsidR="00B00955">
              <w:t xml:space="preserve"> that was part of the </w:t>
            </w:r>
            <w:r w:rsidR="00040566">
              <w:t>copied content</w:t>
            </w:r>
            <w:r w:rsidR="000A101E">
              <w:t xml:space="preserve">. </w:t>
            </w:r>
          </w:p>
        </w:tc>
      </w:tr>
      <w:tr w:rsidR="00790864" w:rsidRPr="00C83ECF" w14:paraId="4234231A" w14:textId="77777777" w:rsidTr="73960BB4">
        <w:trPr>
          <w:trHeight w:val="620"/>
        </w:trPr>
        <w:tc>
          <w:tcPr>
            <w:tcW w:w="5000" w:type="pct"/>
          </w:tcPr>
          <w:p w14:paraId="653383D8" w14:textId="26F95321" w:rsidR="00790864" w:rsidRPr="006B1C63" w:rsidRDefault="00790864" w:rsidP="006B1C63">
            <w:pPr>
              <w:rPr>
                <w:b/>
                <w:color w:val="FF66CC"/>
                <w:sz w:val="24"/>
              </w:rPr>
            </w:pPr>
            <w:r w:rsidRPr="006B1C63">
              <w:rPr>
                <w:b/>
                <w:color w:val="FF66CC"/>
                <w:sz w:val="24"/>
              </w:rPr>
              <w:t>Template Modularity</w:t>
            </w:r>
          </w:p>
          <w:p w14:paraId="0455E8CA" w14:textId="45F6DA07" w:rsidR="00790864" w:rsidRPr="00ED6EED" w:rsidRDefault="00790864" w:rsidP="00790864">
            <w:pPr>
              <w:spacing w:before="67" w:after="67"/>
            </w:pPr>
            <w:r w:rsidRPr="00ED6EED">
              <w:t xml:space="preserve">The </w:t>
            </w:r>
            <w:r w:rsidR="00C14EFB">
              <w:t>Cloud Transition Services and Data Estate Modernization SKUs are</w:t>
            </w:r>
            <w:r w:rsidRPr="00ED6EED">
              <w:t xml:space="preserve"> modular in nature.</w:t>
            </w:r>
          </w:p>
          <w:p w14:paraId="6ED02F66" w14:textId="0087BC54" w:rsidR="00790864" w:rsidRPr="00ED6EED" w:rsidRDefault="00790864" w:rsidP="00790864">
            <w:pPr>
              <w:spacing w:before="67" w:after="67"/>
            </w:pPr>
            <w:r w:rsidRPr="00ED6EED">
              <w:lastRenderedPageBreak/>
              <w:t xml:space="preserve">The </w:t>
            </w:r>
            <w:r w:rsidR="00C14EFB">
              <w:t xml:space="preserve">SKUs </w:t>
            </w:r>
            <w:r w:rsidRPr="00ED6EED">
              <w:t>ha</w:t>
            </w:r>
            <w:r w:rsidR="00C14EFB">
              <w:t>ve</w:t>
            </w:r>
            <w:r w:rsidRPr="00ED6EED">
              <w:t xml:space="preserve"> many services that can be enabled or disabled depending on the customer needs. Services and their acronyms:</w:t>
            </w:r>
          </w:p>
          <w:p w14:paraId="634E6C67" w14:textId="560D65D9" w:rsidR="000034B1" w:rsidRDefault="00C80BC7">
            <w:pPr>
              <w:pStyle w:val="ListParagraph"/>
              <w:numPr>
                <w:ilvl w:val="0"/>
                <w:numId w:val="8"/>
              </w:numPr>
              <w:spacing w:before="67" w:after="67"/>
            </w:pPr>
            <w:r>
              <w:t>Azure</w:t>
            </w:r>
            <w:r w:rsidR="000034B1" w:rsidRPr="0036563A">
              <w:t xml:space="preserve"> Landing Zone (</w:t>
            </w:r>
            <w:r>
              <w:t>A</w:t>
            </w:r>
            <w:r w:rsidR="000034B1" w:rsidRPr="0036563A">
              <w:t>LZ)</w:t>
            </w:r>
          </w:p>
          <w:p w14:paraId="29AFF66E" w14:textId="7BE61879" w:rsidR="00D63FF7" w:rsidRDefault="00D63FF7">
            <w:pPr>
              <w:pStyle w:val="ListParagraph"/>
              <w:numPr>
                <w:ilvl w:val="0"/>
                <w:numId w:val="8"/>
              </w:numPr>
              <w:spacing w:before="67" w:after="67"/>
            </w:pPr>
            <w:r>
              <w:t>Workload Landing Zone – Azure Kubernetes Service (</w:t>
            </w:r>
            <w:r w:rsidR="000259A5">
              <w:t>WLZ-AKS)</w:t>
            </w:r>
          </w:p>
          <w:p w14:paraId="22664CB8" w14:textId="7A9AEAB0" w:rsidR="004F0478" w:rsidRPr="00ED6EED" w:rsidRDefault="00D36273">
            <w:pPr>
              <w:pStyle w:val="ListParagraph"/>
              <w:numPr>
                <w:ilvl w:val="0"/>
                <w:numId w:val="8"/>
              </w:numPr>
              <w:spacing w:before="67" w:after="67"/>
            </w:pPr>
            <w:r>
              <w:t>People</w:t>
            </w:r>
            <w:r w:rsidR="00F146EA">
              <w:t xml:space="preserve"> Mobilization</w:t>
            </w:r>
            <w:r w:rsidR="00BE1ABA">
              <w:t xml:space="preserve"> for </w:t>
            </w:r>
            <w:r w:rsidR="00FB7A7F">
              <w:t>Velocity Service (PMVS)</w:t>
            </w:r>
          </w:p>
          <w:p w14:paraId="1EE9E042" w14:textId="77777777" w:rsidR="004F0478" w:rsidRDefault="004F0478">
            <w:pPr>
              <w:pStyle w:val="ListParagraph"/>
              <w:numPr>
                <w:ilvl w:val="0"/>
                <w:numId w:val="8"/>
              </w:numPr>
              <w:spacing w:before="67" w:after="67"/>
            </w:pPr>
            <w:r w:rsidRPr="00270823">
              <w:t>Cloud Operations &amp; Governance (COG)</w:t>
            </w:r>
          </w:p>
          <w:p w14:paraId="43B747BA" w14:textId="12C4B1E9" w:rsidR="00790864" w:rsidRPr="00ED6EED" w:rsidRDefault="00996A9D">
            <w:pPr>
              <w:pStyle w:val="ListParagraph"/>
              <w:numPr>
                <w:ilvl w:val="0"/>
                <w:numId w:val="8"/>
              </w:numPr>
              <w:spacing w:before="67" w:after="67"/>
            </w:pPr>
            <w:r>
              <w:t>Azure</w:t>
            </w:r>
            <w:r w:rsidR="00790864" w:rsidRPr="00ED6EED">
              <w:t xml:space="preserve"> Migration Services (AMS)</w:t>
            </w:r>
          </w:p>
          <w:p w14:paraId="69478528" w14:textId="5BFAB0F7" w:rsidR="00790864" w:rsidRPr="00ED6EED" w:rsidRDefault="00996A9D">
            <w:pPr>
              <w:pStyle w:val="ListParagraph"/>
              <w:numPr>
                <w:ilvl w:val="0"/>
                <w:numId w:val="8"/>
              </w:numPr>
              <w:spacing w:before="67" w:after="67"/>
            </w:pPr>
            <w:r>
              <w:t>Azure</w:t>
            </w:r>
            <w:r w:rsidR="00790864" w:rsidRPr="00ED6EED">
              <w:t xml:space="preserve"> Refactoring Service (ARS)</w:t>
            </w:r>
          </w:p>
          <w:p w14:paraId="77CC4085" w14:textId="2B61EEC2" w:rsidR="00790864" w:rsidRDefault="00996A9D">
            <w:pPr>
              <w:pStyle w:val="ListParagraph"/>
              <w:numPr>
                <w:ilvl w:val="0"/>
                <w:numId w:val="8"/>
              </w:numPr>
              <w:spacing w:before="67" w:after="67"/>
            </w:pPr>
            <w:r>
              <w:t>Azure</w:t>
            </w:r>
            <w:r w:rsidR="00790864" w:rsidRPr="00ED6EED">
              <w:t xml:space="preserve"> Transformation Services (ATS)</w:t>
            </w:r>
          </w:p>
          <w:p w14:paraId="61D97FDF" w14:textId="2DB8137E" w:rsidR="00D63FF7" w:rsidRDefault="00D63FF7">
            <w:pPr>
              <w:pStyle w:val="ListParagraph"/>
              <w:numPr>
                <w:ilvl w:val="0"/>
                <w:numId w:val="8"/>
              </w:numPr>
              <w:spacing w:before="67" w:after="67"/>
            </w:pPr>
            <w:r>
              <w:t>Container Migration Services (CMS)</w:t>
            </w:r>
          </w:p>
          <w:p w14:paraId="281419BF" w14:textId="262C8C0E" w:rsidR="003F1E8C" w:rsidRPr="00ED6EED" w:rsidRDefault="003F1E8C">
            <w:pPr>
              <w:pStyle w:val="ListParagraph"/>
              <w:numPr>
                <w:ilvl w:val="0"/>
                <w:numId w:val="8"/>
              </w:numPr>
              <w:spacing w:before="67" w:after="67"/>
            </w:pPr>
            <w:r w:rsidRPr="009A0DC3">
              <w:t xml:space="preserve">Data Modernization </w:t>
            </w:r>
            <w:r>
              <w:t xml:space="preserve">Services </w:t>
            </w:r>
            <w:r w:rsidRPr="009A0DC3">
              <w:t>(D</w:t>
            </w:r>
            <w:r>
              <w:t>MS</w:t>
            </w:r>
            <w:r w:rsidRPr="009A0DC3">
              <w:t>)</w:t>
            </w:r>
          </w:p>
          <w:p w14:paraId="738AFBC0" w14:textId="77777777" w:rsidR="00790864" w:rsidRPr="00ED6EED" w:rsidRDefault="00790864">
            <w:pPr>
              <w:pStyle w:val="ListParagraph"/>
              <w:numPr>
                <w:ilvl w:val="0"/>
                <w:numId w:val="8"/>
              </w:numPr>
              <w:spacing w:before="67" w:after="67"/>
            </w:pPr>
            <w:r w:rsidRPr="00ED6EED">
              <w:t>Quality and Reliability Services (QRS)</w:t>
            </w:r>
          </w:p>
          <w:p w14:paraId="7AFAC3B6" w14:textId="0B250937" w:rsidR="00790864" w:rsidRDefault="00CD1347">
            <w:pPr>
              <w:pStyle w:val="ListParagraph"/>
              <w:numPr>
                <w:ilvl w:val="0"/>
                <w:numId w:val="8"/>
              </w:numPr>
              <w:spacing w:before="67" w:after="67"/>
            </w:pPr>
            <w:r w:rsidRPr="00400CA2">
              <w:t>Modernization Support Services</w:t>
            </w:r>
            <w:r>
              <w:t xml:space="preserve"> (MSS)</w:t>
            </w:r>
          </w:p>
          <w:p w14:paraId="013306EC" w14:textId="5B090734" w:rsidR="00790864" w:rsidRDefault="00790864" w:rsidP="00790864">
            <w:pPr>
              <w:spacing w:before="67" w:after="67"/>
            </w:pPr>
            <w:r>
              <w:t xml:space="preserve">Each of these services has several options. When editing the </w:t>
            </w:r>
            <w:r w:rsidR="007123D9">
              <w:t>DoS</w:t>
            </w:r>
            <w:r>
              <w:t>, make sure the service options map was estimated in OSE and CompassOne.</w:t>
            </w:r>
          </w:p>
          <w:p w14:paraId="1D9D2B22" w14:textId="77777777" w:rsidR="00790864" w:rsidRPr="00ED6EED" w:rsidRDefault="00790864" w:rsidP="00790864">
            <w:pPr>
              <w:spacing w:before="67" w:after="67"/>
            </w:pPr>
            <w:r w:rsidRPr="00ED6EED">
              <w:t>General rules:</w:t>
            </w:r>
          </w:p>
          <w:p w14:paraId="520DFF42" w14:textId="77777777" w:rsidR="00F45B23" w:rsidRDefault="00F45B23">
            <w:pPr>
              <w:pStyle w:val="ListParagraph"/>
              <w:numPr>
                <w:ilvl w:val="0"/>
                <w:numId w:val="11"/>
              </w:numPr>
              <w:spacing w:before="67" w:after="67"/>
            </w:pPr>
            <w:r>
              <w:t>ALZ is required per Domain policy.</w:t>
            </w:r>
          </w:p>
          <w:p w14:paraId="2B5FFF6F" w14:textId="77777777" w:rsidR="00F45B23" w:rsidRDefault="00F45B23">
            <w:pPr>
              <w:pStyle w:val="ListParagraph"/>
              <w:numPr>
                <w:ilvl w:val="0"/>
                <w:numId w:val="11"/>
              </w:numPr>
              <w:spacing w:before="67" w:after="67"/>
            </w:pPr>
            <w:r w:rsidRPr="00ED6EED">
              <w:t>At least one of AMS</w:t>
            </w:r>
            <w:r>
              <w:t>, ARS, ATS, or CMS</w:t>
            </w:r>
            <w:r w:rsidRPr="00ED6EED">
              <w:t xml:space="preserve"> must be included.</w:t>
            </w:r>
          </w:p>
          <w:p w14:paraId="29AE0628" w14:textId="0C07E5DA" w:rsidR="00820A41" w:rsidRDefault="6FBEF96D">
            <w:pPr>
              <w:pStyle w:val="ListParagraph"/>
              <w:numPr>
                <w:ilvl w:val="0"/>
                <w:numId w:val="11"/>
              </w:numPr>
              <w:spacing w:before="67" w:after="67"/>
            </w:pPr>
            <w:r>
              <w:t xml:space="preserve">WLZ-AKS is </w:t>
            </w:r>
            <w:r w:rsidR="30ABC815">
              <w:t xml:space="preserve">strongly </w:t>
            </w:r>
            <w:r>
              <w:t>recommended when CMS is active</w:t>
            </w:r>
          </w:p>
          <w:p w14:paraId="47846908" w14:textId="32FF3C84" w:rsidR="00996A9D" w:rsidRDefault="002B6E92">
            <w:pPr>
              <w:pStyle w:val="ListParagraph"/>
              <w:numPr>
                <w:ilvl w:val="0"/>
                <w:numId w:val="11"/>
              </w:numPr>
              <w:spacing w:before="67" w:after="67"/>
            </w:pPr>
            <w:r>
              <w:t>PMVS</w:t>
            </w:r>
            <w:r w:rsidRPr="00ED6EED">
              <w:t xml:space="preserve"> </w:t>
            </w:r>
            <w:r w:rsidR="00790864" w:rsidRPr="00ED6EED">
              <w:t>is</w:t>
            </w:r>
            <w:r w:rsidR="0042538D">
              <w:t xml:space="preserve"> strongly</w:t>
            </w:r>
            <w:r w:rsidR="00790864" w:rsidRPr="00ED6EED">
              <w:t xml:space="preserve"> </w:t>
            </w:r>
            <w:r>
              <w:t>recommended</w:t>
            </w:r>
            <w:r w:rsidRPr="00ED6EED">
              <w:t xml:space="preserve"> </w:t>
            </w:r>
            <w:r w:rsidR="00790864" w:rsidRPr="00ED6EED">
              <w:t>per Domain policy.</w:t>
            </w:r>
          </w:p>
          <w:p w14:paraId="73F790E0" w14:textId="6555CCC2" w:rsidR="004F0478" w:rsidRDefault="5E08AEA7">
            <w:pPr>
              <w:pStyle w:val="ListParagraph"/>
              <w:numPr>
                <w:ilvl w:val="0"/>
                <w:numId w:val="11"/>
              </w:numPr>
              <w:spacing w:before="67" w:after="67"/>
            </w:pPr>
            <w:r>
              <w:t xml:space="preserve">COG is </w:t>
            </w:r>
            <w:r w:rsidR="314D3B96">
              <w:t xml:space="preserve">strongly </w:t>
            </w:r>
            <w:r w:rsidR="0807B5D9">
              <w:t xml:space="preserve">recommended </w:t>
            </w:r>
            <w:r>
              <w:t>per Domain policy.</w:t>
            </w:r>
          </w:p>
          <w:p w14:paraId="0FA384D1" w14:textId="70F8FFF3" w:rsidR="00646867" w:rsidRDefault="00646867">
            <w:pPr>
              <w:pStyle w:val="ListParagraph"/>
              <w:numPr>
                <w:ilvl w:val="0"/>
                <w:numId w:val="11"/>
              </w:numPr>
              <w:spacing w:before="67" w:after="67"/>
            </w:pPr>
            <w:r w:rsidRPr="00016D3B">
              <w:t xml:space="preserve">DMS is </w:t>
            </w:r>
            <w:r w:rsidRPr="00E373BD">
              <w:t>currently</w:t>
            </w:r>
            <w:r>
              <w:t xml:space="preserve"> optional as the scope is limited to Oracle datab</w:t>
            </w:r>
            <w:r w:rsidR="009011EA">
              <w:t>a</w:t>
            </w:r>
            <w:r>
              <w:t>ses.</w:t>
            </w:r>
          </w:p>
          <w:p w14:paraId="49A4CA7E" w14:textId="70C1F733" w:rsidR="00376050" w:rsidRDefault="00376050" w:rsidP="0097336D">
            <w:pPr>
              <w:spacing w:before="67" w:after="67"/>
            </w:pPr>
            <w:r>
              <w:t>Editing for using the IGD Landing Zone:</w:t>
            </w:r>
          </w:p>
          <w:p w14:paraId="2A150509" w14:textId="6AD967B4" w:rsidR="00400A68" w:rsidRDefault="00400A68" w:rsidP="00400A68">
            <w:pPr>
              <w:pStyle w:val="ListParagraph"/>
              <w:numPr>
                <w:ilvl w:val="0"/>
                <w:numId w:val="26"/>
              </w:numPr>
              <w:spacing w:before="67" w:after="67"/>
            </w:pPr>
            <w:r>
              <w:t xml:space="preserve">Includes Azure Platform, Azure Networking </w:t>
            </w:r>
            <w:r w:rsidR="001D2718">
              <w:t>Cloud and Datacenter, Azure AD Integration, PA</w:t>
            </w:r>
            <w:r w:rsidR="00ED1729">
              <w:t xml:space="preserve">W, and COG Azure Governance, COG Azure Operations, and COG </w:t>
            </w:r>
            <w:r w:rsidR="0036580C">
              <w:t>Cloud Monitoring for Azure. Remove other Azure Identity and COG services when this is chosen.</w:t>
            </w:r>
            <w:r w:rsidR="00023EE1">
              <w:t xml:space="preserve"> All of this is shown in OSE when the IGD Landing Zone is chosen.</w:t>
            </w:r>
          </w:p>
          <w:p w14:paraId="113ACA17" w14:textId="5A1DF09E" w:rsidR="0097336D" w:rsidRDefault="00C25FF2" w:rsidP="0097336D">
            <w:pPr>
              <w:spacing w:before="67" w:after="67"/>
            </w:pPr>
            <w:r>
              <w:t>Editing by section:</w:t>
            </w:r>
          </w:p>
          <w:p w14:paraId="387B62C5" w14:textId="73094137" w:rsidR="00EF3FFE" w:rsidRDefault="00EF3FFE">
            <w:pPr>
              <w:pStyle w:val="ListParagraph"/>
              <w:numPr>
                <w:ilvl w:val="0"/>
                <w:numId w:val="12"/>
              </w:numPr>
              <w:spacing w:before="67" w:after="67"/>
            </w:pPr>
            <w:r>
              <w:t xml:space="preserve">1.2.1 – Update the </w:t>
            </w:r>
            <w:r w:rsidR="00117AD3">
              <w:t>customer</w:t>
            </w:r>
            <w:r w:rsidR="009D4C3F">
              <w:t>-</w:t>
            </w:r>
            <w:r w:rsidR="00117AD3">
              <w:t>desired business outcomes</w:t>
            </w:r>
          </w:p>
          <w:p w14:paraId="00EB069C" w14:textId="282F451E" w:rsidR="00D43DDC" w:rsidRDefault="39E259F5">
            <w:pPr>
              <w:pStyle w:val="ListParagraph"/>
              <w:numPr>
                <w:ilvl w:val="0"/>
                <w:numId w:val="12"/>
              </w:numPr>
              <w:spacing w:before="67" w:after="67"/>
            </w:pPr>
            <w:r>
              <w:t>1.2.</w:t>
            </w:r>
            <w:r w:rsidR="00A078A9">
              <w:t>2</w:t>
            </w:r>
            <w:r>
              <w:t xml:space="preserve"> – Edit the </w:t>
            </w:r>
            <w:r w:rsidR="20964444">
              <w:t xml:space="preserve">phases, </w:t>
            </w:r>
            <w:r>
              <w:t>services and their descriptions to match what is being estimated.</w:t>
            </w:r>
            <w:r w:rsidR="12EB6579">
              <w:t xml:space="preserve"> </w:t>
            </w:r>
            <w:r w:rsidR="00D24586">
              <w:t>CTS has multiple options when it comes to phases</w:t>
            </w:r>
            <w:r w:rsidR="00EF759F">
              <w:t>.</w:t>
            </w:r>
            <w:r w:rsidR="00D24586">
              <w:t xml:space="preserve"> </w:t>
            </w:r>
            <w:r w:rsidR="00686CE0">
              <w:t>Phase options are limited to</w:t>
            </w:r>
            <w:r w:rsidR="0DE3C560">
              <w:t>:</w:t>
            </w:r>
          </w:p>
          <w:p w14:paraId="6AD00E7E" w14:textId="770E2230" w:rsidR="00D43DDC" w:rsidRDefault="00B14362">
            <w:pPr>
              <w:pStyle w:val="ListParagraph"/>
              <w:numPr>
                <w:ilvl w:val="1"/>
                <w:numId w:val="12"/>
              </w:numPr>
              <w:spacing w:before="67" w:after="67"/>
            </w:pPr>
            <w:r>
              <w:t>Prepare, Pilot, and Migrate</w:t>
            </w:r>
            <w:r w:rsidR="00D43DDC">
              <w:t xml:space="preserve"> (Full Program)</w:t>
            </w:r>
            <w:r>
              <w:t>,</w:t>
            </w:r>
          </w:p>
          <w:p w14:paraId="0171E49A" w14:textId="7442887D" w:rsidR="009A161E" w:rsidRDefault="009F5E0F">
            <w:pPr>
              <w:pStyle w:val="ListParagraph"/>
              <w:numPr>
                <w:ilvl w:val="1"/>
                <w:numId w:val="12"/>
              </w:numPr>
              <w:spacing w:before="67" w:after="67"/>
            </w:pPr>
            <w:r>
              <w:t>Prepare</w:t>
            </w:r>
            <w:r w:rsidR="00D43DDC">
              <w:t xml:space="preserve"> only</w:t>
            </w:r>
          </w:p>
          <w:p w14:paraId="03CE7E73" w14:textId="77777777" w:rsidR="00142378" w:rsidRDefault="00142378">
            <w:pPr>
              <w:pStyle w:val="ListParagraph"/>
              <w:numPr>
                <w:ilvl w:val="1"/>
                <w:numId w:val="12"/>
              </w:numPr>
              <w:spacing w:before="67" w:after="67"/>
            </w:pPr>
            <w:r>
              <w:t>Prepare and Pilot</w:t>
            </w:r>
            <w:r w:rsidR="00B14362">
              <w:t>.</w:t>
            </w:r>
          </w:p>
          <w:p w14:paraId="06EB62DB" w14:textId="197EF1FF" w:rsidR="00C25FF2" w:rsidRDefault="00142378">
            <w:pPr>
              <w:pStyle w:val="ListParagraph"/>
              <w:numPr>
                <w:ilvl w:val="1"/>
                <w:numId w:val="12"/>
              </w:numPr>
              <w:spacing w:before="67" w:after="67"/>
            </w:pPr>
            <w:r>
              <w:t xml:space="preserve">Pilot and Migrate IF Prepare was previously </w:t>
            </w:r>
            <w:r w:rsidR="00C510A7">
              <w:t>done</w:t>
            </w:r>
          </w:p>
          <w:p w14:paraId="3CE27A52" w14:textId="0B879A5E" w:rsidR="00C510A7" w:rsidRDefault="00C510A7">
            <w:pPr>
              <w:pStyle w:val="ListParagraph"/>
              <w:numPr>
                <w:ilvl w:val="1"/>
                <w:numId w:val="12"/>
              </w:numPr>
              <w:spacing w:before="67" w:after="67"/>
            </w:pPr>
            <w:r>
              <w:t xml:space="preserve">Migrate IF Prepare and Pilot </w:t>
            </w:r>
            <w:r w:rsidR="00565157">
              <w:t xml:space="preserve">were </w:t>
            </w:r>
            <w:r>
              <w:t>previously done</w:t>
            </w:r>
          </w:p>
          <w:p w14:paraId="5A04A588" w14:textId="77777777" w:rsidR="00F55916" w:rsidRDefault="00D24586" w:rsidP="00D24586">
            <w:pPr>
              <w:pStyle w:val="ListParagraph"/>
              <w:spacing w:before="67" w:after="67"/>
            </w:pPr>
            <w:r>
              <w:t xml:space="preserve">The CTS Customer Presentation – TDM on </w:t>
            </w:r>
            <w:hyperlink r:id="rId11">
              <w:r w:rsidRPr="73960BB4">
                <w:rPr>
                  <w:rStyle w:val="Hyperlink"/>
                </w:rPr>
                <w:t>Services Portfolio</w:t>
              </w:r>
            </w:hyperlink>
            <w:r>
              <w:t xml:space="preserve"> has the Prepare, Pilot, Migrate diagram if it needs to be customized to remove services.</w:t>
            </w:r>
          </w:p>
          <w:p w14:paraId="569AB85F" w14:textId="77777777" w:rsidR="00EF3FFE" w:rsidRDefault="00233590" w:rsidP="00D24586">
            <w:pPr>
              <w:pStyle w:val="ListParagraph"/>
              <w:spacing w:before="67" w:after="67"/>
            </w:pPr>
            <w:r>
              <w:t>The</w:t>
            </w:r>
            <w:r w:rsidR="009722DC">
              <w:t xml:space="preserve"> Data Strategy Accelerator</w:t>
            </w:r>
            <w:r w:rsidR="00905B14">
              <w:t xml:space="preserve"> include</w:t>
            </w:r>
            <w:r>
              <w:t xml:space="preserve">s </w:t>
            </w:r>
            <w:r w:rsidR="00905B14">
              <w:t xml:space="preserve">the Data </w:t>
            </w:r>
            <w:r w:rsidR="0020211F">
              <w:t>Strategy</w:t>
            </w:r>
            <w:r w:rsidR="00905B14">
              <w:t xml:space="preserve"> Workshop</w:t>
            </w:r>
            <w:r w:rsidR="00C63D50">
              <w:t>;</w:t>
            </w:r>
            <w:r>
              <w:t xml:space="preserve"> keep both service descriptions</w:t>
            </w:r>
            <w:r w:rsidR="00320A0E">
              <w:t xml:space="preserve"> when the Data Strategy Accelerator is in scope</w:t>
            </w:r>
            <w:r>
              <w:t>.</w:t>
            </w:r>
            <w:r w:rsidR="00EF3FFE" w:rsidRPr="00F10155">
              <w:t xml:space="preserve"> </w:t>
            </w:r>
          </w:p>
          <w:p w14:paraId="38E07823" w14:textId="2D94BBCE" w:rsidR="003E78B4" w:rsidRDefault="00EF3FFE" w:rsidP="00D24586">
            <w:pPr>
              <w:pStyle w:val="ListParagraph"/>
              <w:spacing w:before="67" w:after="67"/>
            </w:pPr>
            <w:r w:rsidRPr="00F10155">
              <w:t>Edit the services and the scope based on the OSE inputs.</w:t>
            </w:r>
            <w:r w:rsidRPr="00016D3B">
              <w:t xml:space="preserve"> Most scope requires the Migrate phase.</w:t>
            </w:r>
            <w:r w:rsidR="00117AD3" w:rsidRPr="00F10155">
              <w:t xml:space="preserve"> Edit the products that are mentioned to match the scope.</w:t>
            </w:r>
          </w:p>
          <w:p w14:paraId="48E7130A" w14:textId="490DA6A6" w:rsidR="00E25702" w:rsidRPr="00F10155" w:rsidRDefault="00401283">
            <w:pPr>
              <w:pStyle w:val="ListParagraph"/>
              <w:numPr>
                <w:ilvl w:val="0"/>
                <w:numId w:val="12"/>
              </w:numPr>
              <w:spacing w:before="67" w:after="67"/>
            </w:pPr>
            <w:r>
              <w:t xml:space="preserve">1.2.2 </w:t>
            </w:r>
            <w:r w:rsidR="00E25702" w:rsidRPr="00F10155">
              <w:t>– No changes needed.</w:t>
            </w:r>
          </w:p>
          <w:p w14:paraId="51D3D372" w14:textId="5E033896" w:rsidR="00EB2600" w:rsidRPr="00F10155" w:rsidRDefault="006F34B7" w:rsidP="00A813BB">
            <w:pPr>
              <w:pStyle w:val="ListParagraph"/>
              <w:numPr>
                <w:ilvl w:val="0"/>
                <w:numId w:val="12"/>
              </w:numPr>
              <w:spacing w:before="67" w:after="67"/>
            </w:pPr>
            <w:r w:rsidRPr="00F10155">
              <w:t xml:space="preserve">1.2.3 – </w:t>
            </w:r>
            <w:r w:rsidR="003038FB">
              <w:t>Edit the intake application monthly amount from OSE</w:t>
            </w:r>
          </w:p>
          <w:p w14:paraId="0B576997" w14:textId="1D4D918F" w:rsidR="00C0414D" w:rsidRPr="00195853" w:rsidRDefault="00C0414D">
            <w:pPr>
              <w:pStyle w:val="ListParagraph"/>
              <w:numPr>
                <w:ilvl w:val="0"/>
                <w:numId w:val="12"/>
              </w:numPr>
              <w:spacing w:before="67" w:after="67"/>
            </w:pPr>
            <w:r w:rsidRPr="00195853">
              <w:t>1.2.</w:t>
            </w:r>
            <w:r w:rsidR="003038FB">
              <w:t>4</w:t>
            </w:r>
            <w:r w:rsidR="00EB2600" w:rsidRPr="00195853">
              <w:t xml:space="preserve"> </w:t>
            </w:r>
            <w:r w:rsidRPr="00195853">
              <w:t xml:space="preserve">– Edit the </w:t>
            </w:r>
            <w:r w:rsidR="00883BF9" w:rsidRPr="00195853">
              <w:t>size and timeline info based on the scope and OSE</w:t>
            </w:r>
            <w:r w:rsidRPr="00195853">
              <w:t>.</w:t>
            </w:r>
          </w:p>
          <w:p w14:paraId="6FAEFA43" w14:textId="7C424E51" w:rsidR="00151380" w:rsidRPr="00195853" w:rsidRDefault="00151380">
            <w:pPr>
              <w:pStyle w:val="ListParagraph"/>
              <w:numPr>
                <w:ilvl w:val="0"/>
                <w:numId w:val="12"/>
              </w:numPr>
              <w:spacing w:before="67" w:after="67"/>
            </w:pPr>
            <w:r w:rsidRPr="00195853">
              <w:t>1.2.</w:t>
            </w:r>
            <w:r w:rsidR="00251FF7">
              <w:t>5</w:t>
            </w:r>
            <w:r w:rsidR="00EB2600" w:rsidRPr="00195853">
              <w:t xml:space="preserve"> </w:t>
            </w:r>
            <w:r w:rsidRPr="00195853">
              <w:t xml:space="preserve">– </w:t>
            </w:r>
            <w:r w:rsidR="00883BF9" w:rsidRPr="00195853">
              <w:t>Should not need changes</w:t>
            </w:r>
          </w:p>
          <w:p w14:paraId="73DF0D09" w14:textId="36F5F0B0" w:rsidR="00E25702" w:rsidRPr="00195853" w:rsidRDefault="00E25702">
            <w:pPr>
              <w:pStyle w:val="ListParagraph"/>
              <w:numPr>
                <w:ilvl w:val="0"/>
                <w:numId w:val="12"/>
              </w:numPr>
              <w:spacing w:before="67" w:after="67"/>
            </w:pPr>
            <w:r w:rsidRPr="00195853">
              <w:lastRenderedPageBreak/>
              <w:t>1.2.</w:t>
            </w:r>
            <w:r w:rsidR="00251FF7">
              <w:t>6</w:t>
            </w:r>
            <w:r w:rsidR="00EB2600" w:rsidRPr="00195853">
              <w:t xml:space="preserve"> </w:t>
            </w:r>
            <w:r w:rsidRPr="00195853">
              <w:t xml:space="preserve">– </w:t>
            </w:r>
            <w:r w:rsidR="00883BF9" w:rsidRPr="00195853">
              <w:t>Edit the technology requirements based on the guidance and what is being included</w:t>
            </w:r>
            <w:r w:rsidRPr="00195853">
              <w:t>.</w:t>
            </w:r>
          </w:p>
          <w:p w14:paraId="671EBB6B" w14:textId="3084819E" w:rsidR="006F34B7" w:rsidRPr="00195853" w:rsidRDefault="006F34B7">
            <w:pPr>
              <w:pStyle w:val="ListParagraph"/>
              <w:numPr>
                <w:ilvl w:val="0"/>
                <w:numId w:val="12"/>
              </w:numPr>
              <w:spacing w:before="67" w:after="67"/>
            </w:pPr>
            <w:r w:rsidRPr="00195853">
              <w:t>1.2.</w:t>
            </w:r>
            <w:r w:rsidR="00251FF7">
              <w:t>7</w:t>
            </w:r>
            <w:r w:rsidR="00EB2600" w:rsidRPr="00195853">
              <w:t xml:space="preserve"> </w:t>
            </w:r>
            <w:r w:rsidR="00023603" w:rsidRPr="00195853">
              <w:t>–</w:t>
            </w:r>
            <w:r w:rsidRPr="00195853">
              <w:t xml:space="preserve"> </w:t>
            </w:r>
            <w:r w:rsidR="00883BF9" w:rsidRPr="00195853">
              <w:t>Edit the dependencies based on the services to be delivered</w:t>
            </w:r>
            <w:r w:rsidR="006335A6" w:rsidRPr="00195853">
              <w:t>.</w:t>
            </w:r>
          </w:p>
          <w:p w14:paraId="553DE2D7" w14:textId="41C22672" w:rsidR="006335A6" w:rsidRPr="006B1C63" w:rsidRDefault="00B66810">
            <w:pPr>
              <w:pStyle w:val="ListParagraph"/>
              <w:numPr>
                <w:ilvl w:val="0"/>
                <w:numId w:val="12"/>
              </w:numPr>
              <w:spacing w:before="67" w:after="67"/>
            </w:pPr>
            <w:r w:rsidRPr="00195853">
              <w:t>1.2.</w:t>
            </w:r>
            <w:r w:rsidR="00251FF7">
              <w:t>8</w:t>
            </w:r>
            <w:r w:rsidR="00EB2600" w:rsidRPr="00195853">
              <w:t xml:space="preserve"> </w:t>
            </w:r>
            <w:r w:rsidRPr="00195853">
              <w:t xml:space="preserve">– </w:t>
            </w:r>
            <w:r w:rsidR="00497FDA" w:rsidRPr="00195853">
              <w:t>Tailor the organization information to describe roles unique to the services selected</w:t>
            </w:r>
            <w:r w:rsidR="00315A35" w:rsidRPr="00195853">
              <w:t xml:space="preserve"> which are not already covered in the EDA</w:t>
            </w:r>
            <w:r w:rsidR="00E25702" w:rsidRPr="00195853">
              <w:t>.</w:t>
            </w:r>
          </w:p>
        </w:tc>
      </w:tr>
      <w:tr w:rsidR="00A3609E" w:rsidRPr="00C83ECF" w14:paraId="065CFA43" w14:textId="77777777" w:rsidTr="73960BB4">
        <w:trPr>
          <w:trHeight w:val="1430"/>
        </w:trPr>
        <w:tc>
          <w:tcPr>
            <w:tcW w:w="5000" w:type="pct"/>
          </w:tcPr>
          <w:p w14:paraId="218FB613" w14:textId="77777777" w:rsidR="00A3609E" w:rsidRPr="00C83ECF" w:rsidRDefault="00A3609E" w:rsidP="00BE094D">
            <w:pPr>
              <w:rPr>
                <w:b/>
              </w:rPr>
            </w:pPr>
            <w:r w:rsidRPr="00C83ECF">
              <w:rPr>
                <w:b/>
              </w:rPr>
              <w:lastRenderedPageBreak/>
              <w:t>Do not use this content for the following scenarios:</w:t>
            </w:r>
          </w:p>
          <w:p w14:paraId="46214BC4" w14:textId="4517C5D4" w:rsidR="00A02A46" w:rsidRPr="006B1C63" w:rsidRDefault="00A02A46">
            <w:pPr>
              <w:pStyle w:val="ListParagraph"/>
              <w:numPr>
                <w:ilvl w:val="0"/>
                <w:numId w:val="8"/>
              </w:numPr>
              <w:rPr>
                <w:color w:val="0563C1" w:themeColor="hyperlink"/>
                <w:u w:val="single"/>
              </w:rPr>
            </w:pPr>
            <w:r>
              <w:t xml:space="preserve">Time and Materials services – this offer is intended for </w:t>
            </w:r>
            <w:r w:rsidR="00D370FD">
              <w:t>a fixed</w:t>
            </w:r>
            <w:r>
              <w:t xml:space="preserve"> fee only.</w:t>
            </w:r>
          </w:p>
          <w:p w14:paraId="3FCBBEA1" w14:textId="5316F8AC" w:rsidR="00A3609E" w:rsidRPr="009C41B1" w:rsidRDefault="00A3609E">
            <w:pPr>
              <w:pStyle w:val="ListParagraph"/>
              <w:numPr>
                <w:ilvl w:val="0"/>
                <w:numId w:val="8"/>
              </w:numPr>
              <w:rPr>
                <w:rFonts w:cs="Segoe UI"/>
              </w:rPr>
            </w:pPr>
            <w:r w:rsidRPr="00A66446">
              <w:t>Germany, Austria, and Switzerland</w:t>
            </w:r>
            <w:r w:rsidR="00D47006" w:rsidRPr="00A66446">
              <w:t xml:space="preserve">: </w:t>
            </w:r>
            <w:r w:rsidR="00D47006" w:rsidRPr="0A3E69E9">
              <w:rPr>
                <w:rFonts w:cs="Segoe UI"/>
              </w:rPr>
              <w:t xml:space="preserve">This </w:t>
            </w:r>
            <w:r w:rsidR="00E84E3B" w:rsidRPr="0A3E69E9">
              <w:rPr>
                <w:rFonts w:cs="Segoe UI"/>
              </w:rPr>
              <w:t xml:space="preserve">Description of Services </w:t>
            </w:r>
            <w:r w:rsidR="000B5F34" w:rsidRPr="0A3E69E9">
              <w:rPr>
                <w:rFonts w:cs="Segoe UI"/>
              </w:rPr>
              <w:t xml:space="preserve">ESWO stub, </w:t>
            </w:r>
            <w:r w:rsidR="00E84E3B" w:rsidRPr="0A3E69E9">
              <w:rPr>
                <w:rFonts w:cs="Segoe UI"/>
              </w:rPr>
              <w:t xml:space="preserve">combined with </w:t>
            </w:r>
            <w:r w:rsidR="00D47006" w:rsidRPr="0A3E69E9">
              <w:rPr>
                <w:rFonts w:cs="Segoe UI"/>
              </w:rPr>
              <w:t>EDA template</w:t>
            </w:r>
            <w:r w:rsidR="000B5F34" w:rsidRPr="0A3E69E9">
              <w:rPr>
                <w:rFonts w:cs="Segoe UI"/>
              </w:rPr>
              <w:t>,</w:t>
            </w:r>
            <w:r w:rsidR="00D47006" w:rsidRPr="0A3E69E9">
              <w:rPr>
                <w:rFonts w:cs="Segoe UI"/>
              </w:rPr>
              <w:t xml:space="preserve"> is acceptable for use as a Services Contract (Beratungsleistung/Dienstleistung/Einfacher Auftrag) in Fixed Fee (Austrian “Beratungsleistung” </w:t>
            </w:r>
            <w:r w:rsidR="00D47006" w:rsidRPr="00A54F5B">
              <w:t>§§ 1153 ff. ABGB</w:t>
            </w:r>
            <w:r w:rsidR="00D47006" w:rsidRPr="0A3E69E9">
              <w:rPr>
                <w:rFonts w:cs="Segoe UI"/>
              </w:rPr>
              <w:t>, German “</w:t>
            </w:r>
            <w:r w:rsidR="00D47006" w:rsidRPr="00A54F5B">
              <w:t>Dienstleistung” §§ 611 ff. German Civil Code</w:t>
            </w:r>
            <w:r w:rsidR="00D47006" w:rsidRPr="0A3E69E9">
              <w:rPr>
                <w:rFonts w:cs="Segoe UI"/>
              </w:rPr>
              <w:t xml:space="preserve"> BGB, or Swiss “Einfacher Auftrag” </w:t>
            </w:r>
            <w:r w:rsidR="00D47006" w:rsidRPr="00A54F5B">
              <w:rPr>
                <w:sz w:val="22"/>
              </w:rPr>
              <w:t>Art. 394 et seqq.</w:t>
            </w:r>
            <w:r w:rsidR="00D47006" w:rsidRPr="0A3E69E9">
              <w:rPr>
                <w:rFonts w:cs="Segoe UI"/>
              </w:rPr>
              <w:t xml:space="preserve"> Swiss Code of Obligations). Reason: there is no acceptance process, nothing requires acceptance, we do not describe deliverables.</w:t>
            </w:r>
            <w:r w:rsidR="00D47006">
              <w:br/>
            </w:r>
            <w:r w:rsidR="00D47006" w:rsidRPr="0A3E69E9">
              <w:rPr>
                <w:rFonts w:cs="Segoe UI"/>
              </w:rPr>
              <w:t>Engage CCM and SQA as this case needs a customized ESWO, it cannot be fit into the standard ESWO template.</w:t>
            </w:r>
          </w:p>
        </w:tc>
      </w:tr>
      <w:tr w:rsidR="00A3609E" w:rsidRPr="00C83ECF" w14:paraId="38FF3A77" w14:textId="77777777" w:rsidTr="73960BB4">
        <w:tc>
          <w:tcPr>
            <w:tcW w:w="5000" w:type="pct"/>
          </w:tcPr>
          <w:p w14:paraId="37F992AA" w14:textId="77777777" w:rsidR="00A3609E" w:rsidRPr="00C83ECF" w:rsidRDefault="00A3609E" w:rsidP="00BE094D">
            <w:pPr>
              <w:rPr>
                <w:b/>
                <w:color w:val="FF66CC"/>
                <w:sz w:val="24"/>
              </w:rPr>
            </w:pPr>
            <w:r w:rsidRPr="00C83ECF">
              <w:rPr>
                <w:b/>
                <w:color w:val="FF66CC"/>
                <w:sz w:val="24"/>
              </w:rPr>
              <w:t>Need help?</w:t>
            </w:r>
          </w:p>
          <w:p w14:paraId="7C7C51AE" w14:textId="748C79F1" w:rsidR="00A3609E" w:rsidRPr="00C83ECF" w:rsidRDefault="10018FB8">
            <w:pPr>
              <w:pStyle w:val="ListParagraph"/>
              <w:numPr>
                <w:ilvl w:val="0"/>
                <w:numId w:val="9"/>
              </w:numPr>
            </w:pPr>
            <w:r>
              <w:t xml:space="preserve">There are references to the </w:t>
            </w:r>
            <w:hyperlink r:id="rId12">
              <w:r w:rsidRPr="73960BB4">
                <w:rPr>
                  <w:rStyle w:val="Hyperlink"/>
                </w:rPr>
                <w:t>SOW Writing Guide</w:t>
              </w:r>
            </w:hyperlink>
            <w:r>
              <w:t xml:space="preserve"> —that document accompanies this template with greater explanations, examples and handy hints. It is available from </w:t>
            </w:r>
            <w:hyperlink r:id="rId13" w:anchor="/?name=SOW+Writing+Guide&amp;area=&amp;country=&amp;language=&amp;category=&amp;type=&amp;page=1&amp;count=50">
              <w:r w:rsidRPr="73960BB4">
                <w:rPr>
                  <w:rStyle w:val="Hyperlink"/>
                </w:rPr>
                <w:t>K360</w:t>
              </w:r>
            </w:hyperlink>
          </w:p>
          <w:p w14:paraId="70CEA985" w14:textId="5F35C582" w:rsidR="005557A2" w:rsidRPr="00E82E11" w:rsidRDefault="005557A2" w:rsidP="002A5B4D">
            <w:pPr>
              <w:pStyle w:val="ListParagraph"/>
              <w:numPr>
                <w:ilvl w:val="0"/>
                <w:numId w:val="9"/>
              </w:numPr>
              <w:spacing w:before="67" w:after="67"/>
              <w:ind w:left="702"/>
              <w:rPr>
                <w:szCs w:val="20"/>
              </w:rPr>
            </w:pPr>
            <w:r w:rsidRPr="00E82E11">
              <w:rPr>
                <w:szCs w:val="20"/>
              </w:rPr>
              <w:t xml:space="preserve">If you have a contracting question, please reference the materials on </w:t>
            </w:r>
            <w:hyperlink r:id="rId14" w:history="1">
              <w:r w:rsidRPr="00E82E11">
                <w:rPr>
                  <w:rStyle w:val="Hyperlink"/>
                  <w:szCs w:val="20"/>
                </w:rPr>
                <w:t>K360</w:t>
              </w:r>
            </w:hyperlink>
            <w:r w:rsidRPr="00E82E11">
              <w:rPr>
                <w:szCs w:val="20"/>
              </w:rPr>
              <w:t xml:space="preserve"> or, for general field support questions, reach out for assistance through </w:t>
            </w:r>
            <w:hyperlink r:id="rId15" w:history="1">
              <w:r w:rsidRPr="00E82E11">
                <w:rPr>
                  <w:rStyle w:val="Hyperlink"/>
                  <w:szCs w:val="20"/>
                </w:rPr>
                <w:t>AnswersHub</w:t>
              </w:r>
            </w:hyperlink>
            <w:r w:rsidRPr="00E82E11">
              <w:rPr>
                <w:szCs w:val="20"/>
              </w:rPr>
              <w:t>.</w:t>
            </w:r>
          </w:p>
          <w:p w14:paraId="48567CD1" w14:textId="79555A9D" w:rsidR="005557A2" w:rsidRPr="00C83ECF" w:rsidRDefault="005557A2" w:rsidP="002A5B4D">
            <w:pPr>
              <w:pStyle w:val="ListParagraph"/>
            </w:pPr>
          </w:p>
        </w:tc>
      </w:tr>
    </w:tbl>
    <w:p w14:paraId="118CD5EC" w14:textId="5B13771C" w:rsidR="00A3609E" w:rsidRPr="00C83ECF" w:rsidRDefault="00A3609E" w:rsidP="00A3609E"/>
    <w:p w14:paraId="62F78311" w14:textId="6DCC8E0C" w:rsidR="008139F7" w:rsidRPr="00C83ECF" w:rsidRDefault="008139F7" w:rsidP="00A3609E">
      <w:pPr>
        <w:sectPr w:rsidR="008139F7" w:rsidRPr="00C83ECF" w:rsidSect="00BE094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pPr>
    </w:p>
    <w:p w14:paraId="23AF9C6A" w14:textId="0DAFCC61" w:rsidR="009C316D" w:rsidRPr="00F8017B" w:rsidRDefault="1AA3C597">
      <w:pPr>
        <w:pStyle w:val="Heading2"/>
      </w:pPr>
      <w:r>
        <w:lastRenderedPageBreak/>
        <w:t xml:space="preserve">Description of the </w:t>
      </w:r>
      <w:r w:rsidR="3ECC822A">
        <w:t>s</w:t>
      </w:r>
      <w:r>
        <w:t>ervices</w:t>
      </w:r>
    </w:p>
    <w:p w14:paraId="5A780B9E" w14:textId="5E05CA72" w:rsidR="006E041E" w:rsidRPr="008D018F" w:rsidRDefault="00870144" w:rsidP="006E041E">
      <w:pPr>
        <w:spacing w:before="0" w:after="160"/>
      </w:pPr>
      <w:r w:rsidRPr="00ED6EED">
        <w:t xml:space="preserve">Microsoft will partner with </w:t>
      </w:r>
      <w:r w:rsidR="00AF2504">
        <w:t xml:space="preserve">the </w:t>
      </w:r>
      <w:r w:rsidRPr="00EE7674">
        <w:t>Customer</w:t>
      </w:r>
      <w:r>
        <w:t xml:space="preserve"> </w:t>
      </w:r>
      <w:r w:rsidRPr="00ED6EED">
        <w:t>in a</w:t>
      </w:r>
      <w:r w:rsidR="003C5162">
        <w:t>n Azure</w:t>
      </w:r>
      <w:r w:rsidRPr="00ED6EED">
        <w:t xml:space="preserve"> migration and </w:t>
      </w:r>
      <w:r w:rsidR="00112373">
        <w:t>modernization</w:t>
      </w:r>
      <w:r w:rsidR="00112373" w:rsidRPr="00ED6EED">
        <w:t xml:space="preserve"> </w:t>
      </w:r>
      <w:r w:rsidRPr="00ED6EED">
        <w:t xml:space="preserve">effort. </w:t>
      </w:r>
      <w:r w:rsidR="006E041E" w:rsidRPr="008D018F">
        <w:t xml:space="preserve">This partnership is in the form of an Azure migration program with the objective to migrate and operationalize up to the scoped number of applications and databases over the stated program length. This program is designed with considerable flexibility to drive migration velocity across a broad set of environments and applications and includes the </w:t>
      </w:r>
      <w:r w:rsidR="00FC5EB4">
        <w:t>fo</w:t>
      </w:r>
      <w:r w:rsidR="005E6743">
        <w:t>undational</w:t>
      </w:r>
      <w:r w:rsidR="00FC5EB4" w:rsidRPr="008D018F">
        <w:t xml:space="preserve"> </w:t>
      </w:r>
      <w:r w:rsidR="006E041E" w:rsidRPr="008D018F">
        <w:t xml:space="preserve">activities of building out the landing zone, applying </w:t>
      </w:r>
      <w:r w:rsidR="009D4C3F">
        <w:t xml:space="preserve">Microsoft </w:t>
      </w:r>
      <w:r w:rsidR="006E041E" w:rsidRPr="008D018F">
        <w:t xml:space="preserve">best-practice security controls, and operations and governance. The details of the services provided are in the </w:t>
      </w:r>
      <w:r w:rsidR="00A6448D">
        <w:t xml:space="preserve">following </w:t>
      </w:r>
      <w:r w:rsidR="006E041E" w:rsidRPr="008D018F">
        <w:t>sections</w:t>
      </w:r>
      <w:r w:rsidR="00A6448D">
        <w:t>.</w:t>
      </w:r>
    </w:p>
    <w:p w14:paraId="23104908" w14:textId="4A628DCE" w:rsidR="009C316D" w:rsidRDefault="009C316D" w:rsidP="009C316D">
      <w:r w:rsidRPr="00CF0ACD">
        <w:t xml:space="preserve">Any dates provided for </w:t>
      </w:r>
      <w:r w:rsidR="00566976">
        <w:t xml:space="preserve">Microsoft </w:t>
      </w:r>
      <w:r w:rsidRPr="00CF0ACD">
        <w:t>are estimates only.</w:t>
      </w:r>
    </w:p>
    <w:p w14:paraId="0DBF451D" w14:textId="1F346ABB" w:rsidR="00BA47B3" w:rsidRPr="00F91A08" w:rsidRDefault="00BA47B3">
      <w:pPr>
        <w:pStyle w:val="Heading3"/>
      </w:pPr>
      <w:bookmarkStart w:id="1" w:name="_Toc76046692"/>
      <w:bookmarkStart w:id="2" w:name="_Toc86755377"/>
      <w:r>
        <w:t>Customer</w:t>
      </w:r>
      <w:r w:rsidR="00A57B0D">
        <w:t>-</w:t>
      </w:r>
      <w:r>
        <w:t>desired business outcomes</w:t>
      </w:r>
      <w:bookmarkEnd w:id="1"/>
      <w:bookmarkEnd w:id="2"/>
    </w:p>
    <w:p w14:paraId="7DCB2CF8" w14:textId="77777777" w:rsidR="00BA47B3" w:rsidRDefault="00BA47B3" w:rsidP="00BA47B3">
      <w:pPr>
        <w:pStyle w:val="Instructional"/>
      </w:pPr>
      <w:r w:rsidRPr="007C49BD">
        <w:t xml:space="preserve">This section cannot be left blank or have the </w:t>
      </w:r>
      <w:r>
        <w:t>outcomes</w:t>
      </w:r>
      <w:r w:rsidRPr="007C49BD">
        <w:t xml:space="preserve"> indicated as </w:t>
      </w:r>
      <w:r>
        <w:t>to be determined (</w:t>
      </w:r>
      <w:r w:rsidRPr="007C49BD">
        <w:t>TBD</w:t>
      </w:r>
      <w:r>
        <w:t>)</w:t>
      </w:r>
      <w:r w:rsidRPr="007C49BD">
        <w:t>. At a minimum, the overall business value to be delivered should be conveyed here. In defining outcomes, it is a balance between clarity (agree on where we are headed) and measurement (so that we understand if we are moving in the right direction of the desired outcomes).</w:t>
      </w:r>
    </w:p>
    <w:p w14:paraId="76891236" w14:textId="77777777" w:rsidR="00BA47B3" w:rsidRDefault="00BA47B3" w:rsidP="00BA47B3">
      <w:pPr>
        <w:pStyle w:val="Instructional"/>
      </w:pPr>
      <w:r w:rsidRPr="007C49BD">
        <w:t xml:space="preserve">At the end of the </w:t>
      </w:r>
      <w:r>
        <w:t>engagement</w:t>
      </w:r>
      <w:r w:rsidRPr="007C49BD">
        <w:t>, the agreed outcome will be assessed jointly</w:t>
      </w:r>
      <w:r>
        <w:t xml:space="preserve"> with the Customer</w:t>
      </w:r>
      <w:r w:rsidRPr="007C49BD">
        <w:t>.</w:t>
      </w:r>
    </w:p>
    <w:p w14:paraId="038CA605" w14:textId="77777777" w:rsidR="00BA47B3" w:rsidRPr="00913437" w:rsidRDefault="00BA47B3" w:rsidP="00BA47B3">
      <w:pPr>
        <w:pStyle w:val="Instructional"/>
      </w:pPr>
      <w:r w:rsidRPr="007C49BD">
        <w:t>Ideally, when filling in th</w:t>
      </w:r>
      <w:r>
        <w:t>is</w:t>
      </w:r>
      <w:r w:rsidRPr="007C49BD">
        <w:t xml:space="preserve"> section, do not go into more detail than epics and features. The focus is on business functional needs. A full list of detailed user stories should not be used here because it can create the expectation of </w:t>
      </w:r>
      <w:r>
        <w:t xml:space="preserve">a </w:t>
      </w:r>
      <w:r w:rsidRPr="007C49BD">
        <w:t>fixed scope, as in, all the user stories will be delivered as part of this engagement.</w:t>
      </w:r>
    </w:p>
    <w:p w14:paraId="45C9BFCB" w14:textId="18038796" w:rsidR="00BA47B3" w:rsidRDefault="00BA47B3" w:rsidP="00BA47B3">
      <w:r>
        <w:t xml:space="preserve">The Customer has expressed the desire to obtain the following business outcomes. </w:t>
      </w:r>
      <w:r w:rsidRPr="00F91A08">
        <w:t>Th</w:t>
      </w:r>
      <w:r>
        <w:t>e</w:t>
      </w:r>
      <w:r w:rsidRPr="00F91A08">
        <w:t xml:space="preserve"> </w:t>
      </w:r>
      <w:r>
        <w:t>agile delivery</w:t>
      </w:r>
      <w:r w:rsidRPr="00F91A08">
        <w:t xml:space="preserve"> approach </w:t>
      </w:r>
      <w:r>
        <w:t xml:space="preserve">(described in the </w:t>
      </w:r>
      <w:r w:rsidR="00975E6C">
        <w:rPr>
          <w:i/>
          <w:iCs/>
        </w:rPr>
        <w:t>E</w:t>
      </w:r>
      <w:r w:rsidR="00E04070">
        <w:rPr>
          <w:i/>
          <w:iCs/>
        </w:rPr>
        <w:t xml:space="preserve">ngagement Delivery Approach section of </w:t>
      </w:r>
      <w:r w:rsidR="00007991" w:rsidRPr="000E52E5">
        <w:t>the</w:t>
      </w:r>
      <w:r w:rsidR="00007991">
        <w:t xml:space="preserve"> attached Engagement Delivery Approach</w:t>
      </w:r>
      <w:r w:rsidR="00007991" w:rsidRPr="000E52E5">
        <w:t xml:space="preserve"> </w:t>
      </w:r>
      <w:r w:rsidR="00007991">
        <w:t>(</w:t>
      </w:r>
      <w:r w:rsidR="00007991" w:rsidRPr="000E52E5">
        <w:t>EDA</w:t>
      </w:r>
      <w:r w:rsidR="00007991">
        <w:t>)</w:t>
      </w:r>
      <w:r>
        <w:t>)</w:t>
      </w:r>
      <w:r w:rsidRPr="00F91A08">
        <w:t xml:space="preserve"> allows </w:t>
      </w:r>
      <w:r>
        <w:t>the Customer</w:t>
      </w:r>
      <w:r w:rsidRPr="009B20A1">
        <w:rPr>
          <w:rStyle w:val="InstructionalChar"/>
          <w:iCs/>
        </w:rPr>
        <w:t xml:space="preserve"> </w:t>
      </w:r>
      <w:r w:rsidRPr="00F91A08">
        <w:t xml:space="preserve">to continually </w:t>
      </w:r>
      <w:r>
        <w:t xml:space="preserve">adjust and adapt </w:t>
      </w:r>
      <w:r w:rsidRPr="00F91A08">
        <w:t xml:space="preserve">the </w:t>
      </w:r>
      <w:r>
        <w:t>outcomes</w:t>
      </w:r>
      <w:r w:rsidRPr="00F91A08">
        <w:t xml:space="preserve"> and direction of </w:t>
      </w:r>
      <w:r>
        <w:t>any solutions designed to reach said outcomes. Microsoft will continue its efforts based on the priorities and direction provided by the Customer until such time as all capacity has been consumed.</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20" w:firstRow="1" w:lastRow="0" w:firstColumn="0" w:lastColumn="0" w:noHBand="0" w:noVBand="1"/>
      </w:tblPr>
      <w:tblGrid>
        <w:gridCol w:w="4957"/>
        <w:gridCol w:w="4394"/>
      </w:tblGrid>
      <w:tr w:rsidR="00BA47B3" w:rsidRPr="00F91A08" w14:paraId="64FB5602" w14:textId="77777777">
        <w:trPr>
          <w:tblHeader/>
        </w:trPr>
        <w:tc>
          <w:tcPr>
            <w:tcW w:w="4957" w:type="dxa"/>
            <w:shd w:val="clear" w:color="auto" w:fill="008272"/>
          </w:tcPr>
          <w:p w14:paraId="67CFAE81" w14:textId="77777777" w:rsidR="00BA47B3" w:rsidRPr="00C96ECD" w:rsidRDefault="00BA47B3">
            <w:pPr>
              <w:pStyle w:val="Table-Header"/>
            </w:pPr>
            <w:r>
              <w:t>Desired business outcomes</w:t>
            </w:r>
          </w:p>
        </w:tc>
        <w:tc>
          <w:tcPr>
            <w:tcW w:w="4394" w:type="dxa"/>
            <w:shd w:val="clear" w:color="auto" w:fill="008272"/>
          </w:tcPr>
          <w:p w14:paraId="256669F3" w14:textId="77777777" w:rsidR="00BA47B3" w:rsidRPr="00F91A08" w:rsidRDefault="00BA47B3">
            <w:pPr>
              <w:pStyle w:val="Table-Header"/>
            </w:pPr>
            <w:r>
              <w:t>Assumptions</w:t>
            </w:r>
          </w:p>
        </w:tc>
      </w:tr>
      <w:tr w:rsidR="00BA47B3" w:rsidRPr="00F91A08" w14:paraId="2169AB19" w14:textId="77777777">
        <w:tc>
          <w:tcPr>
            <w:tcW w:w="4957" w:type="dxa"/>
            <w:shd w:val="clear" w:color="auto" w:fill="auto"/>
          </w:tcPr>
          <w:p w14:paraId="191F768D" w14:textId="77777777" w:rsidR="00BA47B3" w:rsidRDefault="00BA47B3">
            <w:pPr>
              <w:pStyle w:val="Instructional"/>
            </w:pPr>
            <w:r>
              <w:t>Example desired business outcomes. Replace with those expressed by the Customer.</w:t>
            </w:r>
          </w:p>
          <w:p w14:paraId="6713C14F" w14:textId="5A75549E" w:rsidR="00BA47B3" w:rsidRPr="00F91A08" w:rsidRDefault="00113FEA">
            <w:pPr>
              <w:pStyle w:val="Optional"/>
            </w:pPr>
            <w:r>
              <w:t>Exit the data</w:t>
            </w:r>
            <w:r w:rsidR="00B40E56">
              <w:t>center in 18 months</w:t>
            </w:r>
            <w:r w:rsidR="00590BD6">
              <w:t xml:space="preserve"> to reduce C</w:t>
            </w:r>
            <w:r w:rsidR="0043124A">
              <w:t>apEx</w:t>
            </w:r>
            <w:r w:rsidR="00590BD6">
              <w:t xml:space="preserve"> costs</w:t>
            </w:r>
            <w:r w:rsidR="00BA47B3">
              <w:t>.</w:t>
            </w:r>
          </w:p>
        </w:tc>
        <w:tc>
          <w:tcPr>
            <w:tcW w:w="4394" w:type="dxa"/>
            <w:shd w:val="clear" w:color="auto" w:fill="auto"/>
          </w:tcPr>
          <w:p w14:paraId="5D34BA6D" w14:textId="77777777" w:rsidR="00BA47B3" w:rsidRDefault="00F65FB1" w:rsidP="00D834FB">
            <w:pPr>
              <w:pStyle w:val="Optional"/>
              <w:numPr>
                <w:ilvl w:val="0"/>
                <w:numId w:val="80"/>
              </w:numPr>
            </w:pPr>
            <w:r>
              <w:t xml:space="preserve">The Customer has a plan in place for </w:t>
            </w:r>
            <w:r w:rsidR="00214DCF">
              <w:t>applications not moving to Azure</w:t>
            </w:r>
            <w:r w:rsidR="0060425F">
              <w:t>.</w:t>
            </w:r>
          </w:p>
          <w:p w14:paraId="7BEBD57A" w14:textId="14A41288" w:rsidR="00BA47B3" w:rsidRPr="00F91A08" w:rsidRDefault="00BA47B3" w:rsidP="00CE0A2C">
            <w:pPr>
              <w:pStyle w:val="BlueText-BulletStyle2"/>
              <w:numPr>
                <w:ilvl w:val="0"/>
                <w:numId w:val="0"/>
              </w:numPr>
            </w:pPr>
          </w:p>
        </w:tc>
      </w:tr>
      <w:tr w:rsidR="00BA47B3" w:rsidRPr="00F91A08" w14:paraId="5062CFA0" w14:textId="77777777">
        <w:tc>
          <w:tcPr>
            <w:tcW w:w="4957" w:type="dxa"/>
            <w:shd w:val="clear" w:color="auto" w:fill="auto"/>
          </w:tcPr>
          <w:p w14:paraId="6DD5A8A2" w14:textId="550CC1DA" w:rsidR="00BA47B3" w:rsidRPr="00F91A08" w:rsidRDefault="00B40E56">
            <w:pPr>
              <w:pStyle w:val="Optional"/>
            </w:pPr>
            <w:r>
              <w:t xml:space="preserve">Modernize key applications to take advantage of </w:t>
            </w:r>
            <w:r w:rsidR="00D816F4">
              <w:t xml:space="preserve">Microsoft </w:t>
            </w:r>
            <w:r>
              <w:t>Azure services</w:t>
            </w:r>
            <w:r w:rsidR="00BA47B3">
              <w:t>.</w:t>
            </w:r>
          </w:p>
        </w:tc>
        <w:tc>
          <w:tcPr>
            <w:tcW w:w="4394" w:type="dxa"/>
            <w:shd w:val="clear" w:color="auto" w:fill="auto"/>
          </w:tcPr>
          <w:p w14:paraId="38B344CA" w14:textId="5F5092DB" w:rsidR="00BA47B3" w:rsidRPr="00F91A08" w:rsidRDefault="00D66385" w:rsidP="00CE0A2C">
            <w:pPr>
              <w:pStyle w:val="BlueText-BulletStyle2"/>
            </w:pPr>
            <w:r>
              <w:t xml:space="preserve">Applications being modernized do not require new features during </w:t>
            </w:r>
            <w:r w:rsidR="0033031E">
              <w:t xml:space="preserve">the initial modernization </w:t>
            </w:r>
            <w:r w:rsidR="00D81D76">
              <w:t xml:space="preserve">to Azure. </w:t>
            </w:r>
          </w:p>
        </w:tc>
      </w:tr>
    </w:tbl>
    <w:p w14:paraId="70B09EE0" w14:textId="014E3694" w:rsidR="00BA47B3" w:rsidRPr="008D01BD" w:rsidRDefault="00BA47B3" w:rsidP="00BA47B3">
      <w:pPr>
        <w:pStyle w:val="Instructional"/>
        <w:rPr>
          <w:i w:val="0"/>
          <w:color w:val="auto"/>
        </w:rPr>
      </w:pPr>
      <w:r w:rsidRPr="00A9357C">
        <w:rPr>
          <w:i w:val="0"/>
          <w:color w:val="auto"/>
        </w:rPr>
        <w:t xml:space="preserve">If more capacity is needed to deliver the desired business outcomes or if additional outcomes need to be defined, the change management process </w:t>
      </w:r>
      <w:r w:rsidR="000E52E5" w:rsidRPr="000E52E5">
        <w:rPr>
          <w:i w:val="0"/>
          <w:color w:val="auto"/>
        </w:rPr>
        <w:t>described in the</w:t>
      </w:r>
      <w:r w:rsidR="005D7C2E">
        <w:rPr>
          <w:i w:val="0"/>
          <w:color w:val="auto"/>
        </w:rPr>
        <w:t xml:space="preserve"> attached </w:t>
      </w:r>
      <w:r w:rsidR="000E52E5" w:rsidRPr="000E52E5">
        <w:rPr>
          <w:i w:val="0"/>
          <w:color w:val="auto"/>
        </w:rPr>
        <w:t xml:space="preserve">EDA </w:t>
      </w:r>
      <w:r w:rsidRPr="00A9357C">
        <w:rPr>
          <w:i w:val="0"/>
          <w:color w:val="auto"/>
        </w:rPr>
        <w:t>will be followed to increase capacity.</w:t>
      </w:r>
    </w:p>
    <w:p w14:paraId="6E14E252" w14:textId="037E81E2" w:rsidR="00470EA7" w:rsidRDefault="002C07AD">
      <w:pPr>
        <w:pStyle w:val="Heading3"/>
      </w:pPr>
      <w:r>
        <w:lastRenderedPageBreak/>
        <w:t>Phases, s</w:t>
      </w:r>
      <w:r w:rsidR="00470EA7">
        <w:t>ervices</w:t>
      </w:r>
      <w:r w:rsidR="00CA7B20">
        <w:t>,</w:t>
      </w:r>
      <w:r w:rsidR="00B33B62">
        <w:t xml:space="preserve"> and products</w:t>
      </w:r>
    </w:p>
    <w:p w14:paraId="3EF4B597" w14:textId="4BC04E02" w:rsidR="002C07AD" w:rsidRPr="002C07AD" w:rsidRDefault="002C07AD" w:rsidP="002A5B4D">
      <w:pPr>
        <w:pStyle w:val="Heading3"/>
        <w:numPr>
          <w:ilvl w:val="3"/>
          <w:numId w:val="10"/>
        </w:numPr>
        <w:ind w:left="810" w:hanging="810"/>
      </w:pPr>
      <w:r w:rsidRPr="002C07AD">
        <w:t>Phases</w:t>
      </w:r>
    </w:p>
    <w:p w14:paraId="0D1E4F02" w14:textId="195A7985" w:rsidR="009C316D" w:rsidRDefault="00ED3130" w:rsidP="009C316D">
      <w:r>
        <w:t>Using the agile delivery approach, s</w:t>
      </w:r>
      <w:r w:rsidR="009C316D">
        <w:t xml:space="preserve">prints are </w:t>
      </w:r>
      <w:r w:rsidR="00847C38">
        <w:t xml:space="preserve">implemented </w:t>
      </w:r>
      <w:r w:rsidR="009C316D">
        <w:t>in three broad engagement phases</w:t>
      </w:r>
      <w:r w:rsidR="0098559B">
        <w:t>:</w:t>
      </w:r>
      <w:r w:rsidR="009C316D">
        <w:t xml:space="preserve"> </w:t>
      </w:r>
      <w:r w:rsidR="009C316D" w:rsidRPr="009A4201">
        <w:t>Prepare, Pilot, and Migrate</w:t>
      </w:r>
      <w:r w:rsidR="00023F50">
        <w:t xml:space="preserve">. These </w:t>
      </w:r>
      <w:r w:rsidR="00481677">
        <w:t xml:space="preserve">phases </w:t>
      </w:r>
      <w:r w:rsidR="00023F50">
        <w:t>are</w:t>
      </w:r>
      <w:r w:rsidR="009C316D">
        <w:t xml:space="preserve"> illustrated in the following diagram.</w:t>
      </w:r>
    </w:p>
    <w:p w14:paraId="588061E6" w14:textId="01BFA61B" w:rsidR="00AA7CC5" w:rsidRDefault="004B3772" w:rsidP="00F15368">
      <w:pPr>
        <w:pStyle w:val="Instructional"/>
      </w:pPr>
      <w:r>
        <w:t xml:space="preserve">Choose the image based on the </w:t>
      </w:r>
      <w:r w:rsidR="00B55C36">
        <w:t>assigned customer complexity in OSE</w:t>
      </w:r>
      <w:r w:rsidR="00180549">
        <w:t>.</w:t>
      </w:r>
    </w:p>
    <w:p w14:paraId="7015898F" w14:textId="6D5D676D" w:rsidR="004B3772" w:rsidRDefault="00AA7CC5" w:rsidP="00016D3B">
      <w:pPr>
        <w:pStyle w:val="Instructional"/>
      </w:pPr>
      <w:r>
        <w:t xml:space="preserve">Option 1: </w:t>
      </w:r>
      <w:r w:rsidR="00F15368">
        <w:t xml:space="preserve">Customer Complexity = </w:t>
      </w:r>
      <w:r w:rsidR="00180549">
        <w:t>Simple:</w:t>
      </w:r>
    </w:p>
    <w:p w14:paraId="30755AB7" w14:textId="08985F2B" w:rsidR="00180549" w:rsidRDefault="00642DAF" w:rsidP="009C316D">
      <w:r w:rsidRPr="00642DAF">
        <w:rPr>
          <w:noProof/>
        </w:rPr>
        <w:drawing>
          <wp:inline distT="0" distB="0" distL="0" distR="0" wp14:anchorId="0775FFA8" wp14:editId="520B501E">
            <wp:extent cx="5943600" cy="2731770"/>
            <wp:effectExtent l="0" t="0" r="0" b="0"/>
            <wp:docPr id="1" name="Picture 1" descr="This graphic depicts Option 1, Customer Complexity = Simple. There are three phases: Prepare, Pilot, and Migrate.  The activities associated with each of the phases is shown and discussed in the text that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is graphic depicts Option 1, Customer Complexity = Simple. There are three phases: Prepare, Pilot, and Migrate.  The activities associated with each of the phases is shown and discussed in the text that follows."/>
                    <pic:cNvPicPr/>
                  </pic:nvPicPr>
                  <pic:blipFill>
                    <a:blip r:embed="rId22"/>
                    <a:stretch>
                      <a:fillRect/>
                    </a:stretch>
                  </pic:blipFill>
                  <pic:spPr>
                    <a:xfrm>
                      <a:off x="0" y="0"/>
                      <a:ext cx="5943600" cy="2731770"/>
                    </a:xfrm>
                    <a:prstGeom prst="rect">
                      <a:avLst/>
                    </a:prstGeom>
                  </pic:spPr>
                </pic:pic>
              </a:graphicData>
            </a:graphic>
          </wp:inline>
        </w:drawing>
      </w:r>
    </w:p>
    <w:p w14:paraId="3DDB267F" w14:textId="0DBBDF5F" w:rsidR="00180549" w:rsidRDefault="00FA75A6" w:rsidP="00016D3B">
      <w:pPr>
        <w:pStyle w:val="Instructional"/>
      </w:pPr>
      <w:r>
        <w:t xml:space="preserve">Option 2: </w:t>
      </w:r>
      <w:r w:rsidR="00F15368">
        <w:t xml:space="preserve">Customer Complexity = </w:t>
      </w:r>
      <w:r w:rsidR="00180549">
        <w:t>Medium or Complex:</w:t>
      </w:r>
    </w:p>
    <w:p w14:paraId="5F815C1B" w14:textId="14B356A6" w:rsidR="0091187D" w:rsidRDefault="00002C7C" w:rsidP="009C316D">
      <w:r w:rsidRPr="00002C7C">
        <w:rPr>
          <w:noProof/>
        </w:rPr>
        <w:t xml:space="preserve"> </w:t>
      </w:r>
      <w:r w:rsidR="00704931" w:rsidRPr="00704931">
        <w:rPr>
          <w:noProof/>
        </w:rPr>
        <w:drawing>
          <wp:inline distT="0" distB="0" distL="0" distR="0" wp14:anchorId="07B890DF" wp14:editId="484AA026">
            <wp:extent cx="5943600" cy="2736215"/>
            <wp:effectExtent l="0" t="0" r="0" b="6985"/>
            <wp:docPr id="3" name="Picture 3" descr="This graphic depicts Option 2, Customer Complexity = Medium or Complex. There are three phases: Prepare, Pilot, and Migrate.  The activities associated with each of the phases is shown and discussed in the text that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is graphic depicts Option 2, Customer Complexity = Medium or Complex. There are three phases: Prepare, Pilot, and Migrate.  The activities associated with each of the phases is shown and discussed in the text that follows."/>
                    <pic:cNvPicPr/>
                  </pic:nvPicPr>
                  <pic:blipFill>
                    <a:blip r:embed="rId23"/>
                    <a:stretch>
                      <a:fillRect/>
                    </a:stretch>
                  </pic:blipFill>
                  <pic:spPr>
                    <a:xfrm>
                      <a:off x="0" y="0"/>
                      <a:ext cx="5943600" cy="2736215"/>
                    </a:xfrm>
                    <a:prstGeom prst="rect">
                      <a:avLst/>
                    </a:prstGeom>
                  </pic:spPr>
                </pic:pic>
              </a:graphicData>
            </a:graphic>
          </wp:inline>
        </w:drawing>
      </w:r>
    </w:p>
    <w:p w14:paraId="104EB21E" w14:textId="09F1A039" w:rsidR="009E3FF2" w:rsidRPr="002A5B4D" w:rsidRDefault="009E3FF2" w:rsidP="009C316D">
      <w:pPr>
        <w:rPr>
          <w:b/>
          <w:bCs/>
          <w:sz w:val="22"/>
        </w:rPr>
      </w:pPr>
      <w:r w:rsidRPr="002A5B4D">
        <w:rPr>
          <w:b/>
          <w:bCs/>
          <w:sz w:val="22"/>
        </w:rPr>
        <w:t>Prepare phase</w:t>
      </w:r>
    </w:p>
    <w:p w14:paraId="3F40F29C" w14:textId="1C1FF034" w:rsidR="00FD006A" w:rsidRDefault="009C316D" w:rsidP="009C316D">
      <w:r w:rsidRPr="009A4201">
        <w:t xml:space="preserve">The </w:t>
      </w:r>
      <w:r w:rsidRPr="00F707A2">
        <w:t>Prepare</w:t>
      </w:r>
      <w:r w:rsidRPr="009A4201">
        <w:t xml:space="preserve"> phase consist</w:t>
      </w:r>
      <w:r w:rsidR="00635167">
        <w:t>s</w:t>
      </w:r>
      <w:r w:rsidRPr="009A4201">
        <w:t xml:space="preserve"> of a series of </w:t>
      </w:r>
      <w:r w:rsidR="006F384C">
        <w:t>parallel sprints</w:t>
      </w:r>
      <w:r w:rsidR="006F384C" w:rsidRPr="009A4201">
        <w:t xml:space="preserve"> </w:t>
      </w:r>
      <w:r w:rsidRPr="009A4201">
        <w:t>that will be used to</w:t>
      </w:r>
      <w:r w:rsidR="00FD006A">
        <w:t>:</w:t>
      </w:r>
    </w:p>
    <w:p w14:paraId="13862FCD" w14:textId="719D1D4B" w:rsidR="00FD006A" w:rsidRDefault="31A37BBF" w:rsidP="000B4557">
      <w:pPr>
        <w:pStyle w:val="ListParagraph"/>
        <w:numPr>
          <w:ilvl w:val="0"/>
          <w:numId w:val="13"/>
        </w:numPr>
        <w:ind w:left="360"/>
      </w:pPr>
      <w:r>
        <w:lastRenderedPageBreak/>
        <w:t>A</w:t>
      </w:r>
      <w:r w:rsidR="1AA3C597">
        <w:t xml:space="preserve">lign on an end-to-end </w:t>
      </w:r>
      <w:r w:rsidR="0088CE57">
        <w:t xml:space="preserve">migration </w:t>
      </w:r>
      <w:r w:rsidR="1AA3C597">
        <w:t xml:space="preserve">process </w:t>
      </w:r>
      <w:r w:rsidR="44A9808C">
        <w:t xml:space="preserve">that </w:t>
      </w:r>
      <w:r w:rsidR="1AA3C597">
        <w:t>combin</w:t>
      </w:r>
      <w:r w:rsidR="44A9808C">
        <w:t>es</w:t>
      </w:r>
      <w:r w:rsidR="1AA3C597">
        <w:t xml:space="preserve"> technical</w:t>
      </w:r>
      <w:r w:rsidR="306FBE22">
        <w:t>, o</w:t>
      </w:r>
      <w:r w:rsidR="63C21F71">
        <w:t>perational</w:t>
      </w:r>
      <w:r w:rsidR="2B633C56">
        <w:t>,</w:t>
      </w:r>
      <w:r w:rsidR="63C21F71">
        <w:t xml:space="preserve"> </w:t>
      </w:r>
      <w:r w:rsidR="1AA3C597">
        <w:t>and business activities</w:t>
      </w:r>
      <w:r w:rsidR="00E82E11">
        <w:t xml:space="preserve">. </w:t>
      </w:r>
      <w:r w:rsidR="00CB08A2">
        <w:t>These parallel sprints will also be used for</w:t>
      </w:r>
      <w:r w:rsidR="2041C9B4">
        <w:t xml:space="preserve"> </w:t>
      </w:r>
      <w:r w:rsidR="1AA3C597">
        <w:t>tooling</w:t>
      </w:r>
      <w:r w:rsidR="00CB08A2">
        <w:t>,</w:t>
      </w:r>
      <w:r w:rsidR="1C6F58A5">
        <w:t xml:space="preserve"> </w:t>
      </w:r>
      <w:r w:rsidR="7FAC88C5">
        <w:t>intake and application disposition with backlog refinement</w:t>
      </w:r>
      <w:r w:rsidR="00CB08A2">
        <w:t>,</w:t>
      </w:r>
      <w:r w:rsidR="1C6F58A5">
        <w:t xml:space="preserve"> </w:t>
      </w:r>
      <w:r w:rsidR="1AA3C597">
        <w:t xml:space="preserve">and </w:t>
      </w:r>
      <w:r w:rsidR="569FEEC3">
        <w:t xml:space="preserve">the </w:t>
      </w:r>
      <w:r w:rsidR="1AA3C597">
        <w:t xml:space="preserve">automation required for a successful migration program. </w:t>
      </w:r>
      <w:r w:rsidR="645E3E93">
        <w:t xml:space="preserve">This will produce </w:t>
      </w:r>
      <w:r w:rsidR="749C6121">
        <w:t xml:space="preserve">a pilot-ready </w:t>
      </w:r>
      <w:r w:rsidR="6263857C">
        <w:t>v</w:t>
      </w:r>
      <w:r w:rsidR="749C6121">
        <w:t xml:space="preserve">ersion 0.1 of the Azure </w:t>
      </w:r>
      <w:r w:rsidR="0F16ABC8">
        <w:t>m</w:t>
      </w:r>
      <w:r w:rsidR="749C6121">
        <w:t xml:space="preserve">igration </w:t>
      </w:r>
      <w:r w:rsidR="0F16ABC8">
        <w:t>p</w:t>
      </w:r>
      <w:r w:rsidR="749C6121">
        <w:t xml:space="preserve">laybook in </w:t>
      </w:r>
      <w:r w:rsidR="00294D80">
        <w:t xml:space="preserve">Microsoft </w:t>
      </w:r>
      <w:r w:rsidR="749C6121">
        <w:t>Azure DevOps, the initial cloud catalog of discovered assets, and the baseline velocity plan.</w:t>
      </w:r>
    </w:p>
    <w:p w14:paraId="18D547E7" w14:textId="4773AAC9" w:rsidR="0028614E" w:rsidRDefault="0028614E" w:rsidP="00016D3B">
      <w:pPr>
        <w:pStyle w:val="Instructional"/>
        <w:ind w:left="360"/>
      </w:pPr>
      <w:r>
        <w:t xml:space="preserve">Add the following if customer complexity is medium or complex in </w:t>
      </w:r>
      <w:r w:rsidR="0066772F">
        <w:t>OSE</w:t>
      </w:r>
    </w:p>
    <w:p w14:paraId="2F2A0CA0" w14:textId="77CA2AC9" w:rsidR="00C9770F" w:rsidRDefault="0028614E" w:rsidP="000B4557">
      <w:pPr>
        <w:pStyle w:val="BlueText-BulletStyle2"/>
      </w:pPr>
      <w:r>
        <w:t>Validate key processes and tooling with a migration proof</w:t>
      </w:r>
      <w:r w:rsidR="00F276B4">
        <w:t xml:space="preserve"> </w:t>
      </w:r>
      <w:r>
        <w:t>of</w:t>
      </w:r>
      <w:r w:rsidR="00F276B4">
        <w:t xml:space="preserve"> </w:t>
      </w:r>
      <w:r>
        <w:t>concept</w:t>
      </w:r>
      <w:r w:rsidR="006937BF">
        <w:t>.</w:t>
      </w:r>
    </w:p>
    <w:p w14:paraId="0A8B72A1" w14:textId="6EFF4CB5" w:rsidR="007466BE" w:rsidRDefault="007466BE" w:rsidP="006B1C63">
      <w:pPr>
        <w:pStyle w:val="Instructional"/>
        <w:ind w:left="360"/>
      </w:pPr>
      <w:r>
        <w:t>Choose one:</w:t>
      </w:r>
    </w:p>
    <w:p w14:paraId="61D5C2B9" w14:textId="01C07E15" w:rsidR="00FD006A" w:rsidRDefault="00E86960" w:rsidP="000B4557">
      <w:pPr>
        <w:pStyle w:val="BlueText-BulletStyle2"/>
      </w:pPr>
      <w:r>
        <w:t xml:space="preserve">Design and implement an </w:t>
      </w:r>
      <w:r w:rsidR="00B600D9">
        <w:t>A</w:t>
      </w:r>
      <w:r w:rsidR="0016530D">
        <w:t>zure Landing Zone (ALZ)</w:t>
      </w:r>
      <w:r w:rsidR="00E86F78">
        <w:t>.</w:t>
      </w:r>
    </w:p>
    <w:p w14:paraId="3C50662C" w14:textId="2830F153" w:rsidR="00E86F78" w:rsidRDefault="00E86F78" w:rsidP="000B4557">
      <w:pPr>
        <w:pStyle w:val="BlueText-BulletStyle2"/>
      </w:pPr>
      <w:r>
        <w:t xml:space="preserve">Remediate an existing </w:t>
      </w:r>
      <w:r w:rsidR="00616D34">
        <w:t>Azure Landing Zone (</w:t>
      </w:r>
      <w:r w:rsidR="0016530D">
        <w:t>ALZ</w:t>
      </w:r>
      <w:r w:rsidR="000847C3">
        <w:t>).</w:t>
      </w:r>
    </w:p>
    <w:p w14:paraId="10958C6C" w14:textId="41CF01ED" w:rsidR="005D6DBE" w:rsidRDefault="005D6DBE" w:rsidP="000B4557">
      <w:pPr>
        <w:pStyle w:val="ListParagraph"/>
        <w:numPr>
          <w:ilvl w:val="0"/>
          <w:numId w:val="13"/>
        </w:numPr>
        <w:ind w:left="360"/>
      </w:pPr>
      <w:r>
        <w:t xml:space="preserve">Design and implement an Azure Kubernetes Service </w:t>
      </w:r>
      <w:r w:rsidR="00250368">
        <w:t xml:space="preserve">(AKS) </w:t>
      </w:r>
      <w:r w:rsidR="00BA777A">
        <w:t>landing zone for containerized applications.</w:t>
      </w:r>
    </w:p>
    <w:p w14:paraId="797CB41D" w14:textId="5E483375" w:rsidR="009C316D" w:rsidRPr="009A4201" w:rsidRDefault="002D4881" w:rsidP="000B4557">
      <w:pPr>
        <w:pStyle w:val="ListParagraph"/>
        <w:numPr>
          <w:ilvl w:val="0"/>
          <w:numId w:val="13"/>
        </w:numPr>
        <w:ind w:left="360"/>
      </w:pPr>
      <w:r w:rsidRPr="002D4881">
        <w:t xml:space="preserve">Align </w:t>
      </w:r>
      <w:r w:rsidR="00706A4C">
        <w:t xml:space="preserve">the </w:t>
      </w:r>
      <w:r w:rsidRPr="002D4881">
        <w:t xml:space="preserve">Customer’s IT operating model to </w:t>
      </w:r>
      <w:r w:rsidR="00706A4C">
        <w:t xml:space="preserve">the </w:t>
      </w:r>
      <w:r w:rsidRPr="000E283C">
        <w:t>Microsoft Cloud Adoption Framework</w:t>
      </w:r>
      <w:r w:rsidR="009C316D" w:rsidRPr="000E283C">
        <w:t>.</w:t>
      </w:r>
    </w:p>
    <w:p w14:paraId="0268A6D0" w14:textId="2A2EBA33" w:rsidR="00E97684" w:rsidRPr="009B1FC6" w:rsidRDefault="009B1FC6" w:rsidP="000B4557">
      <w:pPr>
        <w:pStyle w:val="ListParagraph"/>
        <w:numPr>
          <w:ilvl w:val="0"/>
          <w:numId w:val="13"/>
        </w:numPr>
        <w:ind w:left="360"/>
      </w:pPr>
      <w:r>
        <w:t>M</w:t>
      </w:r>
      <w:r w:rsidRPr="009B1FC6">
        <w:t xml:space="preserve">obilize key </w:t>
      </w:r>
      <w:r w:rsidR="00F6194D">
        <w:t>C</w:t>
      </w:r>
      <w:r w:rsidRPr="009B1FC6">
        <w:t>ustomer stakeholders to achieve migration velocity</w:t>
      </w:r>
      <w:r w:rsidR="00E97684" w:rsidRPr="009B1FC6">
        <w:t>.</w:t>
      </w:r>
    </w:p>
    <w:p w14:paraId="2D23CFD5" w14:textId="2D2F043E" w:rsidR="00D04436" w:rsidRDefault="00D04436" w:rsidP="00016D3B">
      <w:pPr>
        <w:pStyle w:val="Instructional"/>
      </w:pPr>
      <w:r>
        <w:t>If the Prepare phase</w:t>
      </w:r>
      <w:r w:rsidR="00E11C89">
        <w:t xml:space="preserve"> (only)</w:t>
      </w:r>
      <w:r>
        <w:t xml:space="preserve"> has already been delivered in a previous engagement add the following:</w:t>
      </w:r>
    </w:p>
    <w:p w14:paraId="51E8D6CD" w14:textId="474884FE" w:rsidR="00D04436" w:rsidRPr="00C70E4A" w:rsidRDefault="00D04436" w:rsidP="00016D3B">
      <w:pPr>
        <w:pStyle w:val="Optional"/>
      </w:pPr>
      <w:r>
        <w:t xml:space="preserve">The Prepare phase was previously delivered in </w:t>
      </w:r>
      <w:r w:rsidRPr="00016D3B">
        <w:rPr>
          <w:rStyle w:val="InstructionalChar"/>
        </w:rPr>
        <w:t>[Engagement name]</w:t>
      </w:r>
      <w:r>
        <w:t xml:space="preserve"> and the outputs from th</w:t>
      </w:r>
      <w:r w:rsidR="00533ED8">
        <w:t xml:space="preserve">at </w:t>
      </w:r>
      <w:r>
        <w:t xml:space="preserve">engagement will be used to drive the current </w:t>
      </w:r>
      <w:r w:rsidR="00C50708">
        <w:t>project</w:t>
      </w:r>
      <w:r>
        <w:t>.</w:t>
      </w:r>
    </w:p>
    <w:p w14:paraId="57B41C41" w14:textId="54F2D127" w:rsidR="009E3FF2" w:rsidRPr="002A5B4D" w:rsidRDefault="009E3FF2" w:rsidP="009C316D">
      <w:pPr>
        <w:rPr>
          <w:b/>
          <w:bCs/>
          <w:sz w:val="22"/>
        </w:rPr>
      </w:pPr>
      <w:r w:rsidRPr="002A5B4D">
        <w:rPr>
          <w:b/>
          <w:bCs/>
          <w:sz w:val="22"/>
        </w:rPr>
        <w:t>Pilot phase</w:t>
      </w:r>
    </w:p>
    <w:p w14:paraId="4016B2B3" w14:textId="3D96868E" w:rsidR="009C316D" w:rsidRDefault="009C316D" w:rsidP="009C316D">
      <w:r w:rsidRPr="009A4201">
        <w:t xml:space="preserve">The </w:t>
      </w:r>
      <w:r w:rsidRPr="00F707A2">
        <w:t>Pilot</w:t>
      </w:r>
      <w:r w:rsidRPr="009A4201">
        <w:t xml:space="preserve"> phase consist</w:t>
      </w:r>
      <w:r w:rsidR="00635167">
        <w:t>s</w:t>
      </w:r>
      <w:r w:rsidRPr="009A4201">
        <w:t xml:space="preserve"> of </w:t>
      </w:r>
      <w:r w:rsidR="003A3AC5">
        <w:t xml:space="preserve">a series of parallel sprints </w:t>
      </w:r>
      <w:r w:rsidRPr="009A4201">
        <w:t xml:space="preserve">taking a set of selected applications and </w:t>
      </w:r>
      <w:r w:rsidR="003B7861">
        <w:t xml:space="preserve">completing the </w:t>
      </w:r>
      <w:r w:rsidR="009538BF">
        <w:t>activities in the</w:t>
      </w:r>
      <w:r w:rsidRPr="009A4201">
        <w:t xml:space="preserve"> migration playbook. </w:t>
      </w:r>
      <w:r w:rsidR="00066D9D" w:rsidRPr="00016D3B">
        <w:rPr>
          <w:i/>
          <w:color w:val="FF00FF"/>
        </w:rPr>
        <w:t>Include the following when the Pilot phase has been extended in OSE:</w:t>
      </w:r>
      <w:r w:rsidR="00066D9D">
        <w:t xml:space="preserve"> </w:t>
      </w:r>
      <w:r w:rsidR="00066D9D" w:rsidRPr="00016D3B">
        <w:rPr>
          <w:rStyle w:val="OptionalChar"/>
        </w:rPr>
        <w:t>The Pilot phase</w:t>
      </w:r>
      <w:r w:rsidR="000B0AFD">
        <w:rPr>
          <w:rStyle w:val="OptionalChar"/>
        </w:rPr>
        <w:t xml:space="preserve">’s </w:t>
      </w:r>
      <w:r w:rsidR="00EB3E55">
        <w:rPr>
          <w:rStyle w:val="OptionalChar"/>
        </w:rPr>
        <w:t>i</w:t>
      </w:r>
      <w:r w:rsidR="000B0AFD">
        <w:rPr>
          <w:rStyle w:val="OptionalChar"/>
        </w:rPr>
        <w:t xml:space="preserve">ntake and </w:t>
      </w:r>
      <w:r w:rsidR="00EB3E55">
        <w:rPr>
          <w:rStyle w:val="OptionalChar"/>
        </w:rPr>
        <w:t>a</w:t>
      </w:r>
      <w:r w:rsidR="000B0AFD">
        <w:rPr>
          <w:rStyle w:val="OptionalChar"/>
        </w:rPr>
        <w:t xml:space="preserve">pplication </w:t>
      </w:r>
      <w:r w:rsidR="00EB3E55">
        <w:rPr>
          <w:rStyle w:val="OptionalChar"/>
        </w:rPr>
        <w:t>d</w:t>
      </w:r>
      <w:r w:rsidR="000B0AFD">
        <w:rPr>
          <w:rStyle w:val="OptionalChar"/>
        </w:rPr>
        <w:t xml:space="preserve">isposition </w:t>
      </w:r>
      <w:r w:rsidR="00F26497">
        <w:rPr>
          <w:rStyle w:val="OptionalChar"/>
        </w:rPr>
        <w:t>activities</w:t>
      </w:r>
      <w:r w:rsidR="00066D9D" w:rsidRPr="00016D3B">
        <w:rPr>
          <w:rStyle w:val="OptionalChar"/>
        </w:rPr>
        <w:t xml:space="preserve"> ha</w:t>
      </w:r>
      <w:r w:rsidR="00F26497">
        <w:rPr>
          <w:rStyle w:val="OptionalChar"/>
        </w:rPr>
        <w:t>ve</w:t>
      </w:r>
      <w:r w:rsidR="00066D9D" w:rsidRPr="00016D3B">
        <w:rPr>
          <w:rStyle w:val="OptionalChar"/>
        </w:rPr>
        <w:t xml:space="preserve"> been extended to drive the creation of a deeper backlog of applications to be migrated.</w:t>
      </w:r>
      <w:r w:rsidR="00066D9D">
        <w:t xml:space="preserve"> </w:t>
      </w:r>
      <w:r w:rsidR="00C353EE">
        <w:t xml:space="preserve">The Customer and Microsoft will use </w:t>
      </w:r>
      <w:r w:rsidR="009C7B1F">
        <w:t xml:space="preserve">the </w:t>
      </w:r>
      <w:r w:rsidR="00C353EE">
        <w:t>f</w:t>
      </w:r>
      <w:r w:rsidRPr="009A4201">
        <w:t xml:space="preserve">eedback </w:t>
      </w:r>
      <w:r w:rsidR="009C7B1F">
        <w:t xml:space="preserve">obtained during this phase </w:t>
      </w:r>
      <w:r w:rsidRPr="009A4201">
        <w:t>to review and agree on upgrades to the migration playbook. This phase will end with a revised</w:t>
      </w:r>
      <w:r w:rsidR="009C7B1F">
        <w:t>,</w:t>
      </w:r>
      <w:r w:rsidRPr="009A4201">
        <w:t xml:space="preserve"> migration-ready </w:t>
      </w:r>
      <w:r w:rsidR="006746B8">
        <w:t>v</w:t>
      </w:r>
      <w:r w:rsidRPr="009A4201">
        <w:t xml:space="preserve">ersion 1.0 of the </w:t>
      </w:r>
      <w:r w:rsidR="006B3B43">
        <w:t xml:space="preserve">Azure </w:t>
      </w:r>
      <w:r w:rsidRPr="009A4201">
        <w:t>migration playbook.</w:t>
      </w:r>
    </w:p>
    <w:p w14:paraId="39440B29" w14:textId="5686935E" w:rsidR="00E11C89" w:rsidRDefault="00E11C89" w:rsidP="00E11C89">
      <w:pPr>
        <w:pStyle w:val="Instructional"/>
      </w:pPr>
      <w:r>
        <w:t>If the Prepare and Pilot phases have already been delivered in a previous engagement add the following:</w:t>
      </w:r>
    </w:p>
    <w:p w14:paraId="026CFAF7" w14:textId="7384426D" w:rsidR="00E11C89" w:rsidRDefault="00E11C89" w:rsidP="00E11C89">
      <w:pPr>
        <w:pStyle w:val="Optional"/>
      </w:pPr>
      <w:r>
        <w:t xml:space="preserve">The Prepare </w:t>
      </w:r>
      <w:r w:rsidR="00915DDD">
        <w:t xml:space="preserve">and Pilot </w:t>
      </w:r>
      <w:r>
        <w:t>phase</w:t>
      </w:r>
      <w:r w:rsidR="00915DDD">
        <w:t>s</w:t>
      </w:r>
      <w:r>
        <w:t xml:space="preserve"> w</w:t>
      </w:r>
      <w:r w:rsidR="00915DDD">
        <w:t>ere</w:t>
      </w:r>
      <w:r>
        <w:t xml:space="preserve"> previously delivered in </w:t>
      </w:r>
      <w:r w:rsidRPr="006B0D78">
        <w:rPr>
          <w:rStyle w:val="InstructionalChar"/>
        </w:rPr>
        <w:t>[Engagement name]</w:t>
      </w:r>
      <w:r>
        <w:t xml:space="preserve"> and the outputs from that engagement will be used to drive the current project.</w:t>
      </w:r>
    </w:p>
    <w:p w14:paraId="51DA275D" w14:textId="499BCD9A" w:rsidR="001B455E" w:rsidRDefault="001B455E" w:rsidP="00442A7A">
      <w:pPr>
        <w:pStyle w:val="Instructional"/>
      </w:pPr>
      <w:r>
        <w:t xml:space="preserve">If the </w:t>
      </w:r>
      <w:r w:rsidR="00442A7A">
        <w:t>Pilot phase has not been delivered and is not in scope, add the following:</w:t>
      </w:r>
    </w:p>
    <w:p w14:paraId="2D27C52D" w14:textId="5DA9FDB5" w:rsidR="00F70CAA" w:rsidRPr="00F70CAA" w:rsidRDefault="00F70CAA">
      <w:pPr>
        <w:pStyle w:val="Optional"/>
      </w:pPr>
      <w:r>
        <w:t xml:space="preserve">The Pilot phase is not in scope and </w:t>
      </w:r>
      <w:r w:rsidR="001F0D2E">
        <w:t>may</w:t>
      </w:r>
      <w:r>
        <w:t xml:space="preserve"> be </w:t>
      </w:r>
      <w:r w:rsidR="00373BDD">
        <w:t>delivered in a future engagement.</w:t>
      </w:r>
    </w:p>
    <w:p w14:paraId="138D1436" w14:textId="45155CEB" w:rsidR="009E3FF2" w:rsidRPr="002A5B4D" w:rsidRDefault="009E3FF2" w:rsidP="009C316D">
      <w:pPr>
        <w:rPr>
          <w:b/>
          <w:bCs/>
          <w:sz w:val="22"/>
        </w:rPr>
      </w:pPr>
      <w:r w:rsidRPr="002A5B4D">
        <w:rPr>
          <w:b/>
          <w:bCs/>
          <w:sz w:val="22"/>
        </w:rPr>
        <w:t>Migrate phase</w:t>
      </w:r>
    </w:p>
    <w:p w14:paraId="41D241BD" w14:textId="40EC3337" w:rsidR="009C316D" w:rsidRPr="009A4201" w:rsidRDefault="009C316D" w:rsidP="009C316D">
      <w:r w:rsidRPr="009A4201">
        <w:t xml:space="preserve">The </w:t>
      </w:r>
      <w:r w:rsidRPr="00F707A2">
        <w:t>Migrate</w:t>
      </w:r>
      <w:r w:rsidRPr="009A4201">
        <w:t xml:space="preserve"> phase consist</w:t>
      </w:r>
      <w:r w:rsidR="00635167">
        <w:t>s</w:t>
      </w:r>
      <w:r w:rsidRPr="009A4201">
        <w:t xml:space="preserve"> of </w:t>
      </w:r>
      <w:r w:rsidR="0096548A">
        <w:t>paralle</w:t>
      </w:r>
      <w:r w:rsidR="00B6402F">
        <w:t>l</w:t>
      </w:r>
      <w:r w:rsidR="0096548A">
        <w:t xml:space="preserve"> sprints</w:t>
      </w:r>
      <w:r w:rsidRPr="009A4201">
        <w:t xml:space="preserve"> </w:t>
      </w:r>
      <w:r w:rsidR="00BE3F96">
        <w:t xml:space="preserve">running </w:t>
      </w:r>
      <w:r w:rsidRPr="009A4201">
        <w:t xml:space="preserve">the defined migration playbook across applications and business units at scale to achieve velocity in the migration program. </w:t>
      </w:r>
      <w:r w:rsidR="0001611B">
        <w:t>The initial</w:t>
      </w:r>
      <w:r w:rsidR="000E169A">
        <w:t>,</w:t>
      </w:r>
      <w:r w:rsidR="0001611B">
        <w:t xml:space="preserve"> assumed scope for this phase is listed </w:t>
      </w:r>
      <w:r w:rsidR="00350FFE">
        <w:t>b</w:t>
      </w:r>
      <w:r w:rsidR="00C573FA">
        <w:t>elow</w:t>
      </w:r>
      <w:r w:rsidR="0001611B">
        <w:t xml:space="preserve">. </w:t>
      </w:r>
      <w:r w:rsidRPr="009A4201">
        <w:t>This phase m</w:t>
      </w:r>
      <w:r w:rsidR="00FC2FC5">
        <w:t>ay</w:t>
      </w:r>
      <w:r w:rsidRPr="009A4201">
        <w:t xml:space="preserve"> lead to </w:t>
      </w:r>
      <w:r w:rsidR="0095165C">
        <w:t>the identification of</w:t>
      </w:r>
      <w:r w:rsidR="00634418">
        <w:t xml:space="preserve"> needed</w:t>
      </w:r>
      <w:r w:rsidR="0095165C">
        <w:t xml:space="preserve"> </w:t>
      </w:r>
      <w:r w:rsidRPr="009A4201">
        <w:t xml:space="preserve">improvements that will be reviewed and added to the migration playbook through a defined governance process. During this phase, scale </w:t>
      </w:r>
      <w:r>
        <w:t>feature</w:t>
      </w:r>
      <w:r w:rsidRPr="009A4201">
        <w:t xml:space="preserve"> teams m</w:t>
      </w:r>
      <w:r w:rsidR="00FC2FC5">
        <w:t>ay</w:t>
      </w:r>
      <w:r w:rsidRPr="009A4201">
        <w:t xml:space="preserve"> be added, based on the application backlog</w:t>
      </w:r>
      <w:r w:rsidR="00F4297A">
        <w:t xml:space="preserve"> and </w:t>
      </w:r>
      <w:r w:rsidRPr="009A4201">
        <w:t>the limits defined in</w:t>
      </w:r>
      <w:r w:rsidR="00970507">
        <w:t xml:space="preserve"> the </w:t>
      </w:r>
      <w:r w:rsidR="00530FC8" w:rsidRPr="00530FC8">
        <w:rPr>
          <w:i/>
          <w:iCs/>
        </w:rPr>
        <w:fldChar w:fldCharType="begin"/>
      </w:r>
      <w:r w:rsidR="00530FC8" w:rsidRPr="00530FC8">
        <w:rPr>
          <w:i/>
          <w:iCs/>
        </w:rPr>
        <w:instrText xml:space="preserve"> REF _Ref73525370 \h  \* MERGEFORMAT </w:instrText>
      </w:r>
      <w:r w:rsidR="00530FC8" w:rsidRPr="00530FC8">
        <w:rPr>
          <w:i/>
          <w:iCs/>
        </w:rPr>
      </w:r>
      <w:r w:rsidR="00530FC8" w:rsidRPr="00530FC8">
        <w:rPr>
          <w:i/>
          <w:iCs/>
        </w:rPr>
        <w:fldChar w:fldCharType="separate"/>
      </w:r>
      <w:r w:rsidR="00530FC8" w:rsidRPr="00530FC8">
        <w:rPr>
          <w:i/>
          <w:iCs/>
        </w:rPr>
        <w:t>Program size and timeline</w:t>
      </w:r>
      <w:r w:rsidR="00530FC8" w:rsidRPr="00530FC8">
        <w:rPr>
          <w:i/>
          <w:iCs/>
        </w:rPr>
        <w:fldChar w:fldCharType="end"/>
      </w:r>
      <w:r w:rsidR="00530FC8">
        <w:rPr>
          <w:i/>
          <w:iCs/>
        </w:rPr>
        <w:t xml:space="preserve"> </w:t>
      </w:r>
      <w:r w:rsidR="00970507">
        <w:t xml:space="preserve">section. </w:t>
      </w:r>
    </w:p>
    <w:p w14:paraId="0C32E484" w14:textId="6C26E599" w:rsidR="00ED3F4A" w:rsidRDefault="00ED3F4A" w:rsidP="00ED3F4A">
      <w:pPr>
        <w:pStyle w:val="Instructional"/>
      </w:pPr>
      <w:r>
        <w:t>If the Migrate is not in scope, add the following:</w:t>
      </w:r>
    </w:p>
    <w:p w14:paraId="1775410C" w14:textId="14D0591E" w:rsidR="00ED3F4A" w:rsidRPr="006B0D78" w:rsidRDefault="00ED3F4A" w:rsidP="00ED3F4A">
      <w:pPr>
        <w:pStyle w:val="Optional"/>
      </w:pPr>
      <w:r>
        <w:t xml:space="preserve">The Migrate phase is not in scope and </w:t>
      </w:r>
      <w:r w:rsidR="001F0D2E">
        <w:t>may</w:t>
      </w:r>
      <w:r>
        <w:t xml:space="preserve"> be delivered in a future engagement.</w:t>
      </w:r>
    </w:p>
    <w:p w14:paraId="67B4D842" w14:textId="0DD6DE51" w:rsidR="00EB308A" w:rsidRPr="002C07AD" w:rsidRDefault="00B5772C" w:rsidP="00EB308A">
      <w:pPr>
        <w:pStyle w:val="Heading3"/>
        <w:numPr>
          <w:ilvl w:val="3"/>
          <w:numId w:val="10"/>
        </w:numPr>
        <w:ind w:left="810" w:hanging="810"/>
      </w:pPr>
      <w:r>
        <w:lastRenderedPageBreak/>
        <w:t>Services</w:t>
      </w:r>
    </w:p>
    <w:p w14:paraId="2114707E" w14:textId="43A61897" w:rsidR="00D4525C" w:rsidRPr="004300F9" w:rsidRDefault="00F4297A" w:rsidP="00D4525C">
      <w:r>
        <w:t>Microsoft plans to deliver t</w:t>
      </w:r>
      <w:r w:rsidR="009C316D">
        <w:t xml:space="preserve">he </w:t>
      </w:r>
      <w:r w:rsidR="009C316D" w:rsidRPr="00ED6EED">
        <w:t xml:space="preserve">following </w:t>
      </w:r>
      <w:r w:rsidR="002076B3">
        <w:t>s</w:t>
      </w:r>
      <w:r w:rsidR="00B01364">
        <w:t>ervice</w:t>
      </w:r>
      <w:r w:rsidR="009C316D" w:rsidRPr="00ED6EED">
        <w:t xml:space="preserve">s </w:t>
      </w:r>
      <w:r w:rsidR="00A80AEC">
        <w:t xml:space="preserve">during sprints </w:t>
      </w:r>
      <w:r w:rsidR="00B65D92">
        <w:t xml:space="preserve">in the phases noted </w:t>
      </w:r>
      <w:r w:rsidR="009C316D">
        <w:t>based on the prioritized backlog</w:t>
      </w:r>
      <w:r w:rsidR="008706F6">
        <w:t xml:space="preserve">. </w:t>
      </w:r>
      <w:r w:rsidR="00D4525C" w:rsidRPr="00ED6EED">
        <w:t xml:space="preserve">While </w:t>
      </w:r>
      <w:r w:rsidR="00D4525C">
        <w:t>the program</w:t>
      </w:r>
      <w:r w:rsidR="00D4525C" w:rsidRPr="00ED6EED">
        <w:t xml:space="preserve"> use</w:t>
      </w:r>
      <w:r w:rsidR="00D4525C">
        <w:t>s</w:t>
      </w:r>
      <w:r w:rsidR="00D4525C" w:rsidRPr="00ED6EED">
        <w:t xml:space="preserve"> an initial set of assumptions to help size </w:t>
      </w:r>
      <w:r w:rsidR="00D4525C">
        <w:t>each</w:t>
      </w:r>
      <w:r w:rsidR="00D4525C" w:rsidRPr="00ED6EED">
        <w:t xml:space="preserve"> service, actual migration </w:t>
      </w:r>
      <w:r w:rsidR="00D4525C">
        <w:t xml:space="preserve">and modernization </w:t>
      </w:r>
      <w:r w:rsidR="00D4525C" w:rsidRPr="00ED6EED">
        <w:t>strategy assignments will be done during application</w:t>
      </w:r>
      <w:r w:rsidR="00D4525C">
        <w:t xml:space="preserve"> and database intake and</w:t>
      </w:r>
      <w:r w:rsidR="00D4525C" w:rsidRPr="00ED6EED">
        <w:t xml:space="preserve"> assessment</w:t>
      </w:r>
      <w:r w:rsidR="00D4525C">
        <w:t>,</w:t>
      </w:r>
      <w:r w:rsidR="00D4525C" w:rsidRPr="00ED6EED">
        <w:t xml:space="preserve"> based on Customer and technical needs</w:t>
      </w:r>
      <w:r w:rsidR="00D4525C">
        <w:t>,</w:t>
      </w:r>
      <w:r w:rsidR="00D4525C" w:rsidRPr="00ED6EED">
        <w:t xml:space="preserve"> </w:t>
      </w:r>
      <w:r w:rsidR="00D4525C">
        <w:t>which</w:t>
      </w:r>
      <w:r w:rsidR="00D4525C" w:rsidRPr="00ED6EED">
        <w:t xml:space="preserve"> m</w:t>
      </w:r>
      <w:r w:rsidR="00D4525C">
        <w:t>ay</w:t>
      </w:r>
      <w:r w:rsidR="00D4525C" w:rsidRPr="00ED6EED">
        <w:t xml:space="preserve"> vary from the </w:t>
      </w:r>
      <w:r w:rsidR="00AA6703">
        <w:t>following</w:t>
      </w:r>
      <w:r w:rsidR="00D4525C" w:rsidRPr="00ED6EED">
        <w:t xml:space="preserve"> table</w:t>
      </w:r>
      <w:r w:rsidR="00D4525C">
        <w:t xml:space="preserve">s. </w:t>
      </w:r>
      <w:r w:rsidR="00D4525C" w:rsidRPr="00705361">
        <w:t>To achieve the migration</w:t>
      </w:r>
      <w:r w:rsidR="00D4525C">
        <w:t xml:space="preserve"> and</w:t>
      </w:r>
      <w:r w:rsidR="00D4525C" w:rsidRPr="00705361">
        <w:t xml:space="preserve"> </w:t>
      </w:r>
      <w:r w:rsidR="00D4525C">
        <w:t xml:space="preserve">modernization </w:t>
      </w:r>
      <w:r w:rsidR="00D4525C" w:rsidRPr="00705361">
        <w:t>in the time</w:t>
      </w:r>
      <w:r w:rsidR="00D4525C">
        <w:t xml:space="preserve"> </w:t>
      </w:r>
      <w:r w:rsidR="00D4525C" w:rsidRPr="00705361">
        <w:t>frame</w:t>
      </w:r>
      <w:r w:rsidR="00D4525C">
        <w:t>s</w:t>
      </w:r>
      <w:r w:rsidR="00D4525C" w:rsidRPr="00705361">
        <w:t xml:space="preserve"> stated </w:t>
      </w:r>
      <w:r w:rsidR="00D4525C">
        <w:t>below</w:t>
      </w:r>
      <w:r w:rsidR="00D4525C" w:rsidRPr="00705361">
        <w:t xml:space="preserve">, it will require the active participation of </w:t>
      </w:r>
      <w:r w:rsidR="00D4525C">
        <w:rPr>
          <w:rStyle w:val="InstructionalChar"/>
        </w:rPr>
        <w:t>[</w:t>
      </w:r>
      <w:r w:rsidR="00D4525C" w:rsidRPr="00016D3B">
        <w:rPr>
          <w:rStyle w:val="InstructionalChar"/>
        </w:rPr>
        <w:t>Customer name</w:t>
      </w:r>
      <w:r w:rsidR="00D4525C">
        <w:rPr>
          <w:rStyle w:val="InstructionalChar"/>
        </w:rPr>
        <w:t>]</w:t>
      </w:r>
      <w:r w:rsidR="00D4525C" w:rsidRPr="00705361">
        <w:t xml:space="preserve"> IT, business application owners, and executive sponsors during the project. </w:t>
      </w:r>
      <w:r w:rsidR="008357B3">
        <w:t xml:space="preserve">Actual services delivered will be governed by the prioritized product backlog that will evolve throughout the engagement. </w:t>
      </w:r>
      <w:r w:rsidR="00D4525C" w:rsidRPr="00705361">
        <w:t xml:space="preserve">If </w:t>
      </w:r>
      <w:r w:rsidR="00D4525C">
        <w:t xml:space="preserve">scope changes result in a </w:t>
      </w:r>
      <w:r w:rsidR="00D4525C" w:rsidRPr="00F707A2">
        <w:t xml:space="preserve">resourcing or duration adjustment, the </w:t>
      </w:r>
      <w:r w:rsidR="00D4525C">
        <w:t>program’s</w:t>
      </w:r>
      <w:r w:rsidR="00D4525C" w:rsidRPr="00F707A2">
        <w:t xml:space="preserve"> change management process as described in the EDA will be followed.</w:t>
      </w:r>
    </w:p>
    <w:p w14:paraId="62EDF97E" w14:textId="4075924F" w:rsidR="00220C1E" w:rsidRPr="002A5B4D" w:rsidRDefault="00B5772C" w:rsidP="00AA057C">
      <w:pPr>
        <w:keepNext/>
        <w:keepLines/>
        <w:outlineLvl w:val="3"/>
        <w:rPr>
          <w:rFonts w:eastAsia="DengXian Light" w:cs="Times New Roman"/>
          <w:b/>
          <w:sz w:val="24"/>
          <w:szCs w:val="24"/>
        </w:rPr>
      </w:pPr>
      <w:r w:rsidRPr="002A5B4D">
        <w:rPr>
          <w:rFonts w:eastAsia="DengXian Light" w:cs="Times New Roman"/>
          <w:b/>
          <w:sz w:val="24"/>
          <w:szCs w:val="24"/>
        </w:rPr>
        <w:t xml:space="preserve">Foundation </w:t>
      </w:r>
      <w:r w:rsidR="00AA6703" w:rsidRPr="002A5B4D">
        <w:rPr>
          <w:rFonts w:eastAsia="DengXian Light" w:cs="Times New Roman"/>
          <w:b/>
          <w:sz w:val="24"/>
          <w:szCs w:val="24"/>
        </w:rPr>
        <w:t>s</w:t>
      </w:r>
      <w:r w:rsidR="00220C1E" w:rsidRPr="002A5B4D">
        <w:rPr>
          <w:rFonts w:eastAsia="DengXian Light" w:cs="Times New Roman"/>
          <w:b/>
          <w:sz w:val="24"/>
          <w:szCs w:val="24"/>
        </w:rPr>
        <w:t>ervices</w:t>
      </w:r>
    </w:p>
    <w:p w14:paraId="7C384A24" w14:textId="0FC13B81" w:rsidR="00E86714" w:rsidRPr="00E86714" w:rsidRDefault="00E86714" w:rsidP="00E86714">
      <w:pPr>
        <w:rPr>
          <w:i/>
          <w:iCs/>
          <w:color w:val="FF00FF"/>
        </w:rPr>
      </w:pPr>
      <w:r w:rsidRPr="00ED6EED">
        <w:rPr>
          <w:i/>
          <w:iCs/>
          <w:color w:val="FF00FF"/>
        </w:rPr>
        <w:t>Use information from the Inputs tab of the OSE estimator that was used to structure the project to fill out the section below.</w:t>
      </w:r>
    </w:p>
    <w:p w14:paraId="4C63E8F4" w14:textId="339AB757" w:rsidR="00DC4EF1" w:rsidRPr="00B80569" w:rsidRDefault="00B5772C" w:rsidP="00B80569">
      <w:pPr>
        <w:spacing w:before="0" w:after="160"/>
      </w:pPr>
      <w:r>
        <w:t>Foundatio</w:t>
      </w:r>
      <w:r w:rsidR="006F0E82">
        <w:t>n</w:t>
      </w:r>
      <w:r w:rsidRPr="008D018F">
        <w:t xml:space="preserve"> </w:t>
      </w:r>
      <w:r w:rsidR="00220C1E" w:rsidRPr="008D018F">
        <w:t xml:space="preserve">services </w:t>
      </w:r>
      <w:r w:rsidR="00220C1E">
        <w:t xml:space="preserve">build the </w:t>
      </w:r>
      <w:r w:rsidR="006F0E82">
        <w:t xml:space="preserve">platform </w:t>
      </w:r>
      <w:r w:rsidR="00220C1E">
        <w:t>to support a scale migration program.</w:t>
      </w:r>
      <w:r w:rsidR="004A1033">
        <w:t xml:space="preserve"> Most </w:t>
      </w:r>
      <w:r w:rsidR="006F0E82">
        <w:t xml:space="preserve">foundation </w:t>
      </w:r>
      <w:r w:rsidR="004A1033">
        <w:t>services, unless otherwise noted, run in the Prepare phase.</w:t>
      </w:r>
    </w:p>
    <w:p w14:paraId="6400E316" w14:textId="517843B2" w:rsidR="00220C1E" w:rsidRPr="002A5B4D" w:rsidRDefault="00220C1E" w:rsidP="008A2A70">
      <w:pPr>
        <w:rPr>
          <w:b/>
          <w:bCs/>
          <w:sz w:val="22"/>
        </w:rPr>
      </w:pPr>
      <w:r w:rsidRPr="002A5B4D">
        <w:rPr>
          <w:b/>
          <w:bCs/>
          <w:sz w:val="22"/>
        </w:rPr>
        <w:t xml:space="preserve">Azure Landing Zone </w:t>
      </w:r>
      <w:r w:rsidRPr="008A2A70">
        <w:rPr>
          <w:b/>
          <w:bCs/>
        </w:rPr>
        <w:t>(ALZ)</w:t>
      </w:r>
    </w:p>
    <w:p w14:paraId="1114B8EF" w14:textId="0DC9DB42" w:rsidR="00220C1E" w:rsidRPr="00083411" w:rsidRDefault="00220C1E" w:rsidP="002A5B4D">
      <w:pPr>
        <w:pStyle w:val="ListParagraph"/>
        <w:numPr>
          <w:ilvl w:val="0"/>
          <w:numId w:val="76"/>
        </w:numPr>
        <w:ind w:left="360"/>
      </w:pPr>
      <w:r w:rsidRPr="003E4F9A">
        <w:rPr>
          <w:b/>
          <w:bCs/>
        </w:rPr>
        <w:t xml:space="preserve">Azure </w:t>
      </w:r>
      <w:r w:rsidR="001C6399" w:rsidRPr="003E4F9A">
        <w:rPr>
          <w:b/>
          <w:bCs/>
        </w:rPr>
        <w:t>p</w:t>
      </w:r>
      <w:r w:rsidRPr="003E4F9A">
        <w:rPr>
          <w:b/>
          <w:bCs/>
        </w:rPr>
        <w:t>latform:</w:t>
      </w:r>
      <w:r w:rsidRPr="00083411">
        <w:t xml:space="preserve"> </w:t>
      </w:r>
      <w:r w:rsidR="00437E54" w:rsidRPr="00437E54">
        <w:rPr>
          <w:rStyle w:val="OptionalChar"/>
        </w:rPr>
        <w:t>[</w:t>
      </w:r>
      <w:r w:rsidRPr="00437E54">
        <w:rPr>
          <w:rStyle w:val="OptionalChar"/>
        </w:rPr>
        <w:t>Establish</w:t>
      </w:r>
      <w:r w:rsidR="00437E54" w:rsidRPr="00437E54">
        <w:rPr>
          <w:rStyle w:val="OptionalChar"/>
        </w:rPr>
        <w:t xml:space="preserve"> | Improve]</w:t>
      </w:r>
      <w:r w:rsidRPr="00083411">
        <w:t xml:space="preserve"> </w:t>
      </w:r>
      <w:r w:rsidR="00882F8B">
        <w:t xml:space="preserve">Microsoft </w:t>
      </w:r>
      <w:r w:rsidRPr="00083411">
        <w:t>Azure as the platform for cloud transformation by designing and implementing the ALZ</w:t>
      </w:r>
      <w:r w:rsidR="006F2880">
        <w:t xml:space="preserve"> </w:t>
      </w:r>
      <w:r w:rsidRPr="00083411">
        <w:t xml:space="preserve">based on the principles and guidance published in the </w:t>
      </w:r>
      <w:r w:rsidRPr="002A5B4D">
        <w:rPr>
          <w:i/>
          <w:iCs/>
        </w:rPr>
        <w:t>Microsoft Cloud Adoption Framework</w:t>
      </w:r>
      <w:r w:rsidRPr="00083411">
        <w:t xml:space="preserve">, </w:t>
      </w:r>
      <w:r w:rsidRPr="002A5B4D">
        <w:rPr>
          <w:i/>
          <w:iCs/>
        </w:rPr>
        <w:t>Azure Landing Zone</w:t>
      </w:r>
      <w:r w:rsidRPr="00083411">
        <w:t xml:space="preserve">, and </w:t>
      </w:r>
      <w:r w:rsidRPr="002A5B4D">
        <w:rPr>
          <w:i/>
          <w:iCs/>
        </w:rPr>
        <w:t>Azure Security Benchmark</w:t>
      </w:r>
      <w:r w:rsidRPr="00083411">
        <w:t xml:space="preserve">. </w:t>
      </w:r>
    </w:p>
    <w:p w14:paraId="44E66C13" w14:textId="12F1CB15" w:rsidR="004639BA" w:rsidRDefault="00220C1E" w:rsidP="00FC77A3">
      <w:pPr>
        <w:pStyle w:val="ListParagraph"/>
        <w:numPr>
          <w:ilvl w:val="0"/>
          <w:numId w:val="27"/>
        </w:numPr>
        <w:spacing w:before="60" w:after="60" w:line="260" w:lineRule="atLeast"/>
        <w:ind w:left="360"/>
        <w:contextualSpacing w:val="0"/>
      </w:pPr>
      <w:r w:rsidRPr="002A5B4D">
        <w:rPr>
          <w:b/>
          <w:bCs/>
        </w:rPr>
        <w:t xml:space="preserve">Azure </w:t>
      </w:r>
      <w:r w:rsidR="001C6399" w:rsidRPr="002A5B4D">
        <w:rPr>
          <w:b/>
          <w:bCs/>
        </w:rPr>
        <w:t>n</w:t>
      </w:r>
      <w:r w:rsidRPr="002A5B4D">
        <w:rPr>
          <w:b/>
          <w:bCs/>
        </w:rPr>
        <w:t>etworking:</w:t>
      </w:r>
      <w:r w:rsidRPr="00083411">
        <w:t xml:space="preserve"> </w:t>
      </w:r>
      <w:r w:rsidR="004639BA">
        <w:t>Establish Azure networking services from on-premises to Azure</w:t>
      </w:r>
      <w:r w:rsidR="001C6399">
        <w:t>.</w:t>
      </w:r>
      <w:r w:rsidR="004639BA">
        <w:t xml:space="preserve"> </w:t>
      </w:r>
    </w:p>
    <w:p w14:paraId="2BDD0E1D" w14:textId="56F8521F" w:rsidR="00220C1E" w:rsidRDefault="00220C1E" w:rsidP="002A5B4D">
      <w:pPr>
        <w:pStyle w:val="ListParagraph"/>
        <w:numPr>
          <w:ilvl w:val="0"/>
          <w:numId w:val="29"/>
        </w:numPr>
        <w:spacing w:before="60" w:after="60" w:line="260" w:lineRule="atLeast"/>
        <w:ind w:left="360"/>
        <w:contextualSpacing w:val="0"/>
      </w:pPr>
      <w:r w:rsidRPr="00544BE5">
        <w:rPr>
          <w:b/>
          <w:bCs/>
        </w:rPr>
        <w:t xml:space="preserve">Azure </w:t>
      </w:r>
      <w:r w:rsidR="00FE0C6F" w:rsidRPr="00544BE5">
        <w:rPr>
          <w:b/>
          <w:bCs/>
        </w:rPr>
        <w:t>i</w:t>
      </w:r>
      <w:r w:rsidRPr="00544BE5">
        <w:rPr>
          <w:b/>
          <w:bCs/>
        </w:rPr>
        <w:t>dentity:</w:t>
      </w:r>
      <w:r w:rsidRPr="00083411">
        <w:t xml:space="preserve"> </w:t>
      </w:r>
      <w:r w:rsidR="00AD0E65">
        <w:t>I</w:t>
      </w:r>
      <w:r w:rsidR="00366818">
        <w:t>mplement</w:t>
      </w:r>
      <w:r w:rsidR="00B1695F" w:rsidRPr="00B1695F">
        <w:t xml:space="preserve"> key capabilities in Azure Active Directory (Azure AD) and on-premises identities </w:t>
      </w:r>
      <w:r w:rsidR="007626CB" w:rsidRPr="00B1695F">
        <w:t>to</w:t>
      </w:r>
      <w:r w:rsidR="00B1695F" w:rsidRPr="00B1695F">
        <w:t xml:space="preserve"> increase the security posture of the organization.</w:t>
      </w:r>
    </w:p>
    <w:p w14:paraId="557DD573" w14:textId="0F73614E" w:rsidR="00897A95" w:rsidRDefault="00897A95" w:rsidP="002A5B4D">
      <w:pPr>
        <w:pStyle w:val="ListParagraph"/>
        <w:numPr>
          <w:ilvl w:val="0"/>
          <w:numId w:val="30"/>
        </w:numPr>
        <w:spacing w:before="60" w:after="60" w:line="260" w:lineRule="atLeast"/>
        <w:ind w:left="720"/>
        <w:contextualSpacing w:val="0"/>
      </w:pPr>
      <w:r w:rsidRPr="002A5B4D">
        <w:rPr>
          <w:rFonts w:ascii="Segoe UI Semibold" w:hAnsi="Segoe UI Semibold" w:cs="Segoe UI Semibold"/>
        </w:rPr>
        <w:t xml:space="preserve">Azure AD </w:t>
      </w:r>
      <w:r w:rsidR="00FE0C6F" w:rsidRPr="002A5B4D">
        <w:rPr>
          <w:rFonts w:ascii="Segoe UI Semibold" w:hAnsi="Segoe UI Semibold" w:cs="Segoe UI Semibold"/>
        </w:rPr>
        <w:t>i</w:t>
      </w:r>
      <w:r w:rsidRPr="002A5B4D">
        <w:rPr>
          <w:rFonts w:ascii="Segoe UI Semibold" w:hAnsi="Segoe UI Semibold" w:cs="Segoe UI Semibold"/>
        </w:rPr>
        <w:t>ntegration:</w:t>
      </w:r>
      <w:r>
        <w:t xml:space="preserve"> </w:t>
      </w:r>
      <w:r w:rsidR="0060003D">
        <w:t>E</w:t>
      </w:r>
      <w:r w:rsidR="0060003D" w:rsidRPr="0060003D">
        <w:t xml:space="preserve">stablish integration between your on-premises </w:t>
      </w:r>
      <w:r w:rsidR="00352DD2">
        <w:t>Active Directory Domain Services</w:t>
      </w:r>
      <w:r w:rsidR="0028054D">
        <w:t xml:space="preserve"> </w:t>
      </w:r>
      <w:r w:rsidR="00352DD2">
        <w:t>(</w:t>
      </w:r>
      <w:r w:rsidR="0060003D" w:rsidRPr="0060003D">
        <w:t>AD DS</w:t>
      </w:r>
      <w:r w:rsidR="00352DD2">
        <w:t>)</w:t>
      </w:r>
      <w:r w:rsidR="0060003D" w:rsidRPr="0060003D">
        <w:t xml:space="preserve"> environments and Azure </w:t>
      </w:r>
      <w:r w:rsidR="0028054D">
        <w:t>AD</w:t>
      </w:r>
      <w:r w:rsidR="00AB3333">
        <w:t xml:space="preserve"> to support onboarding to Azure and other online services. </w:t>
      </w:r>
      <w:r w:rsidR="003C3330" w:rsidRPr="003C3330">
        <w:t>Azure Active Directory Connect will be installed and configured for synchronization, and authentication will be established using password hash synchronization, pass-through authentication, or federated authentication using Active Directory Federation Services (AD FS) or a third-party identity provider.</w:t>
      </w:r>
    </w:p>
    <w:p w14:paraId="577272A5" w14:textId="1D0C2F1D" w:rsidR="00897A95" w:rsidRDefault="00897A95" w:rsidP="002A5B4D">
      <w:pPr>
        <w:pStyle w:val="ListParagraph"/>
        <w:numPr>
          <w:ilvl w:val="0"/>
          <w:numId w:val="30"/>
        </w:numPr>
        <w:spacing w:before="60" w:after="60" w:line="260" w:lineRule="atLeast"/>
        <w:ind w:left="720"/>
        <w:contextualSpacing w:val="0"/>
      </w:pPr>
      <w:r w:rsidRPr="002A5B4D">
        <w:rPr>
          <w:rFonts w:ascii="Segoe UI Semibold" w:hAnsi="Segoe UI Semibold" w:cs="Segoe UI Semibold"/>
        </w:rPr>
        <w:t xml:space="preserve">Azure AD </w:t>
      </w:r>
      <w:r w:rsidR="00690E5A" w:rsidRPr="002A5B4D">
        <w:rPr>
          <w:rFonts w:ascii="Segoe UI Semibold" w:hAnsi="Segoe UI Semibold" w:cs="Segoe UI Semibold"/>
        </w:rPr>
        <w:t>i</w:t>
      </w:r>
      <w:r w:rsidRPr="002A5B4D">
        <w:rPr>
          <w:rFonts w:ascii="Segoe UI Semibold" w:hAnsi="Segoe UI Semibold" w:cs="Segoe UI Semibold"/>
        </w:rPr>
        <w:t xml:space="preserve">dentity </w:t>
      </w:r>
      <w:r w:rsidR="00690E5A" w:rsidRPr="002A5B4D">
        <w:rPr>
          <w:rFonts w:ascii="Segoe UI Semibold" w:hAnsi="Segoe UI Semibold" w:cs="Segoe UI Semibold"/>
        </w:rPr>
        <w:t>m</w:t>
      </w:r>
      <w:r w:rsidRPr="002A5B4D">
        <w:rPr>
          <w:rFonts w:ascii="Segoe UI Semibold" w:hAnsi="Segoe UI Semibold" w:cs="Segoe UI Semibold"/>
        </w:rPr>
        <w:t>anagement:</w:t>
      </w:r>
      <w:r>
        <w:t xml:space="preserve"> </w:t>
      </w:r>
      <w:r w:rsidR="00366818">
        <w:t>Implement</w:t>
      </w:r>
      <w:r w:rsidR="00366818" w:rsidRPr="00F501E5">
        <w:t xml:space="preserve"> </w:t>
      </w:r>
      <w:r w:rsidR="00F501E5" w:rsidRPr="00F501E5">
        <w:t xml:space="preserve">and configure </w:t>
      </w:r>
      <w:r w:rsidR="0028054D">
        <w:t>Azure AD</w:t>
      </w:r>
      <w:r w:rsidR="00F501E5" w:rsidRPr="00F501E5">
        <w:t xml:space="preserve"> self-service password management, self-service group management (SSGM), privileged identity management (PIM), and </w:t>
      </w:r>
      <w:r w:rsidR="008A2A70">
        <w:t xml:space="preserve">a </w:t>
      </w:r>
      <w:r w:rsidR="00F501E5" w:rsidRPr="00F501E5">
        <w:t>group-based licensing assignment.</w:t>
      </w:r>
    </w:p>
    <w:p w14:paraId="4D372D99" w14:textId="058E4DF8" w:rsidR="00231CAB" w:rsidRDefault="00897A95" w:rsidP="002A5B4D">
      <w:pPr>
        <w:pStyle w:val="ListParagraph"/>
        <w:numPr>
          <w:ilvl w:val="0"/>
          <w:numId w:val="30"/>
        </w:numPr>
        <w:spacing w:before="60" w:after="60" w:line="260" w:lineRule="atLeast"/>
        <w:ind w:left="720"/>
        <w:contextualSpacing w:val="0"/>
      </w:pPr>
      <w:r w:rsidRPr="002A5B4D">
        <w:rPr>
          <w:rFonts w:ascii="Segoe UI Semibold" w:hAnsi="Segoe UI Semibold" w:cs="Segoe UI Semibold"/>
        </w:rPr>
        <w:t xml:space="preserve">Azure AD </w:t>
      </w:r>
      <w:r w:rsidR="00690E5A" w:rsidRPr="002A5B4D">
        <w:rPr>
          <w:rFonts w:ascii="Segoe UI Semibold" w:hAnsi="Segoe UI Semibold" w:cs="Segoe UI Semibold"/>
        </w:rPr>
        <w:t>c</w:t>
      </w:r>
      <w:r w:rsidRPr="002A5B4D">
        <w:rPr>
          <w:rFonts w:ascii="Segoe UI Semibold" w:hAnsi="Segoe UI Semibold" w:cs="Segoe UI Semibold"/>
        </w:rPr>
        <w:t xml:space="preserve">onditional </w:t>
      </w:r>
      <w:r w:rsidR="00690E5A" w:rsidRPr="002A5B4D">
        <w:rPr>
          <w:rFonts w:ascii="Segoe UI Semibold" w:hAnsi="Segoe UI Semibold" w:cs="Segoe UI Semibold"/>
        </w:rPr>
        <w:t>a</w:t>
      </w:r>
      <w:r w:rsidRPr="002A5B4D">
        <w:rPr>
          <w:rFonts w:ascii="Segoe UI Semibold" w:hAnsi="Segoe UI Semibold" w:cs="Segoe UI Semibold"/>
        </w:rPr>
        <w:t>ccess and Multi-Factor Authentication</w:t>
      </w:r>
      <w:r w:rsidR="00882F8B">
        <w:rPr>
          <w:rFonts w:ascii="Segoe UI Semibold" w:hAnsi="Segoe UI Semibold" w:cs="Segoe UI Semibold"/>
        </w:rPr>
        <w:t xml:space="preserve"> (MFA)</w:t>
      </w:r>
      <w:r w:rsidRPr="002A5B4D">
        <w:rPr>
          <w:rFonts w:ascii="Segoe UI Semibold" w:hAnsi="Segoe UI Semibold" w:cs="Segoe UI Semibold"/>
        </w:rPr>
        <w:t>:</w:t>
      </w:r>
      <w:r>
        <w:t xml:space="preserve"> </w:t>
      </w:r>
      <w:r w:rsidR="00366818">
        <w:t>Implement</w:t>
      </w:r>
      <w:r w:rsidR="00366818" w:rsidRPr="00231CAB">
        <w:t xml:space="preserve"> </w:t>
      </w:r>
      <w:r w:rsidR="00231CAB" w:rsidRPr="00231CAB">
        <w:t xml:space="preserve">and configure MFA and configure Azure </w:t>
      </w:r>
      <w:r w:rsidR="009D2B54">
        <w:t xml:space="preserve">AD </w:t>
      </w:r>
      <w:r w:rsidR="00231CAB" w:rsidRPr="00231CAB">
        <w:t xml:space="preserve">conditional access policies for a tenant, applying controls to </w:t>
      </w:r>
      <w:r w:rsidR="009D2B54">
        <w:t xml:space="preserve">applications integrated to </w:t>
      </w:r>
      <w:r w:rsidR="00231CAB" w:rsidRPr="00231CAB">
        <w:t>Azure</w:t>
      </w:r>
      <w:r w:rsidR="009D2B54">
        <w:t xml:space="preserve"> AD</w:t>
      </w:r>
      <w:r w:rsidR="00931196">
        <w:t>.</w:t>
      </w:r>
    </w:p>
    <w:p w14:paraId="781820A9" w14:textId="73CA9845" w:rsidR="00897A95" w:rsidRDefault="00897A95" w:rsidP="00A006A5">
      <w:pPr>
        <w:pStyle w:val="ListParagraph"/>
        <w:numPr>
          <w:ilvl w:val="0"/>
          <w:numId w:val="30"/>
        </w:numPr>
        <w:spacing w:before="60" w:after="60" w:line="260" w:lineRule="atLeast"/>
        <w:ind w:left="720"/>
        <w:contextualSpacing w:val="0"/>
      </w:pPr>
      <w:r w:rsidRPr="002A5B4D">
        <w:rPr>
          <w:rFonts w:ascii="Segoe UI Semibold" w:hAnsi="Segoe UI Semibold" w:cs="Segoe UI Semibold"/>
        </w:rPr>
        <w:t xml:space="preserve">Azure AD </w:t>
      </w:r>
      <w:r w:rsidR="004C61F5" w:rsidRPr="002A5B4D">
        <w:rPr>
          <w:rFonts w:ascii="Segoe UI Semibold" w:hAnsi="Segoe UI Semibold" w:cs="Segoe UI Semibold"/>
        </w:rPr>
        <w:t>a</w:t>
      </w:r>
      <w:r w:rsidRPr="002A5B4D">
        <w:rPr>
          <w:rFonts w:ascii="Segoe UI Semibold" w:hAnsi="Segoe UI Semibold" w:cs="Segoe UI Semibold"/>
        </w:rPr>
        <w:t xml:space="preserve">pplication </w:t>
      </w:r>
      <w:r w:rsidR="004C61F5" w:rsidRPr="002A5B4D">
        <w:rPr>
          <w:rFonts w:ascii="Segoe UI Semibold" w:hAnsi="Segoe UI Semibold" w:cs="Segoe UI Semibold"/>
        </w:rPr>
        <w:t>i</w:t>
      </w:r>
      <w:r w:rsidRPr="002A5B4D">
        <w:rPr>
          <w:rFonts w:ascii="Segoe UI Semibold" w:hAnsi="Segoe UI Semibold" w:cs="Segoe UI Semibold"/>
        </w:rPr>
        <w:t>ntegration:</w:t>
      </w:r>
      <w:r>
        <w:t xml:space="preserve"> </w:t>
      </w:r>
      <w:r w:rsidR="00FC03D7">
        <w:t>I</w:t>
      </w:r>
      <w:r w:rsidR="00FC03D7" w:rsidRPr="00FC03D7">
        <w:t xml:space="preserve">ntegrate a subset of your applications with Azure </w:t>
      </w:r>
      <w:r w:rsidR="004C61F5">
        <w:t xml:space="preserve">AD </w:t>
      </w:r>
      <w:r w:rsidR="00FC03D7" w:rsidRPr="00FC03D7">
        <w:t xml:space="preserve">for achieving single sign-on (SSO) authentication. </w:t>
      </w:r>
      <w:r w:rsidR="004C61F5">
        <w:t>This service m</w:t>
      </w:r>
      <w:r w:rsidR="003D4BC8">
        <w:t>ay extend</w:t>
      </w:r>
      <w:r w:rsidR="00A4097F">
        <w:t xml:space="preserve"> into the Pilot </w:t>
      </w:r>
      <w:r w:rsidR="004C61F5">
        <w:t>and</w:t>
      </w:r>
      <w:r w:rsidR="00A4097F">
        <w:t xml:space="preserve"> Migrate phases</w:t>
      </w:r>
      <w:r w:rsidR="00D42DC1">
        <w:t xml:space="preserve"> for targeted applications</w:t>
      </w:r>
      <w:r w:rsidR="00A4097F">
        <w:t>.</w:t>
      </w:r>
    </w:p>
    <w:p w14:paraId="5DA9AA19" w14:textId="77777777" w:rsidR="00EF67C8" w:rsidRDefault="00EF67C8" w:rsidP="002A5B4D">
      <w:pPr>
        <w:spacing w:before="60" w:after="60" w:line="260" w:lineRule="atLeast"/>
        <w:ind w:left="360"/>
      </w:pPr>
    </w:p>
    <w:tbl>
      <w:tblPr>
        <w:tblStyle w:val="TableGrid"/>
        <w:tblW w:w="93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387"/>
        <w:gridCol w:w="2968"/>
      </w:tblGrid>
      <w:tr w:rsidR="00EF4E9F" w:rsidRPr="00B85BD8" w14:paraId="41D93969" w14:textId="77777777">
        <w:trPr>
          <w:trHeight w:val="580"/>
        </w:trPr>
        <w:tc>
          <w:tcPr>
            <w:tcW w:w="6387" w:type="dxa"/>
            <w:shd w:val="clear" w:color="auto" w:fill="008272"/>
            <w:vAlign w:val="center"/>
          </w:tcPr>
          <w:p w14:paraId="09ACC02F" w14:textId="77777777" w:rsidR="00EF4E9F" w:rsidRPr="00B85BD8" w:rsidRDefault="00EF4E9F">
            <w:pPr>
              <w:pStyle w:val="Table-Header"/>
              <w:rPr>
                <w:rFonts w:eastAsiaTheme="minorHAnsi"/>
              </w:rPr>
            </w:pPr>
            <w:r>
              <w:rPr>
                <w:rFonts w:eastAsiaTheme="minorHAnsi"/>
              </w:rPr>
              <w:t>Area</w:t>
            </w:r>
          </w:p>
        </w:tc>
        <w:tc>
          <w:tcPr>
            <w:tcW w:w="2968" w:type="dxa"/>
            <w:shd w:val="clear" w:color="auto" w:fill="008272"/>
          </w:tcPr>
          <w:p w14:paraId="43557E40" w14:textId="5B688B43" w:rsidR="00EF4E9F" w:rsidRPr="00B85BD8" w:rsidRDefault="00D42DC1" w:rsidP="002A5B4D">
            <w:pPr>
              <w:pStyle w:val="Table-Header"/>
              <w:rPr>
                <w:rFonts w:eastAsiaTheme="minorHAnsi"/>
              </w:rPr>
            </w:pPr>
            <w:r>
              <w:rPr>
                <w:rFonts w:eastAsiaTheme="minorHAnsi"/>
              </w:rPr>
              <w:t>Scope</w:t>
            </w:r>
          </w:p>
        </w:tc>
      </w:tr>
      <w:tr w:rsidR="00EF4E9F" w:rsidRPr="008D018F" w14:paraId="34A7FD56" w14:textId="77777777">
        <w:tc>
          <w:tcPr>
            <w:tcW w:w="6387" w:type="dxa"/>
          </w:tcPr>
          <w:p w14:paraId="457C5B05" w14:textId="3E408BD3" w:rsidR="00EF4E9F" w:rsidRPr="002A5B4D" w:rsidRDefault="006841E4">
            <w:pPr>
              <w:pStyle w:val="TableText"/>
              <w:rPr>
                <w:rFonts w:eastAsiaTheme="minorHAnsi"/>
              </w:rPr>
            </w:pPr>
            <w:r w:rsidRPr="002A5B4D">
              <w:rPr>
                <w:rFonts w:eastAsiaTheme="minorHAnsi"/>
              </w:rPr>
              <w:lastRenderedPageBreak/>
              <w:t xml:space="preserve">Azure AD </w:t>
            </w:r>
            <w:r w:rsidR="00667154" w:rsidRPr="002A5B4D">
              <w:rPr>
                <w:rFonts w:eastAsiaTheme="minorHAnsi"/>
              </w:rPr>
              <w:t>i</w:t>
            </w:r>
            <w:r w:rsidRPr="002A5B4D">
              <w:rPr>
                <w:rFonts w:eastAsiaTheme="minorHAnsi"/>
              </w:rPr>
              <w:t xml:space="preserve">ntegration – AD </w:t>
            </w:r>
            <w:r w:rsidR="0028054D" w:rsidRPr="002A5B4D">
              <w:rPr>
                <w:rFonts w:eastAsiaTheme="minorHAnsi"/>
              </w:rPr>
              <w:t>DS</w:t>
            </w:r>
            <w:r w:rsidRPr="002A5B4D">
              <w:rPr>
                <w:rFonts w:eastAsiaTheme="minorHAnsi"/>
              </w:rPr>
              <w:t xml:space="preserve"> forests</w:t>
            </w:r>
          </w:p>
        </w:tc>
        <w:tc>
          <w:tcPr>
            <w:tcW w:w="2968" w:type="dxa"/>
          </w:tcPr>
          <w:p w14:paraId="4EBC9B8B" w14:textId="62E10582" w:rsidR="00EF4E9F" w:rsidRPr="00ED45A8" w:rsidRDefault="0042008E">
            <w:pPr>
              <w:pStyle w:val="Instructional"/>
            </w:pPr>
            <w:r>
              <w:t>[</w:t>
            </w:r>
            <w:r w:rsidR="00EF4E9F">
              <w:t>Default is 1</w:t>
            </w:r>
            <w:r>
              <w:t>]</w:t>
            </w:r>
          </w:p>
        </w:tc>
      </w:tr>
      <w:tr w:rsidR="00EF4E9F" w:rsidRPr="008D018F" w14:paraId="71425E47" w14:textId="77777777">
        <w:tc>
          <w:tcPr>
            <w:tcW w:w="6387" w:type="dxa"/>
          </w:tcPr>
          <w:p w14:paraId="2BAE9DEA" w14:textId="4D40E1C3" w:rsidR="00EF4E9F" w:rsidRPr="002A5B4D" w:rsidRDefault="00FD3996">
            <w:pPr>
              <w:pStyle w:val="TableText"/>
              <w:rPr>
                <w:rFonts w:eastAsiaTheme="minorHAnsi"/>
              </w:rPr>
            </w:pPr>
            <w:r w:rsidRPr="002A5B4D">
              <w:rPr>
                <w:rFonts w:eastAsiaTheme="minorHAnsi"/>
              </w:rPr>
              <w:t xml:space="preserve">Azure AD </w:t>
            </w:r>
            <w:r w:rsidR="00667154" w:rsidRPr="002A5B4D">
              <w:rPr>
                <w:rFonts w:eastAsiaTheme="minorHAnsi"/>
              </w:rPr>
              <w:t>i</w:t>
            </w:r>
            <w:r w:rsidRPr="002A5B4D">
              <w:rPr>
                <w:rFonts w:eastAsiaTheme="minorHAnsi"/>
              </w:rPr>
              <w:t xml:space="preserve">ntegration – AD </w:t>
            </w:r>
            <w:r w:rsidR="003C3330" w:rsidRPr="002A5B4D">
              <w:rPr>
                <w:rFonts w:eastAsiaTheme="minorHAnsi"/>
              </w:rPr>
              <w:t>FS</w:t>
            </w:r>
            <w:r w:rsidRPr="002A5B4D">
              <w:rPr>
                <w:rFonts w:eastAsiaTheme="minorHAnsi"/>
              </w:rPr>
              <w:t xml:space="preserve"> farms</w:t>
            </w:r>
          </w:p>
        </w:tc>
        <w:tc>
          <w:tcPr>
            <w:tcW w:w="2968" w:type="dxa"/>
          </w:tcPr>
          <w:p w14:paraId="64ECF365" w14:textId="0340EF11" w:rsidR="00EF4E9F" w:rsidRPr="00ED45A8" w:rsidRDefault="0042008E">
            <w:pPr>
              <w:pStyle w:val="Instructional"/>
            </w:pPr>
            <w:r>
              <w:t>[</w:t>
            </w:r>
            <w:r w:rsidR="00EF4E9F">
              <w:t xml:space="preserve">Default is </w:t>
            </w:r>
            <w:r>
              <w:t>0]</w:t>
            </w:r>
          </w:p>
        </w:tc>
      </w:tr>
      <w:tr w:rsidR="00EF4E9F" w:rsidRPr="008D018F" w14:paraId="73C18583" w14:textId="77777777">
        <w:tc>
          <w:tcPr>
            <w:tcW w:w="6387" w:type="dxa"/>
          </w:tcPr>
          <w:p w14:paraId="1A27BBE9" w14:textId="4233A642" w:rsidR="00EF4E9F" w:rsidRPr="002A5B4D" w:rsidRDefault="00FD3996">
            <w:pPr>
              <w:pStyle w:val="TableText"/>
              <w:rPr>
                <w:rFonts w:eastAsiaTheme="minorHAnsi"/>
              </w:rPr>
            </w:pPr>
            <w:r w:rsidRPr="002A5B4D">
              <w:rPr>
                <w:rFonts w:eastAsiaTheme="minorHAnsi"/>
              </w:rPr>
              <w:t xml:space="preserve">Azure AD </w:t>
            </w:r>
            <w:r w:rsidR="00667154" w:rsidRPr="002A5B4D">
              <w:rPr>
                <w:rFonts w:eastAsiaTheme="minorHAnsi"/>
              </w:rPr>
              <w:t>a</w:t>
            </w:r>
            <w:r w:rsidRPr="002A5B4D">
              <w:rPr>
                <w:rFonts w:eastAsiaTheme="minorHAnsi"/>
              </w:rPr>
              <w:t xml:space="preserve">pplication </w:t>
            </w:r>
            <w:r w:rsidR="00667154" w:rsidRPr="002A5B4D">
              <w:rPr>
                <w:rFonts w:eastAsiaTheme="minorHAnsi"/>
              </w:rPr>
              <w:t>i</w:t>
            </w:r>
            <w:r w:rsidRPr="002A5B4D">
              <w:rPr>
                <w:rFonts w:eastAsiaTheme="minorHAnsi"/>
              </w:rPr>
              <w:t xml:space="preserve">ntegration - </w:t>
            </w:r>
            <w:r w:rsidR="000E3683" w:rsidRPr="002A5B4D">
              <w:rPr>
                <w:rFonts w:eastAsiaTheme="minorHAnsi"/>
              </w:rPr>
              <w:t>a</w:t>
            </w:r>
            <w:r w:rsidRPr="002A5B4D">
              <w:rPr>
                <w:rFonts w:eastAsiaTheme="minorHAnsi"/>
              </w:rPr>
              <w:t>pplications</w:t>
            </w:r>
          </w:p>
        </w:tc>
        <w:tc>
          <w:tcPr>
            <w:tcW w:w="2968" w:type="dxa"/>
          </w:tcPr>
          <w:p w14:paraId="0160A5B3" w14:textId="7E3DF09E" w:rsidR="00EF4E9F" w:rsidRPr="00ED45A8" w:rsidRDefault="0042008E">
            <w:pPr>
              <w:pStyle w:val="Instructional"/>
            </w:pPr>
            <w:r>
              <w:t>[</w:t>
            </w:r>
            <w:r w:rsidR="00EF4E9F">
              <w:t xml:space="preserve">Default is </w:t>
            </w:r>
            <w:r w:rsidR="00FD3996">
              <w:t>3</w:t>
            </w:r>
            <w:r>
              <w:t>]</w:t>
            </w:r>
          </w:p>
        </w:tc>
      </w:tr>
    </w:tbl>
    <w:p w14:paraId="0F199845" w14:textId="527E158E" w:rsidR="005625AA" w:rsidRPr="00435A0A" w:rsidRDefault="006F0A4C" w:rsidP="002A5B4D">
      <w:pPr>
        <w:spacing w:before="240" w:after="60"/>
        <w:rPr>
          <w:b/>
          <w:bCs/>
          <w:sz w:val="22"/>
        </w:rPr>
      </w:pPr>
      <w:r w:rsidRPr="002A5B4D">
        <w:rPr>
          <w:b/>
          <w:bCs/>
          <w:sz w:val="22"/>
        </w:rPr>
        <w:t xml:space="preserve">Workload Landing Zone - Azure Kubernetes Service </w:t>
      </w:r>
      <w:r w:rsidRPr="00812B31">
        <w:rPr>
          <w:b/>
          <w:bCs/>
        </w:rPr>
        <w:t xml:space="preserve">(WLZ-AKS) </w:t>
      </w:r>
    </w:p>
    <w:p w14:paraId="31CE7AB1" w14:textId="0362748F" w:rsidR="006F0A4C" w:rsidRPr="00397C48" w:rsidRDefault="00397C48" w:rsidP="00812B31">
      <w:r w:rsidRPr="00C426C2">
        <w:rPr>
          <w:rStyle w:val="OptionalChar"/>
        </w:rPr>
        <w:t xml:space="preserve">[Establish | Improve] </w:t>
      </w:r>
      <w:r w:rsidRPr="005625AA">
        <w:rPr>
          <w:bCs/>
        </w:rPr>
        <w:t>AKS as the landing zone for containerized applications and services by designing and implementing the WLZ-AKS</w:t>
      </w:r>
      <w:r w:rsidR="00053503">
        <w:rPr>
          <w:bCs/>
        </w:rPr>
        <w:t xml:space="preserve"> </w:t>
      </w:r>
      <w:r w:rsidRPr="005625AA">
        <w:rPr>
          <w:bCs/>
        </w:rPr>
        <w:t xml:space="preserve">based on the principles and guidance published in the </w:t>
      </w:r>
      <w:r w:rsidRPr="005625AA">
        <w:rPr>
          <w:bCs/>
          <w:i/>
          <w:iCs/>
        </w:rPr>
        <w:t>AKS Azure Landing Zone</w:t>
      </w:r>
      <w:r w:rsidRPr="005625AA">
        <w:rPr>
          <w:bCs/>
        </w:rPr>
        <w:t xml:space="preserve"> and the </w:t>
      </w:r>
      <w:r w:rsidRPr="005625AA">
        <w:rPr>
          <w:bCs/>
          <w:i/>
          <w:iCs/>
        </w:rPr>
        <w:t>AKS Secure Baseline</w:t>
      </w:r>
      <w:r w:rsidRPr="005625AA">
        <w:rPr>
          <w:bCs/>
        </w:rPr>
        <w:t>.</w:t>
      </w:r>
      <w:r w:rsidR="000F2291" w:rsidRPr="005625AA">
        <w:rPr>
          <w:bCs/>
        </w:rPr>
        <w:t xml:space="preserve"> </w:t>
      </w:r>
      <w:r w:rsidR="00B64B96">
        <w:rPr>
          <w:bCs/>
        </w:rPr>
        <w:t xml:space="preserve">This service </w:t>
      </w:r>
      <w:r w:rsidR="00AA057C">
        <w:rPr>
          <w:bCs/>
        </w:rPr>
        <w:t xml:space="preserve">is </w:t>
      </w:r>
      <w:r w:rsidR="00664391">
        <w:rPr>
          <w:bCs/>
        </w:rPr>
        <w:t>ongoing</w:t>
      </w:r>
      <w:r w:rsidR="000F2291" w:rsidRPr="005625AA">
        <w:rPr>
          <w:bCs/>
        </w:rPr>
        <w:t xml:space="preserve"> through </w:t>
      </w:r>
      <w:r w:rsidR="008361FB" w:rsidRPr="005625AA">
        <w:rPr>
          <w:bCs/>
        </w:rPr>
        <w:t xml:space="preserve">the </w:t>
      </w:r>
      <w:r w:rsidR="000F2291" w:rsidRPr="005625AA">
        <w:rPr>
          <w:bCs/>
        </w:rPr>
        <w:t>Prepare, Pilot</w:t>
      </w:r>
      <w:r w:rsidR="000E3683" w:rsidRPr="005625AA">
        <w:rPr>
          <w:bCs/>
        </w:rPr>
        <w:t>,</w:t>
      </w:r>
      <w:r w:rsidR="000F2291" w:rsidRPr="005625AA">
        <w:rPr>
          <w:bCs/>
        </w:rPr>
        <w:t xml:space="preserve"> and Migrate phases.</w:t>
      </w:r>
    </w:p>
    <w:p w14:paraId="5A732FCC" w14:textId="6A070787" w:rsidR="00220C1E" w:rsidRDefault="001C45DC" w:rsidP="00EF67C8">
      <w:pPr>
        <w:spacing w:before="240" w:after="60" w:line="260" w:lineRule="atLeast"/>
        <w:rPr>
          <w:b/>
          <w:bCs/>
          <w:sz w:val="22"/>
        </w:rPr>
      </w:pPr>
      <w:r w:rsidRPr="002A5B4D">
        <w:rPr>
          <w:b/>
          <w:bCs/>
          <w:sz w:val="22"/>
        </w:rPr>
        <w:t xml:space="preserve">Security </w:t>
      </w:r>
      <w:r w:rsidR="008361FB" w:rsidRPr="002A5B4D">
        <w:rPr>
          <w:b/>
          <w:bCs/>
          <w:sz w:val="22"/>
        </w:rPr>
        <w:t>and</w:t>
      </w:r>
      <w:r w:rsidRPr="002A5B4D">
        <w:rPr>
          <w:b/>
          <w:bCs/>
          <w:sz w:val="22"/>
        </w:rPr>
        <w:t xml:space="preserve"> Compliance for </w:t>
      </w:r>
      <w:r w:rsidRPr="002A5B4D">
        <w:rPr>
          <w:b/>
          <w:bCs/>
        </w:rPr>
        <w:t>Azure</w:t>
      </w:r>
      <w:r w:rsidR="00220C1E" w:rsidRPr="002A5B4D">
        <w:rPr>
          <w:b/>
          <w:bCs/>
        </w:rPr>
        <w:t xml:space="preserve"> (</w:t>
      </w:r>
      <w:r w:rsidRPr="002A5B4D">
        <w:rPr>
          <w:b/>
          <w:bCs/>
        </w:rPr>
        <w:t>SCA</w:t>
      </w:r>
      <w:r w:rsidR="00220C1E" w:rsidRPr="002A5B4D">
        <w:rPr>
          <w:b/>
          <w:bCs/>
        </w:rPr>
        <w:t>)</w:t>
      </w:r>
    </w:p>
    <w:p w14:paraId="0FFD86F8" w14:textId="416B55ED" w:rsidR="00220C1E" w:rsidRPr="00EC009D" w:rsidRDefault="00220C1E" w:rsidP="002A5B4D">
      <w:pPr>
        <w:pStyle w:val="ListParagraph"/>
        <w:numPr>
          <w:ilvl w:val="0"/>
          <w:numId w:val="75"/>
        </w:numPr>
        <w:ind w:left="360"/>
      </w:pPr>
      <w:r w:rsidRPr="00812B31">
        <w:rPr>
          <w:rFonts w:cs="Segoe UI"/>
          <w:b/>
          <w:bCs/>
        </w:rPr>
        <w:t xml:space="preserve">Governance, </w:t>
      </w:r>
      <w:r w:rsidR="00D90C26">
        <w:rPr>
          <w:rFonts w:cs="Segoe UI"/>
          <w:b/>
          <w:bCs/>
        </w:rPr>
        <w:t>r</w:t>
      </w:r>
      <w:r w:rsidRPr="00812B31">
        <w:rPr>
          <w:rFonts w:cs="Segoe UI"/>
          <w:b/>
          <w:bCs/>
        </w:rPr>
        <w:t xml:space="preserve">isk, and </w:t>
      </w:r>
      <w:r w:rsidR="00D90C26">
        <w:rPr>
          <w:rFonts w:cs="Segoe UI"/>
          <w:b/>
          <w:bCs/>
        </w:rPr>
        <w:t>c</w:t>
      </w:r>
      <w:r w:rsidRPr="00812B31">
        <w:rPr>
          <w:rFonts w:cs="Segoe UI"/>
          <w:b/>
          <w:bCs/>
        </w:rPr>
        <w:t xml:space="preserve">ompliance (GRC) </w:t>
      </w:r>
      <w:r w:rsidR="008361FB" w:rsidRPr="00812B31">
        <w:rPr>
          <w:rFonts w:cs="Segoe UI"/>
          <w:b/>
          <w:bCs/>
        </w:rPr>
        <w:t>p</w:t>
      </w:r>
      <w:r w:rsidRPr="00812B31">
        <w:rPr>
          <w:rFonts w:cs="Segoe UI"/>
          <w:b/>
          <w:bCs/>
        </w:rPr>
        <w:t>lanning</w:t>
      </w:r>
      <w:r w:rsidRPr="002A5B4D">
        <w:rPr>
          <w:rFonts w:ascii="Segoe UI Semibold" w:hAnsi="Segoe UI Semibold" w:cs="Segoe UI Semibold"/>
        </w:rPr>
        <w:t>:</w:t>
      </w:r>
      <w:r w:rsidRPr="00812B31">
        <w:rPr>
          <w:b/>
          <w:bCs/>
        </w:rPr>
        <w:t xml:space="preserve"> </w:t>
      </w:r>
      <w:r w:rsidR="008361FB" w:rsidRPr="002A5B4D">
        <w:t xml:space="preserve">Establish </w:t>
      </w:r>
      <w:r w:rsidR="008361FB">
        <w:t>p</w:t>
      </w:r>
      <w:r w:rsidRPr="00EC009D">
        <w:t xml:space="preserve">lanning to capture additional risks or regulatory compliance requirements. </w:t>
      </w:r>
    </w:p>
    <w:p w14:paraId="0C2F941D" w14:textId="25A31308" w:rsidR="00220C1E" w:rsidRPr="00EC009D" w:rsidRDefault="00220C1E" w:rsidP="002A5B4D">
      <w:pPr>
        <w:pStyle w:val="ListParagraph"/>
        <w:numPr>
          <w:ilvl w:val="0"/>
          <w:numId w:val="49"/>
        </w:numPr>
        <w:spacing w:before="60" w:after="60" w:line="260" w:lineRule="atLeast"/>
        <w:ind w:left="360"/>
        <w:contextualSpacing w:val="0"/>
      </w:pPr>
      <w:r w:rsidRPr="003B0ADC">
        <w:rPr>
          <w:rFonts w:cs="Segoe UI"/>
          <w:b/>
          <w:bCs/>
        </w:rPr>
        <w:t xml:space="preserve">Azure </w:t>
      </w:r>
      <w:r w:rsidR="008361FB" w:rsidRPr="003B0ADC">
        <w:rPr>
          <w:rFonts w:cs="Segoe UI"/>
          <w:b/>
          <w:bCs/>
        </w:rPr>
        <w:t>p</w:t>
      </w:r>
      <w:r w:rsidRPr="003B0ADC">
        <w:rPr>
          <w:rFonts w:cs="Segoe UI"/>
          <w:b/>
          <w:bCs/>
        </w:rPr>
        <w:t xml:space="preserve">latform </w:t>
      </w:r>
      <w:r w:rsidR="008361FB" w:rsidRPr="003B0ADC">
        <w:rPr>
          <w:rFonts w:cs="Segoe UI"/>
          <w:b/>
          <w:bCs/>
        </w:rPr>
        <w:t>s</w:t>
      </w:r>
      <w:r w:rsidRPr="003B0ADC">
        <w:rPr>
          <w:rFonts w:cs="Segoe UI"/>
          <w:b/>
          <w:bCs/>
        </w:rPr>
        <w:t>ecurity</w:t>
      </w:r>
      <w:r w:rsidRPr="002A5B4D">
        <w:rPr>
          <w:rFonts w:ascii="Segoe UI Semibold" w:hAnsi="Segoe UI Semibold" w:cs="Segoe UI Semibold"/>
        </w:rPr>
        <w:t>:</w:t>
      </w:r>
      <w:r w:rsidRPr="00544BE5">
        <w:rPr>
          <w:b/>
          <w:bCs/>
        </w:rPr>
        <w:t xml:space="preserve"> </w:t>
      </w:r>
      <w:r w:rsidRPr="00EC009D">
        <w:t xml:space="preserve">Establish baseline security controls for the Azure </w:t>
      </w:r>
      <w:r w:rsidR="008361FB">
        <w:t>p</w:t>
      </w:r>
      <w:r w:rsidRPr="00EC009D">
        <w:t xml:space="preserve">latform, which provide general protections for the Azure </w:t>
      </w:r>
      <w:r w:rsidR="008361FB">
        <w:t xml:space="preserve">AD </w:t>
      </w:r>
      <w:r w:rsidRPr="00EC009D">
        <w:t>tenant, including associated resources and subscriptions</w:t>
      </w:r>
      <w:r w:rsidR="00357DEB">
        <w:t>.</w:t>
      </w:r>
      <w:r w:rsidRPr="00EC009D">
        <w:t xml:space="preserve"> </w:t>
      </w:r>
    </w:p>
    <w:p w14:paraId="1851E2F8" w14:textId="106A920E" w:rsidR="00220C1E" w:rsidRPr="00544BE5" w:rsidRDefault="00220C1E" w:rsidP="002A5B4D">
      <w:pPr>
        <w:pStyle w:val="ListParagraph"/>
        <w:numPr>
          <w:ilvl w:val="0"/>
          <w:numId w:val="49"/>
        </w:numPr>
        <w:spacing w:before="60" w:after="60" w:line="260" w:lineRule="atLeast"/>
        <w:ind w:left="360"/>
        <w:contextualSpacing w:val="0"/>
        <w:rPr>
          <w:b/>
          <w:bCs/>
        </w:rPr>
      </w:pPr>
      <w:r w:rsidRPr="003B0ADC">
        <w:rPr>
          <w:rFonts w:cs="Segoe UI"/>
          <w:b/>
          <w:bCs/>
        </w:rPr>
        <w:t xml:space="preserve">Azure </w:t>
      </w:r>
      <w:r w:rsidR="00DF12C8" w:rsidRPr="003B0ADC">
        <w:rPr>
          <w:rFonts w:cs="Segoe UI"/>
          <w:b/>
          <w:bCs/>
        </w:rPr>
        <w:t>s</w:t>
      </w:r>
      <w:r w:rsidRPr="003B0ADC">
        <w:rPr>
          <w:rFonts w:cs="Segoe UI"/>
          <w:b/>
          <w:bCs/>
        </w:rPr>
        <w:t xml:space="preserve">ervice </w:t>
      </w:r>
      <w:r w:rsidR="00DF12C8" w:rsidRPr="003B0ADC">
        <w:rPr>
          <w:rFonts w:cs="Segoe UI"/>
          <w:b/>
          <w:bCs/>
        </w:rPr>
        <w:t>s</w:t>
      </w:r>
      <w:r w:rsidRPr="003B0ADC">
        <w:rPr>
          <w:rFonts w:cs="Segoe UI"/>
          <w:b/>
          <w:bCs/>
        </w:rPr>
        <w:t>ecurity</w:t>
      </w:r>
      <w:r w:rsidRPr="002A5B4D">
        <w:rPr>
          <w:rFonts w:ascii="Segoe UI Semibold" w:hAnsi="Segoe UI Semibold" w:cs="Segoe UI Semibold"/>
        </w:rPr>
        <w:t>:</w:t>
      </w:r>
      <w:r w:rsidRPr="00544BE5">
        <w:rPr>
          <w:b/>
          <w:bCs/>
        </w:rPr>
        <w:t xml:space="preserve"> </w:t>
      </w:r>
      <w:r w:rsidRPr="00EC009D">
        <w:t xml:space="preserve">Establish baseline security controls for Azure </w:t>
      </w:r>
      <w:r w:rsidR="00DF12C8">
        <w:t>s</w:t>
      </w:r>
      <w:r w:rsidRPr="00EC009D">
        <w:t xml:space="preserve">ervices that work with the Azure </w:t>
      </w:r>
      <w:r w:rsidR="00DF12C8">
        <w:t>p</w:t>
      </w:r>
      <w:r w:rsidRPr="00EC009D">
        <w:t>latform security controls to provide foundational security and general safeguards for workloads being migrated</w:t>
      </w:r>
      <w:r w:rsidR="00357DEB">
        <w:t>.</w:t>
      </w:r>
    </w:p>
    <w:p w14:paraId="187D140C" w14:textId="19D69BC3" w:rsidR="00220C1E" w:rsidRPr="00544BE5" w:rsidRDefault="00220C1E" w:rsidP="002A5B4D">
      <w:pPr>
        <w:pStyle w:val="ListParagraph"/>
        <w:numPr>
          <w:ilvl w:val="0"/>
          <w:numId w:val="49"/>
        </w:numPr>
        <w:spacing w:before="60" w:after="60" w:line="260" w:lineRule="atLeast"/>
        <w:ind w:left="360"/>
        <w:contextualSpacing w:val="0"/>
        <w:rPr>
          <w:b/>
          <w:bCs/>
        </w:rPr>
      </w:pPr>
      <w:r w:rsidRPr="003B0ADC">
        <w:rPr>
          <w:rFonts w:cs="Segoe UI"/>
          <w:b/>
          <w:bCs/>
        </w:rPr>
        <w:t xml:space="preserve">Azure </w:t>
      </w:r>
      <w:r w:rsidR="008161AD" w:rsidRPr="003B0ADC">
        <w:rPr>
          <w:rFonts w:cs="Segoe UI"/>
          <w:b/>
          <w:bCs/>
        </w:rPr>
        <w:t>w</w:t>
      </w:r>
      <w:r w:rsidRPr="003B0ADC">
        <w:rPr>
          <w:rFonts w:cs="Segoe UI"/>
          <w:b/>
          <w:bCs/>
        </w:rPr>
        <w:t xml:space="preserve">orkload </w:t>
      </w:r>
      <w:r w:rsidR="008161AD" w:rsidRPr="003B0ADC">
        <w:rPr>
          <w:rFonts w:cs="Segoe UI"/>
          <w:b/>
          <w:bCs/>
        </w:rPr>
        <w:t>s</w:t>
      </w:r>
      <w:r w:rsidRPr="003B0ADC">
        <w:rPr>
          <w:rFonts w:cs="Segoe UI"/>
          <w:b/>
          <w:bCs/>
        </w:rPr>
        <w:t>ecurity</w:t>
      </w:r>
      <w:r w:rsidRPr="002A5B4D">
        <w:rPr>
          <w:rFonts w:ascii="Segoe UI Semibold" w:hAnsi="Segoe UI Semibold" w:cs="Segoe UI Semibold"/>
        </w:rPr>
        <w:t>:</w:t>
      </w:r>
      <w:r w:rsidRPr="00544BE5">
        <w:rPr>
          <w:b/>
          <w:bCs/>
        </w:rPr>
        <w:t xml:space="preserve"> </w:t>
      </w:r>
      <w:r w:rsidRPr="00EC009D">
        <w:t xml:space="preserve">Establish baseline security controls for an application or application pattern that works with the Azure </w:t>
      </w:r>
      <w:r w:rsidR="008161AD">
        <w:t>p</w:t>
      </w:r>
      <w:r w:rsidRPr="00EC009D">
        <w:t xml:space="preserve">latform and Azure </w:t>
      </w:r>
      <w:r w:rsidR="008161AD">
        <w:t>s</w:t>
      </w:r>
      <w:r w:rsidRPr="00EC009D">
        <w:t>ervice security controls</w:t>
      </w:r>
      <w:r w:rsidR="00A4097F">
        <w:t xml:space="preserve">. </w:t>
      </w:r>
      <w:r w:rsidR="00B64B96">
        <w:t xml:space="preserve">This service is for the </w:t>
      </w:r>
      <w:r w:rsidR="00A4097F">
        <w:t>Pilot and Migrate phases only.</w:t>
      </w:r>
    </w:p>
    <w:p w14:paraId="1176BC92" w14:textId="13CB6743" w:rsidR="00220C1E" w:rsidRDefault="00220C1E" w:rsidP="00A006A5">
      <w:pPr>
        <w:spacing w:before="60" w:after="60" w:line="260" w:lineRule="atLeast"/>
      </w:pPr>
      <w:r w:rsidRPr="001B455F">
        <w:t xml:space="preserve">The </w:t>
      </w:r>
      <w:r w:rsidR="00E902C3">
        <w:t>SCA</w:t>
      </w:r>
      <w:r w:rsidRPr="001B455F">
        <w:t xml:space="preserve"> </w:t>
      </w:r>
      <w:r w:rsidR="00ED33D2">
        <w:t xml:space="preserve">scope </w:t>
      </w:r>
      <w:r w:rsidRPr="001B455F">
        <w:t xml:space="preserve">is </w:t>
      </w:r>
      <w:r w:rsidR="00042B87">
        <w:t xml:space="preserve">listed in </w:t>
      </w:r>
      <w:r w:rsidRPr="001B455F">
        <w:t>the following</w:t>
      </w:r>
      <w:r w:rsidR="00042B87">
        <w:t xml:space="preserve"> table.</w:t>
      </w:r>
    </w:p>
    <w:p w14:paraId="1F585780" w14:textId="77777777" w:rsidR="00EF67C8" w:rsidRDefault="00EF67C8" w:rsidP="002A5B4D">
      <w:pPr>
        <w:spacing w:before="60" w:after="60" w:line="260" w:lineRule="atLeast"/>
      </w:pPr>
    </w:p>
    <w:tbl>
      <w:tblPr>
        <w:tblStyle w:val="TableGrid"/>
        <w:tblW w:w="93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387"/>
        <w:gridCol w:w="2968"/>
      </w:tblGrid>
      <w:tr w:rsidR="005E3F23" w:rsidRPr="00B85BD8" w14:paraId="27F5DB1D" w14:textId="77777777" w:rsidTr="00D70E30">
        <w:trPr>
          <w:trHeight w:val="580"/>
        </w:trPr>
        <w:tc>
          <w:tcPr>
            <w:tcW w:w="6387" w:type="dxa"/>
            <w:shd w:val="clear" w:color="auto" w:fill="008272"/>
            <w:vAlign w:val="center"/>
          </w:tcPr>
          <w:p w14:paraId="132CE6F6" w14:textId="77777777" w:rsidR="005E3F23" w:rsidRPr="00B85BD8" w:rsidRDefault="005E3F23">
            <w:pPr>
              <w:pStyle w:val="Table-Header"/>
              <w:rPr>
                <w:rFonts w:eastAsiaTheme="minorHAnsi"/>
              </w:rPr>
            </w:pPr>
            <w:r w:rsidRPr="00B85BD8">
              <w:rPr>
                <w:rFonts w:eastAsiaTheme="minorHAnsi"/>
              </w:rPr>
              <w:t>Activity</w:t>
            </w:r>
          </w:p>
        </w:tc>
        <w:tc>
          <w:tcPr>
            <w:tcW w:w="2968" w:type="dxa"/>
            <w:shd w:val="clear" w:color="auto" w:fill="008272"/>
          </w:tcPr>
          <w:p w14:paraId="3CA52E81" w14:textId="77777777" w:rsidR="005E3F23" w:rsidRPr="00B85BD8" w:rsidRDefault="005E3F23" w:rsidP="002A5B4D">
            <w:pPr>
              <w:pStyle w:val="Table-Header"/>
              <w:rPr>
                <w:rFonts w:eastAsiaTheme="minorHAnsi"/>
              </w:rPr>
            </w:pPr>
            <w:r w:rsidRPr="00B85BD8">
              <w:rPr>
                <w:rFonts w:eastAsiaTheme="minorHAnsi"/>
              </w:rPr>
              <w:t>Estimated scope</w:t>
            </w:r>
            <w:r>
              <w:rPr>
                <w:rFonts w:eastAsiaTheme="minorHAnsi"/>
              </w:rPr>
              <w:t>, up to the limits specified</w:t>
            </w:r>
          </w:p>
        </w:tc>
      </w:tr>
      <w:tr w:rsidR="00D70E30" w:rsidRPr="008D018F" w14:paraId="78AABA28" w14:textId="77777777" w:rsidTr="00D70E30">
        <w:tc>
          <w:tcPr>
            <w:tcW w:w="6387" w:type="dxa"/>
          </w:tcPr>
          <w:p w14:paraId="13CCA10F" w14:textId="78C182FF" w:rsidR="00D70E30" w:rsidRPr="002A5B4D" w:rsidRDefault="000174A7">
            <w:pPr>
              <w:pStyle w:val="TableText"/>
              <w:rPr>
                <w:rFonts w:eastAsiaTheme="minorHAnsi"/>
              </w:rPr>
            </w:pPr>
            <w:r w:rsidRPr="002A5B4D">
              <w:rPr>
                <w:rFonts w:eastAsiaTheme="minorHAnsi"/>
              </w:rPr>
              <w:t>GRC</w:t>
            </w:r>
            <w:r w:rsidR="00042B87">
              <w:rPr>
                <w:rFonts w:eastAsiaTheme="minorHAnsi"/>
              </w:rPr>
              <w:t xml:space="preserve"> </w:t>
            </w:r>
            <w:r w:rsidR="00042B87" w:rsidRPr="005952E6">
              <w:rPr>
                <w:rFonts w:eastAsiaTheme="minorHAnsi"/>
              </w:rPr>
              <w:t xml:space="preserve"> – </w:t>
            </w:r>
            <w:r w:rsidRPr="002A5B4D">
              <w:rPr>
                <w:rFonts w:eastAsiaTheme="minorHAnsi"/>
              </w:rPr>
              <w:t>f</w:t>
            </w:r>
            <w:r w:rsidR="00D70E30" w:rsidRPr="002A5B4D">
              <w:rPr>
                <w:rFonts w:eastAsiaTheme="minorHAnsi"/>
              </w:rPr>
              <w:t>rameworks</w:t>
            </w:r>
          </w:p>
        </w:tc>
        <w:tc>
          <w:tcPr>
            <w:tcW w:w="2968" w:type="dxa"/>
          </w:tcPr>
          <w:p w14:paraId="2653D1F7" w14:textId="1FCD7BF0" w:rsidR="00D70E30" w:rsidRPr="00ED45A8" w:rsidRDefault="00CC3AE5" w:rsidP="00525776">
            <w:pPr>
              <w:pStyle w:val="Instructional"/>
            </w:pPr>
            <w:r>
              <w:t>[</w:t>
            </w:r>
            <w:r w:rsidR="00525776">
              <w:t>Number of Frameworks]</w:t>
            </w:r>
          </w:p>
        </w:tc>
      </w:tr>
      <w:tr w:rsidR="00D70E30" w:rsidRPr="008D018F" w14:paraId="5549C9DC" w14:textId="77777777" w:rsidTr="00D70E30">
        <w:tc>
          <w:tcPr>
            <w:tcW w:w="6387" w:type="dxa"/>
          </w:tcPr>
          <w:p w14:paraId="48B49108" w14:textId="0C574E86" w:rsidR="00D70E30" w:rsidRPr="002A5B4D" w:rsidRDefault="00D70E30">
            <w:pPr>
              <w:pStyle w:val="TableText"/>
              <w:rPr>
                <w:rFonts w:eastAsiaTheme="minorHAnsi"/>
              </w:rPr>
            </w:pPr>
            <w:r w:rsidRPr="002A5B4D">
              <w:rPr>
                <w:rFonts w:eastAsiaTheme="minorHAnsi"/>
              </w:rPr>
              <w:t xml:space="preserve">Azure </w:t>
            </w:r>
            <w:r w:rsidR="000174A7" w:rsidRPr="002A5B4D">
              <w:rPr>
                <w:rFonts w:eastAsiaTheme="minorHAnsi"/>
              </w:rPr>
              <w:t>p</w:t>
            </w:r>
            <w:r w:rsidRPr="002A5B4D">
              <w:rPr>
                <w:rFonts w:eastAsiaTheme="minorHAnsi"/>
              </w:rPr>
              <w:t xml:space="preserve">latform </w:t>
            </w:r>
            <w:r w:rsidR="000174A7" w:rsidRPr="002A5B4D">
              <w:rPr>
                <w:rFonts w:eastAsiaTheme="minorHAnsi"/>
              </w:rPr>
              <w:t>s</w:t>
            </w:r>
            <w:r w:rsidRPr="002A5B4D">
              <w:rPr>
                <w:rFonts w:eastAsiaTheme="minorHAnsi"/>
              </w:rPr>
              <w:t xml:space="preserve">ecurity – AD </w:t>
            </w:r>
            <w:r w:rsidR="000174A7" w:rsidRPr="002A5B4D">
              <w:rPr>
                <w:rFonts w:eastAsiaTheme="minorHAnsi"/>
              </w:rPr>
              <w:t>t</w:t>
            </w:r>
            <w:r w:rsidRPr="002A5B4D">
              <w:rPr>
                <w:rFonts w:eastAsiaTheme="minorHAnsi"/>
              </w:rPr>
              <w:t>enants</w:t>
            </w:r>
          </w:p>
        </w:tc>
        <w:tc>
          <w:tcPr>
            <w:tcW w:w="2968" w:type="dxa"/>
          </w:tcPr>
          <w:p w14:paraId="693299F9" w14:textId="73F9B249" w:rsidR="00D70E30" w:rsidRPr="00ED45A8" w:rsidRDefault="00742EBD" w:rsidP="00742EBD">
            <w:pPr>
              <w:pStyle w:val="Instructional"/>
            </w:pPr>
            <w:r>
              <w:t>[Number of Tenants]</w:t>
            </w:r>
          </w:p>
        </w:tc>
      </w:tr>
      <w:tr w:rsidR="00D70E30" w:rsidRPr="008D018F" w14:paraId="2D18B82C" w14:textId="77777777" w:rsidTr="00D70E30">
        <w:tc>
          <w:tcPr>
            <w:tcW w:w="6387" w:type="dxa"/>
          </w:tcPr>
          <w:p w14:paraId="0AD1E60D" w14:textId="0323731B" w:rsidR="00D70E30" w:rsidRPr="002A5B4D" w:rsidRDefault="00D70E30">
            <w:pPr>
              <w:pStyle w:val="TableText"/>
              <w:rPr>
                <w:rFonts w:eastAsiaTheme="minorHAnsi"/>
              </w:rPr>
            </w:pPr>
            <w:r w:rsidRPr="002A5B4D">
              <w:rPr>
                <w:rFonts w:eastAsiaTheme="minorHAnsi"/>
              </w:rPr>
              <w:t xml:space="preserve">Azure </w:t>
            </w:r>
            <w:r w:rsidR="000174A7" w:rsidRPr="002A5B4D">
              <w:rPr>
                <w:rFonts w:eastAsiaTheme="minorHAnsi"/>
              </w:rPr>
              <w:t>s</w:t>
            </w:r>
            <w:r w:rsidRPr="002A5B4D">
              <w:rPr>
                <w:rFonts w:eastAsiaTheme="minorHAnsi"/>
              </w:rPr>
              <w:t xml:space="preserve">ervice </w:t>
            </w:r>
            <w:r w:rsidR="000174A7" w:rsidRPr="002A5B4D">
              <w:rPr>
                <w:rFonts w:eastAsiaTheme="minorHAnsi"/>
              </w:rPr>
              <w:t>s</w:t>
            </w:r>
            <w:r w:rsidRPr="002A5B4D">
              <w:rPr>
                <w:rFonts w:eastAsiaTheme="minorHAnsi"/>
              </w:rPr>
              <w:t xml:space="preserve">ecurity – Azure </w:t>
            </w:r>
            <w:r w:rsidR="000174A7" w:rsidRPr="002A5B4D">
              <w:rPr>
                <w:rFonts w:eastAsiaTheme="minorHAnsi"/>
              </w:rPr>
              <w:t>s</w:t>
            </w:r>
            <w:r w:rsidRPr="002A5B4D">
              <w:rPr>
                <w:rFonts w:eastAsiaTheme="minorHAnsi"/>
              </w:rPr>
              <w:t>ervices</w:t>
            </w:r>
          </w:p>
        </w:tc>
        <w:tc>
          <w:tcPr>
            <w:tcW w:w="2968" w:type="dxa"/>
          </w:tcPr>
          <w:p w14:paraId="4397AEC6" w14:textId="3D594B8C" w:rsidR="00D70E30" w:rsidRPr="00ED45A8" w:rsidRDefault="00742EBD" w:rsidP="00A41EEB">
            <w:pPr>
              <w:pStyle w:val="Instructional"/>
            </w:pPr>
            <w:r>
              <w:t xml:space="preserve">[Number of </w:t>
            </w:r>
            <w:r w:rsidR="00A41EEB">
              <w:t>Azure s</w:t>
            </w:r>
            <w:r>
              <w:t>ervices</w:t>
            </w:r>
            <w:r w:rsidR="00A41EEB">
              <w:t>]</w:t>
            </w:r>
          </w:p>
        </w:tc>
      </w:tr>
      <w:tr w:rsidR="00D70E30" w:rsidRPr="008D018F" w14:paraId="58DFEAF3" w14:textId="77777777" w:rsidTr="00D70E30">
        <w:tc>
          <w:tcPr>
            <w:tcW w:w="6387" w:type="dxa"/>
          </w:tcPr>
          <w:p w14:paraId="285E4C73" w14:textId="18A43E3A" w:rsidR="00D70E30" w:rsidRPr="002A5B4D" w:rsidRDefault="00D70E30">
            <w:pPr>
              <w:pStyle w:val="TableText"/>
              <w:rPr>
                <w:rFonts w:eastAsiaTheme="minorHAnsi"/>
              </w:rPr>
            </w:pPr>
            <w:r w:rsidRPr="002A5B4D">
              <w:rPr>
                <w:rFonts w:eastAsiaTheme="minorHAnsi"/>
              </w:rPr>
              <w:t xml:space="preserve">Azure </w:t>
            </w:r>
            <w:r w:rsidR="000174A7" w:rsidRPr="002A5B4D">
              <w:rPr>
                <w:rFonts w:eastAsiaTheme="minorHAnsi"/>
              </w:rPr>
              <w:t>w</w:t>
            </w:r>
            <w:r w:rsidRPr="002A5B4D">
              <w:rPr>
                <w:rFonts w:eastAsiaTheme="minorHAnsi"/>
              </w:rPr>
              <w:t xml:space="preserve">orkload </w:t>
            </w:r>
            <w:r w:rsidR="000174A7" w:rsidRPr="002A5B4D">
              <w:rPr>
                <w:rFonts w:eastAsiaTheme="minorHAnsi"/>
              </w:rPr>
              <w:t>s</w:t>
            </w:r>
            <w:r w:rsidRPr="002A5B4D">
              <w:rPr>
                <w:rFonts w:eastAsiaTheme="minorHAnsi"/>
              </w:rPr>
              <w:t xml:space="preserve">ecurity – </w:t>
            </w:r>
            <w:r w:rsidR="000174A7" w:rsidRPr="002A5B4D">
              <w:rPr>
                <w:rFonts w:eastAsiaTheme="minorHAnsi"/>
              </w:rPr>
              <w:t>r</w:t>
            </w:r>
            <w:r w:rsidRPr="002A5B4D">
              <w:rPr>
                <w:rFonts w:eastAsiaTheme="minorHAnsi"/>
              </w:rPr>
              <w:t xml:space="preserve">ehosted </w:t>
            </w:r>
            <w:r w:rsidR="000174A7" w:rsidRPr="002A5B4D">
              <w:rPr>
                <w:rFonts w:eastAsiaTheme="minorHAnsi"/>
              </w:rPr>
              <w:t>a</w:t>
            </w:r>
            <w:r w:rsidRPr="002A5B4D">
              <w:rPr>
                <w:rFonts w:eastAsiaTheme="minorHAnsi"/>
              </w:rPr>
              <w:t xml:space="preserve">pplication </w:t>
            </w:r>
            <w:r w:rsidR="000174A7" w:rsidRPr="002A5B4D">
              <w:rPr>
                <w:rFonts w:eastAsiaTheme="minorHAnsi"/>
              </w:rPr>
              <w:t>p</w:t>
            </w:r>
            <w:r w:rsidRPr="002A5B4D">
              <w:rPr>
                <w:rFonts w:eastAsiaTheme="minorHAnsi"/>
              </w:rPr>
              <w:t>atterns</w:t>
            </w:r>
          </w:p>
        </w:tc>
        <w:tc>
          <w:tcPr>
            <w:tcW w:w="2968" w:type="dxa"/>
          </w:tcPr>
          <w:p w14:paraId="7A097BD1" w14:textId="643DBE1F" w:rsidR="00D70E30" w:rsidRPr="00ED45A8" w:rsidRDefault="00D36FF2" w:rsidP="00D36FF2">
            <w:pPr>
              <w:pStyle w:val="Instructional"/>
            </w:pPr>
            <w:r>
              <w:t>[Number of rehosted apps]</w:t>
            </w:r>
          </w:p>
        </w:tc>
      </w:tr>
      <w:tr w:rsidR="00D70E30" w:rsidRPr="008D018F" w14:paraId="1B65977E" w14:textId="77777777" w:rsidTr="00D70E30">
        <w:tc>
          <w:tcPr>
            <w:tcW w:w="6387" w:type="dxa"/>
          </w:tcPr>
          <w:p w14:paraId="21454705" w14:textId="1199FC24" w:rsidR="00D70E30" w:rsidRPr="002A5B4D" w:rsidRDefault="00D70E30">
            <w:pPr>
              <w:pStyle w:val="TableText"/>
              <w:rPr>
                <w:rFonts w:eastAsiaTheme="minorHAnsi"/>
              </w:rPr>
            </w:pPr>
            <w:r w:rsidRPr="002A5B4D">
              <w:rPr>
                <w:rFonts w:eastAsiaTheme="minorHAnsi"/>
              </w:rPr>
              <w:t xml:space="preserve">Azure </w:t>
            </w:r>
            <w:r w:rsidR="000174A7" w:rsidRPr="002A5B4D">
              <w:rPr>
                <w:rFonts w:eastAsiaTheme="minorHAnsi"/>
              </w:rPr>
              <w:t>w</w:t>
            </w:r>
            <w:r w:rsidRPr="002A5B4D">
              <w:rPr>
                <w:rFonts w:eastAsiaTheme="minorHAnsi"/>
              </w:rPr>
              <w:t xml:space="preserve">orkload </w:t>
            </w:r>
            <w:r w:rsidR="000174A7" w:rsidRPr="002A5B4D">
              <w:rPr>
                <w:rFonts w:eastAsiaTheme="minorHAnsi"/>
              </w:rPr>
              <w:t>s</w:t>
            </w:r>
            <w:r w:rsidRPr="002A5B4D">
              <w:rPr>
                <w:rFonts w:eastAsiaTheme="minorHAnsi"/>
              </w:rPr>
              <w:t xml:space="preserve">ecurity – </w:t>
            </w:r>
            <w:r w:rsidR="000174A7" w:rsidRPr="002A5B4D">
              <w:rPr>
                <w:rFonts w:eastAsiaTheme="minorHAnsi"/>
              </w:rPr>
              <w:t>r</w:t>
            </w:r>
            <w:r w:rsidRPr="002A5B4D">
              <w:rPr>
                <w:rFonts w:eastAsiaTheme="minorHAnsi"/>
              </w:rPr>
              <w:t xml:space="preserve">efactored </w:t>
            </w:r>
            <w:r w:rsidR="000174A7" w:rsidRPr="002A5B4D">
              <w:rPr>
                <w:rFonts w:eastAsiaTheme="minorHAnsi"/>
              </w:rPr>
              <w:t>a</w:t>
            </w:r>
            <w:r w:rsidRPr="002A5B4D">
              <w:rPr>
                <w:rFonts w:eastAsiaTheme="minorHAnsi"/>
              </w:rPr>
              <w:t xml:space="preserve">pplication </w:t>
            </w:r>
            <w:r w:rsidR="000174A7" w:rsidRPr="002A5B4D">
              <w:rPr>
                <w:rFonts w:eastAsiaTheme="minorHAnsi"/>
              </w:rPr>
              <w:t>p</w:t>
            </w:r>
            <w:r w:rsidRPr="002A5B4D">
              <w:rPr>
                <w:rFonts w:eastAsiaTheme="minorHAnsi"/>
              </w:rPr>
              <w:t>atterns</w:t>
            </w:r>
          </w:p>
        </w:tc>
        <w:tc>
          <w:tcPr>
            <w:tcW w:w="2968" w:type="dxa"/>
          </w:tcPr>
          <w:p w14:paraId="759CCCB1" w14:textId="6AEA199E" w:rsidR="00D70E30" w:rsidRPr="00ED45A8" w:rsidRDefault="00543F11" w:rsidP="00543F11">
            <w:pPr>
              <w:pStyle w:val="Instructional"/>
            </w:pPr>
            <w:r>
              <w:t>[Number of refactored apps]</w:t>
            </w:r>
          </w:p>
        </w:tc>
      </w:tr>
    </w:tbl>
    <w:p w14:paraId="45A496F8" w14:textId="59A2564C" w:rsidR="005625AA" w:rsidRDefault="00220C1E" w:rsidP="002A5B4D">
      <w:pPr>
        <w:spacing w:before="240" w:after="60"/>
        <w:rPr>
          <w:sz w:val="22"/>
        </w:rPr>
      </w:pPr>
      <w:r w:rsidRPr="002A5B4D">
        <w:rPr>
          <w:b/>
          <w:bCs/>
          <w:sz w:val="22"/>
        </w:rPr>
        <w:t xml:space="preserve">Privileged Access Workstation </w:t>
      </w:r>
      <w:r w:rsidR="00117DD9">
        <w:rPr>
          <w:b/>
          <w:bCs/>
          <w:sz w:val="22"/>
        </w:rPr>
        <w:t xml:space="preserve">(PAW) </w:t>
      </w:r>
      <w:r w:rsidRPr="002A5B4D">
        <w:rPr>
          <w:b/>
          <w:bCs/>
          <w:sz w:val="22"/>
        </w:rPr>
        <w:t xml:space="preserve">for Cloud Service </w:t>
      </w:r>
      <w:r w:rsidRPr="008149AA">
        <w:rPr>
          <w:b/>
          <w:bCs/>
        </w:rPr>
        <w:t>Management</w:t>
      </w:r>
    </w:p>
    <w:p w14:paraId="2371738C" w14:textId="43D58A22" w:rsidR="00220C1E" w:rsidRDefault="00220C1E" w:rsidP="008149AA">
      <w:r>
        <w:t>D</w:t>
      </w:r>
      <w:r w:rsidRPr="001113BA">
        <w:t xml:space="preserve">eploy and configure dedicated administrative workstations in an environment designed to help protect high-privilege administrative accounts from becoming compromised. </w:t>
      </w:r>
      <w:r w:rsidR="00B16170">
        <w:t>This service</w:t>
      </w:r>
      <w:r w:rsidRPr="001113BA">
        <w:t xml:space="preserve"> provides highly automated activities to deploy and configure the workstations to manage cloud</w:t>
      </w:r>
      <w:r>
        <w:t xml:space="preserve"> workloads.</w:t>
      </w:r>
    </w:p>
    <w:p w14:paraId="735CDC69" w14:textId="7C4C73BC" w:rsidR="007D7C14" w:rsidRDefault="007D7C14" w:rsidP="007D7C14">
      <w:r w:rsidRPr="001B455F">
        <w:t xml:space="preserve">The </w:t>
      </w:r>
      <w:r>
        <w:t>PAW</w:t>
      </w:r>
      <w:r w:rsidRPr="001B455F">
        <w:t xml:space="preserve"> </w:t>
      </w:r>
      <w:r w:rsidR="00ED33D2">
        <w:t xml:space="preserve">scope </w:t>
      </w:r>
      <w:r w:rsidRPr="001B455F">
        <w:t xml:space="preserve">is </w:t>
      </w:r>
      <w:r w:rsidR="00042B87">
        <w:t xml:space="preserve">listed in </w:t>
      </w:r>
      <w:r w:rsidRPr="001B455F">
        <w:t>the following</w:t>
      </w:r>
      <w:r w:rsidR="00042B87">
        <w:t xml:space="preserve"> table.</w:t>
      </w:r>
    </w:p>
    <w:tbl>
      <w:tblPr>
        <w:tblStyle w:val="TableGrid"/>
        <w:tblW w:w="93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387"/>
        <w:gridCol w:w="2968"/>
      </w:tblGrid>
      <w:tr w:rsidR="007D7C14" w:rsidRPr="00B85BD8" w14:paraId="3109DB4E" w14:textId="77777777">
        <w:trPr>
          <w:trHeight w:val="580"/>
        </w:trPr>
        <w:tc>
          <w:tcPr>
            <w:tcW w:w="6387" w:type="dxa"/>
            <w:shd w:val="clear" w:color="auto" w:fill="008272"/>
            <w:vAlign w:val="center"/>
          </w:tcPr>
          <w:p w14:paraId="4C809ADC" w14:textId="5F2E8D97" w:rsidR="007D7C14" w:rsidRPr="00B85BD8" w:rsidRDefault="00C574E5">
            <w:pPr>
              <w:pStyle w:val="Table-Header"/>
              <w:rPr>
                <w:rFonts w:eastAsiaTheme="minorHAnsi"/>
              </w:rPr>
            </w:pPr>
            <w:r>
              <w:rPr>
                <w:rFonts w:eastAsiaTheme="minorHAnsi"/>
              </w:rPr>
              <w:lastRenderedPageBreak/>
              <w:t>Area</w:t>
            </w:r>
          </w:p>
        </w:tc>
        <w:tc>
          <w:tcPr>
            <w:tcW w:w="2968" w:type="dxa"/>
            <w:shd w:val="clear" w:color="auto" w:fill="008272"/>
          </w:tcPr>
          <w:p w14:paraId="7CC1C75B" w14:textId="77777777" w:rsidR="007D7C14" w:rsidRPr="00B85BD8" w:rsidRDefault="007D7C14" w:rsidP="002A5B4D">
            <w:pPr>
              <w:pStyle w:val="Table-Header"/>
              <w:rPr>
                <w:rFonts w:eastAsiaTheme="minorHAnsi"/>
              </w:rPr>
            </w:pPr>
            <w:r w:rsidRPr="00B85BD8">
              <w:rPr>
                <w:rFonts w:eastAsiaTheme="minorHAnsi"/>
              </w:rPr>
              <w:t>Estimated scope</w:t>
            </w:r>
            <w:r>
              <w:rPr>
                <w:rFonts w:eastAsiaTheme="minorHAnsi"/>
              </w:rPr>
              <w:t>, up to the limits specified</w:t>
            </w:r>
          </w:p>
        </w:tc>
      </w:tr>
      <w:tr w:rsidR="007D7C14" w:rsidRPr="008D018F" w14:paraId="2CDDCB64" w14:textId="77777777">
        <w:tc>
          <w:tcPr>
            <w:tcW w:w="6387" w:type="dxa"/>
          </w:tcPr>
          <w:p w14:paraId="622F12E1" w14:textId="6BA712D1" w:rsidR="007D7C14" w:rsidRPr="002A5B4D" w:rsidRDefault="00D766EC">
            <w:pPr>
              <w:pStyle w:val="TableText"/>
              <w:rPr>
                <w:rFonts w:eastAsiaTheme="minorHAnsi"/>
              </w:rPr>
            </w:pPr>
            <w:r w:rsidRPr="002A5B4D">
              <w:rPr>
                <w:rFonts w:eastAsiaTheme="minorHAnsi"/>
              </w:rPr>
              <w:t>PAW devices</w:t>
            </w:r>
          </w:p>
        </w:tc>
        <w:tc>
          <w:tcPr>
            <w:tcW w:w="2968" w:type="dxa"/>
          </w:tcPr>
          <w:p w14:paraId="42F42FE2" w14:textId="61287471" w:rsidR="007D7C14" w:rsidRPr="00ED45A8" w:rsidRDefault="00A2175D" w:rsidP="000B0E62">
            <w:pPr>
              <w:pStyle w:val="Instructional"/>
            </w:pPr>
            <w:r>
              <w:t>[</w:t>
            </w:r>
            <w:r w:rsidR="000B0E62">
              <w:t>Default is 10</w:t>
            </w:r>
            <w:r>
              <w:t>]</w:t>
            </w:r>
          </w:p>
        </w:tc>
      </w:tr>
      <w:tr w:rsidR="007D7C14" w:rsidRPr="008D018F" w14:paraId="217B5B87" w14:textId="77777777">
        <w:tc>
          <w:tcPr>
            <w:tcW w:w="6387" w:type="dxa"/>
          </w:tcPr>
          <w:p w14:paraId="53D09072" w14:textId="746FD383" w:rsidR="007D7C14" w:rsidRPr="002A5B4D" w:rsidRDefault="00D766EC">
            <w:pPr>
              <w:pStyle w:val="TableText"/>
              <w:rPr>
                <w:rFonts w:eastAsiaTheme="minorHAnsi"/>
              </w:rPr>
            </w:pPr>
            <w:r w:rsidRPr="002A5B4D">
              <w:rPr>
                <w:rFonts w:eastAsiaTheme="minorHAnsi"/>
              </w:rPr>
              <w:t>PAW supported hardware models</w:t>
            </w:r>
          </w:p>
        </w:tc>
        <w:tc>
          <w:tcPr>
            <w:tcW w:w="2968" w:type="dxa"/>
          </w:tcPr>
          <w:p w14:paraId="03424C72" w14:textId="729AE14A" w:rsidR="007D7C14" w:rsidRPr="00ED45A8" w:rsidRDefault="00A2175D" w:rsidP="000B0E62">
            <w:pPr>
              <w:pStyle w:val="Instructional"/>
            </w:pPr>
            <w:r>
              <w:t>[</w:t>
            </w:r>
            <w:r w:rsidR="000B0E62">
              <w:t>Default is 1</w:t>
            </w:r>
            <w:r>
              <w:t>]</w:t>
            </w:r>
          </w:p>
        </w:tc>
      </w:tr>
      <w:tr w:rsidR="007D7C14" w:rsidRPr="008D018F" w14:paraId="2383A302" w14:textId="77777777">
        <w:tc>
          <w:tcPr>
            <w:tcW w:w="6387" w:type="dxa"/>
          </w:tcPr>
          <w:p w14:paraId="147300AC" w14:textId="659633FC" w:rsidR="007D7C14" w:rsidRPr="002A5B4D" w:rsidRDefault="00C574E5">
            <w:pPr>
              <w:pStyle w:val="TableText"/>
              <w:rPr>
                <w:rFonts w:eastAsiaTheme="minorHAnsi"/>
              </w:rPr>
            </w:pPr>
            <w:r w:rsidRPr="002A5B4D">
              <w:rPr>
                <w:rFonts w:eastAsiaTheme="minorHAnsi"/>
              </w:rPr>
              <w:t>PAW supported applications/tools</w:t>
            </w:r>
          </w:p>
        </w:tc>
        <w:tc>
          <w:tcPr>
            <w:tcW w:w="2968" w:type="dxa"/>
          </w:tcPr>
          <w:p w14:paraId="1AED7A90" w14:textId="113186BD" w:rsidR="007D7C14" w:rsidRPr="00ED45A8" w:rsidRDefault="00A2175D" w:rsidP="000B0E62">
            <w:pPr>
              <w:pStyle w:val="Instructional"/>
            </w:pPr>
            <w:r>
              <w:t>[</w:t>
            </w:r>
            <w:r w:rsidR="000B0E62">
              <w:t>Default is 1</w:t>
            </w:r>
            <w:r>
              <w:t>]</w:t>
            </w:r>
          </w:p>
        </w:tc>
      </w:tr>
    </w:tbl>
    <w:p w14:paraId="2FEC6A0A" w14:textId="401F9512" w:rsidR="00C10BD1" w:rsidRPr="002A5B4D" w:rsidRDefault="00220C1E" w:rsidP="002A5B4D">
      <w:pPr>
        <w:spacing w:before="240" w:after="60"/>
        <w:rPr>
          <w:sz w:val="22"/>
        </w:rPr>
      </w:pPr>
      <w:r w:rsidRPr="002A5B4D">
        <w:rPr>
          <w:b/>
          <w:bCs/>
          <w:sz w:val="22"/>
        </w:rPr>
        <w:t>Data Strategy Workshop</w:t>
      </w:r>
      <w:r w:rsidR="00C10BD1" w:rsidRPr="002A5B4D">
        <w:rPr>
          <w:b/>
          <w:bCs/>
          <w:sz w:val="22"/>
        </w:rPr>
        <w:t xml:space="preserve"> </w:t>
      </w:r>
    </w:p>
    <w:p w14:paraId="526A933B" w14:textId="71F95756" w:rsidR="00220C1E" w:rsidRDefault="00220C1E" w:rsidP="00A614DF">
      <w:r w:rsidRPr="00083411">
        <w:t>Match Customer objectives and key results (OKRs) with specific use cases</w:t>
      </w:r>
      <w:r w:rsidR="00A614DF">
        <w:t xml:space="preserve"> and </w:t>
      </w:r>
      <w:r w:rsidRPr="00083411">
        <w:t xml:space="preserve">assess shared data service capabilities, people, processes, change management readiness, and data maturity. The outcome is a </w:t>
      </w:r>
      <w:r w:rsidR="00BC0823">
        <w:t>h</w:t>
      </w:r>
      <w:r w:rsidRPr="00083411">
        <w:t xml:space="preserve">orizon-based delivery (refer to </w:t>
      </w:r>
      <w:r w:rsidRPr="002A5B4D">
        <w:rPr>
          <w:i/>
          <w:iCs/>
        </w:rPr>
        <w:t>Definitions and acronyms</w:t>
      </w:r>
      <w:r w:rsidRPr="00083411">
        <w:t xml:space="preserve"> in the EDA) through shared strategy services and use-case implementation to </w:t>
      </w:r>
      <w:r w:rsidR="00BC0823">
        <w:t xml:space="preserve">help </w:t>
      </w:r>
      <w:r w:rsidRPr="00083411">
        <w:t>realize critical business value for customers.</w:t>
      </w:r>
    </w:p>
    <w:p w14:paraId="5AC0F81B" w14:textId="5B2251ED" w:rsidR="00C10BD1" w:rsidRPr="002A5B4D" w:rsidRDefault="007C025A" w:rsidP="002A5B4D">
      <w:pPr>
        <w:spacing w:before="240" w:after="60"/>
        <w:rPr>
          <w:b/>
          <w:bCs/>
          <w:sz w:val="22"/>
        </w:rPr>
      </w:pPr>
      <w:r w:rsidRPr="002A5B4D">
        <w:rPr>
          <w:b/>
          <w:bCs/>
          <w:sz w:val="22"/>
        </w:rPr>
        <w:t>Data Strategy Accelerator</w:t>
      </w:r>
      <w:r w:rsidR="00C10BD1" w:rsidRPr="002A5B4D">
        <w:rPr>
          <w:b/>
          <w:bCs/>
          <w:sz w:val="22"/>
        </w:rPr>
        <w:t xml:space="preserve"> </w:t>
      </w:r>
    </w:p>
    <w:p w14:paraId="3587D871" w14:textId="61524A0B" w:rsidR="007C025A" w:rsidRDefault="007C025A" w:rsidP="00A614DF">
      <w:r w:rsidRPr="00E648FB">
        <w:t xml:space="preserve">Implement </w:t>
      </w:r>
      <w:r w:rsidR="00BC0823">
        <w:t xml:space="preserve">the </w:t>
      </w:r>
      <w:r w:rsidRPr="00E648FB">
        <w:t xml:space="preserve">foundational capabilities and shared data services required for a modern data analytics platform. </w:t>
      </w:r>
      <w:r w:rsidR="00D577F5">
        <w:t>D</w:t>
      </w:r>
      <w:r w:rsidRPr="00E648FB">
        <w:t>elivery of prioritized use cases defined during the Data Strategy Workshop</w:t>
      </w:r>
      <w:r w:rsidR="00A614DF">
        <w:t xml:space="preserve"> </w:t>
      </w:r>
      <w:r w:rsidR="005A4DDB">
        <w:t>service</w:t>
      </w:r>
      <w:r>
        <w:t>,</w:t>
      </w:r>
      <w:r w:rsidRPr="00E648FB">
        <w:t xml:space="preserve"> including data lake, ingestion, handshaking, control file</w:t>
      </w:r>
      <w:r>
        <w:t>,</w:t>
      </w:r>
      <w:r w:rsidRPr="00E648FB">
        <w:t xml:space="preserve"> and data catalog using Microsoft</w:t>
      </w:r>
      <w:r>
        <w:t>-</w:t>
      </w:r>
      <w:r w:rsidRPr="00E648FB">
        <w:t>recommended practices and IP.</w:t>
      </w:r>
      <w:r w:rsidR="00862127">
        <w:t xml:space="preserve"> </w:t>
      </w:r>
      <w:r w:rsidR="00FC46D9">
        <w:t xml:space="preserve">This service </w:t>
      </w:r>
      <w:r w:rsidR="009C7D12">
        <w:t>e</w:t>
      </w:r>
      <w:r w:rsidR="00862127">
        <w:t>xtend</w:t>
      </w:r>
      <w:r w:rsidR="002B70C0">
        <w:t>s</w:t>
      </w:r>
      <w:r w:rsidR="00862127">
        <w:t xml:space="preserve"> into the Pilot and Migrate phases.</w:t>
      </w:r>
    </w:p>
    <w:p w14:paraId="56098D4C" w14:textId="2CEF76F7" w:rsidR="00C10BD1" w:rsidRPr="002A5B4D" w:rsidRDefault="00220C1E" w:rsidP="008149AA">
      <w:pPr>
        <w:rPr>
          <w:b/>
          <w:bCs/>
          <w:sz w:val="22"/>
        </w:rPr>
      </w:pPr>
      <w:r w:rsidRPr="002A5B4D">
        <w:rPr>
          <w:b/>
          <w:bCs/>
          <w:sz w:val="22"/>
        </w:rPr>
        <w:t xml:space="preserve">People Mobilization for Velocity Service </w:t>
      </w:r>
      <w:r w:rsidRPr="008149AA">
        <w:rPr>
          <w:b/>
          <w:bCs/>
        </w:rPr>
        <w:t>(PMVS</w:t>
      </w:r>
      <w:r w:rsidRPr="008149AA">
        <w:t>)</w:t>
      </w:r>
    </w:p>
    <w:p w14:paraId="5D9F2250" w14:textId="4735AD80" w:rsidR="00220C1E" w:rsidRDefault="00220C1E" w:rsidP="008149AA">
      <w:r w:rsidRPr="00083411">
        <w:t xml:space="preserve">Assist the Customer with team mobilization to achieve cloud migration velocity. We prepare, equip, and support key business and IT stakeholders to </w:t>
      </w:r>
      <w:r w:rsidR="00B73D06">
        <w:t xml:space="preserve">more </w:t>
      </w:r>
      <w:r w:rsidRPr="00083411">
        <w:t xml:space="preserve">successfully prepare their assets and subsequently achieve </w:t>
      </w:r>
      <w:r w:rsidR="00B73D06">
        <w:t xml:space="preserve">more </w:t>
      </w:r>
      <w:r w:rsidRPr="00083411">
        <w:t>efficient migration. PMVS is designed to minimize the negative</w:t>
      </w:r>
      <w:r w:rsidR="00F677DA">
        <w:t>,</w:t>
      </w:r>
      <w:r w:rsidRPr="00083411">
        <w:t xml:space="preserve"> people</w:t>
      </w:r>
      <w:r>
        <w:t>-</w:t>
      </w:r>
      <w:r w:rsidRPr="00083411">
        <w:t>side consequences associated with cloud transformation.</w:t>
      </w:r>
      <w:r w:rsidR="00203608">
        <w:t xml:space="preserve"> </w:t>
      </w:r>
      <w:r w:rsidR="00FC46D9">
        <w:rPr>
          <w:bCs/>
        </w:rPr>
        <w:t xml:space="preserve">This service </w:t>
      </w:r>
      <w:r w:rsidR="00F677DA" w:rsidRPr="00C10BD1">
        <w:rPr>
          <w:bCs/>
        </w:rPr>
        <w:t>r</w:t>
      </w:r>
      <w:r w:rsidR="00203608" w:rsidRPr="00C10BD1">
        <w:rPr>
          <w:bCs/>
        </w:rPr>
        <w:t>un</w:t>
      </w:r>
      <w:r w:rsidR="002B70C0">
        <w:rPr>
          <w:bCs/>
        </w:rPr>
        <w:t>s</w:t>
      </w:r>
      <w:r w:rsidR="00203608" w:rsidRPr="00C10BD1">
        <w:rPr>
          <w:bCs/>
        </w:rPr>
        <w:t xml:space="preserve"> continuously through </w:t>
      </w:r>
      <w:r w:rsidR="00F677DA" w:rsidRPr="00C10BD1">
        <w:rPr>
          <w:bCs/>
        </w:rPr>
        <w:t xml:space="preserve">the </w:t>
      </w:r>
      <w:r w:rsidR="00203608" w:rsidRPr="00C10BD1">
        <w:rPr>
          <w:bCs/>
        </w:rPr>
        <w:t>Prepare, Pilot</w:t>
      </w:r>
      <w:r w:rsidR="00F677DA" w:rsidRPr="00C10BD1">
        <w:rPr>
          <w:bCs/>
        </w:rPr>
        <w:t>,</w:t>
      </w:r>
      <w:r w:rsidR="00203608" w:rsidRPr="00C10BD1">
        <w:rPr>
          <w:bCs/>
        </w:rPr>
        <w:t xml:space="preserve"> and Migrate phases.</w:t>
      </w:r>
    </w:p>
    <w:p w14:paraId="34A956D5" w14:textId="57BC5C9D" w:rsidR="00C10BD1" w:rsidRPr="008149AA" w:rsidRDefault="00220C1E" w:rsidP="002A5B4D">
      <w:pPr>
        <w:pStyle w:val="TableText"/>
        <w:spacing w:before="240" w:after="60" w:line="260" w:lineRule="atLeast"/>
      </w:pPr>
      <w:r w:rsidRPr="002A5B4D">
        <w:rPr>
          <w:b/>
          <w:bCs/>
          <w:sz w:val="22"/>
        </w:rPr>
        <w:t>Cloud Operations and Governance (COG</w:t>
      </w:r>
      <w:r w:rsidRPr="008149AA">
        <w:t>)</w:t>
      </w:r>
      <w:r w:rsidR="00C10BD1" w:rsidRPr="008149AA">
        <w:t xml:space="preserve"> </w:t>
      </w:r>
    </w:p>
    <w:p w14:paraId="3CF435C6" w14:textId="714DDBCB" w:rsidR="00220C1E" w:rsidRPr="00083411" w:rsidRDefault="00220C1E" w:rsidP="009C109C">
      <w:pPr>
        <w:pStyle w:val="TableText"/>
      </w:pPr>
      <w:r w:rsidRPr="00083411">
        <w:t xml:space="preserve">Help the Customer become operationally ready to run the Azure platform and target workloads, align to the Microsoft Cloud Adoption Framework, and transition IT operations to enhanced ways of working on the Azure platform. </w:t>
      </w:r>
    </w:p>
    <w:p w14:paraId="7FBFB72E" w14:textId="3DE61946" w:rsidR="00220C1E" w:rsidRPr="00083411" w:rsidRDefault="00220C1E" w:rsidP="002A5B4D">
      <w:pPr>
        <w:pStyle w:val="ListParagraph"/>
        <w:numPr>
          <w:ilvl w:val="0"/>
          <w:numId w:val="50"/>
        </w:numPr>
        <w:spacing w:before="60" w:after="60" w:line="260" w:lineRule="atLeast"/>
        <w:ind w:left="360"/>
        <w:contextualSpacing w:val="0"/>
      </w:pPr>
      <w:r w:rsidRPr="00AB59DE">
        <w:rPr>
          <w:b/>
          <w:bCs/>
        </w:rPr>
        <w:t xml:space="preserve">Operations </w:t>
      </w:r>
      <w:r w:rsidR="00B21794" w:rsidRPr="00AB59DE">
        <w:rPr>
          <w:b/>
          <w:bCs/>
        </w:rPr>
        <w:t>r</w:t>
      </w:r>
      <w:r w:rsidRPr="00AB59DE">
        <w:rPr>
          <w:b/>
          <w:bCs/>
        </w:rPr>
        <w:t xml:space="preserve">eadiness </w:t>
      </w:r>
      <w:r w:rsidR="00B21794" w:rsidRPr="00AB59DE">
        <w:rPr>
          <w:b/>
          <w:bCs/>
        </w:rPr>
        <w:t>r</w:t>
      </w:r>
      <w:r w:rsidRPr="00AB59DE">
        <w:rPr>
          <w:b/>
          <w:bCs/>
        </w:rPr>
        <w:t>eview:</w:t>
      </w:r>
      <w:r w:rsidRPr="00083411">
        <w:t xml:space="preserve"> Develop </w:t>
      </w:r>
      <w:r w:rsidR="00B21794">
        <w:t xml:space="preserve">a </w:t>
      </w:r>
      <w:r w:rsidRPr="00083411">
        <w:t xml:space="preserve">prioritized approach for achieving </w:t>
      </w:r>
      <w:r w:rsidR="00B21794">
        <w:t xml:space="preserve">the </w:t>
      </w:r>
      <w:r w:rsidRPr="00083411">
        <w:t xml:space="preserve">desired state based on </w:t>
      </w:r>
      <w:r w:rsidR="00B21794">
        <w:t xml:space="preserve">the </w:t>
      </w:r>
      <w:r w:rsidRPr="00083411">
        <w:t xml:space="preserve">Microsoft vision for operationalizing target Azure workloads along with </w:t>
      </w:r>
      <w:r w:rsidR="00B21794">
        <w:t xml:space="preserve">the </w:t>
      </w:r>
      <w:r w:rsidRPr="00083411">
        <w:t xml:space="preserve">current state of related operations and service management. </w:t>
      </w:r>
    </w:p>
    <w:p w14:paraId="78E36023" w14:textId="0A75066C" w:rsidR="00220C1E" w:rsidRPr="00083411" w:rsidRDefault="00220C1E" w:rsidP="002A5B4D">
      <w:pPr>
        <w:pStyle w:val="ListParagraph"/>
        <w:numPr>
          <w:ilvl w:val="0"/>
          <w:numId w:val="77"/>
        </w:numPr>
        <w:ind w:left="360"/>
      </w:pPr>
      <w:r w:rsidRPr="003E4F9A">
        <w:rPr>
          <w:b/>
          <w:bCs/>
        </w:rPr>
        <w:t xml:space="preserve">Azure </w:t>
      </w:r>
      <w:r w:rsidR="00B21794" w:rsidRPr="003E4F9A">
        <w:rPr>
          <w:b/>
          <w:bCs/>
        </w:rPr>
        <w:t>g</w:t>
      </w:r>
      <w:r w:rsidRPr="003E4F9A">
        <w:rPr>
          <w:b/>
          <w:bCs/>
        </w:rPr>
        <w:t>overnance:</w:t>
      </w:r>
      <w:r w:rsidRPr="00083411">
        <w:t xml:space="preserve"> Provide recommended disciplines, policies, and practices for establishing </w:t>
      </w:r>
      <w:r w:rsidR="004C78FF">
        <w:t xml:space="preserve">a </w:t>
      </w:r>
      <w:r w:rsidRPr="00083411">
        <w:t>governance framework for Azure based on five disciplines: identity baseline, security baseline, cost management, resource consistency</w:t>
      </w:r>
      <w:r w:rsidR="004C78FF">
        <w:t>,</w:t>
      </w:r>
      <w:r w:rsidRPr="00083411">
        <w:t xml:space="preserve"> and deployment acceleration.</w:t>
      </w:r>
    </w:p>
    <w:p w14:paraId="45EC0571" w14:textId="46841F79" w:rsidR="00220C1E" w:rsidRPr="00083411" w:rsidRDefault="00220C1E" w:rsidP="002A5B4D">
      <w:pPr>
        <w:pStyle w:val="ListParagraph"/>
        <w:numPr>
          <w:ilvl w:val="0"/>
          <w:numId w:val="50"/>
        </w:numPr>
        <w:spacing w:before="60" w:after="60" w:line="260" w:lineRule="atLeast"/>
        <w:ind w:left="360"/>
        <w:contextualSpacing w:val="0"/>
      </w:pPr>
      <w:r w:rsidRPr="00AB59DE">
        <w:rPr>
          <w:b/>
          <w:bCs/>
        </w:rPr>
        <w:t xml:space="preserve">Azure </w:t>
      </w:r>
      <w:r w:rsidR="00B21794" w:rsidRPr="00AB59DE">
        <w:rPr>
          <w:b/>
          <w:bCs/>
        </w:rPr>
        <w:t>o</w:t>
      </w:r>
      <w:r w:rsidRPr="00AB59DE">
        <w:rPr>
          <w:b/>
          <w:bCs/>
        </w:rPr>
        <w:t>perations:</w:t>
      </w:r>
      <w:r w:rsidRPr="00083411">
        <w:t xml:space="preserve"> Provide recommended operational roles, responsibilities, tasks, and processes aligned to the five disciplines of Azure operations: inventory and visibility, operation compliance, protect and recover, platform operations</w:t>
      </w:r>
      <w:r w:rsidR="004C78FF">
        <w:t>,</w:t>
      </w:r>
      <w:r w:rsidRPr="00083411">
        <w:t xml:space="preserve"> and operational processes.</w:t>
      </w:r>
    </w:p>
    <w:p w14:paraId="34789A59" w14:textId="3B8B771A" w:rsidR="00437E54" w:rsidRDefault="00437E54" w:rsidP="002A5B4D">
      <w:pPr>
        <w:pStyle w:val="ListParagraph"/>
        <w:numPr>
          <w:ilvl w:val="0"/>
          <w:numId w:val="50"/>
        </w:numPr>
        <w:spacing w:before="60" w:after="60" w:line="260" w:lineRule="atLeast"/>
        <w:ind w:left="360"/>
        <w:contextualSpacing w:val="0"/>
      </w:pPr>
      <w:r w:rsidRPr="00AB59DE">
        <w:rPr>
          <w:b/>
          <w:bCs/>
        </w:rPr>
        <w:t xml:space="preserve">Cloud </w:t>
      </w:r>
      <w:r w:rsidR="00B21794" w:rsidRPr="00AB59DE">
        <w:rPr>
          <w:b/>
          <w:bCs/>
        </w:rPr>
        <w:t>m</w:t>
      </w:r>
      <w:r w:rsidRPr="00AB59DE">
        <w:rPr>
          <w:b/>
          <w:bCs/>
        </w:rPr>
        <w:t>onitoring for Azure:</w:t>
      </w:r>
      <w:r w:rsidRPr="00083411">
        <w:t xml:space="preserve"> Establish </w:t>
      </w:r>
      <w:r w:rsidR="004C78FF">
        <w:t xml:space="preserve">a </w:t>
      </w:r>
      <w:r w:rsidRPr="00083411">
        <w:t xml:space="preserve">foundation </w:t>
      </w:r>
      <w:r w:rsidR="00064EA4">
        <w:t>for</w:t>
      </w:r>
      <w:r w:rsidRPr="00083411">
        <w:t xml:space="preserve"> monitoring Azure services to provide core visibility into </w:t>
      </w:r>
      <w:r w:rsidR="004C78FF">
        <w:t xml:space="preserve">the </w:t>
      </w:r>
      <w:r w:rsidRPr="00083411">
        <w:t xml:space="preserve">health and availability of </w:t>
      </w:r>
      <w:r w:rsidR="004C78FF">
        <w:t xml:space="preserve">the </w:t>
      </w:r>
      <w:r w:rsidRPr="00083411">
        <w:t xml:space="preserve">Azure landscape using native Azure capabilities and </w:t>
      </w:r>
      <w:r w:rsidRPr="00083411">
        <w:lastRenderedPageBreak/>
        <w:t xml:space="preserve">patterns. Integrate into existing alert and incident management processes to support </w:t>
      </w:r>
      <w:r w:rsidR="004C78FF">
        <w:t xml:space="preserve">the </w:t>
      </w:r>
      <w:r w:rsidRPr="00083411">
        <w:t>operational lifecycle.</w:t>
      </w:r>
    </w:p>
    <w:p w14:paraId="0A999B18" w14:textId="5300D328" w:rsidR="00220C1E" w:rsidRPr="00083411" w:rsidRDefault="00220C1E" w:rsidP="002A5B4D">
      <w:pPr>
        <w:pStyle w:val="ListParagraph"/>
        <w:numPr>
          <w:ilvl w:val="0"/>
          <w:numId w:val="79"/>
        </w:numPr>
        <w:ind w:left="360"/>
      </w:pPr>
      <w:r w:rsidRPr="00EA0AC5">
        <w:rPr>
          <w:b/>
          <w:bCs/>
        </w:rPr>
        <w:t xml:space="preserve">Target Operating Model </w:t>
      </w:r>
      <w:r w:rsidR="00B21794" w:rsidRPr="00EA0AC5">
        <w:rPr>
          <w:b/>
          <w:bCs/>
        </w:rPr>
        <w:t>s</w:t>
      </w:r>
      <w:r w:rsidRPr="00EA0AC5">
        <w:rPr>
          <w:b/>
          <w:bCs/>
        </w:rPr>
        <w:t>trategy:</w:t>
      </w:r>
      <w:r w:rsidRPr="00083411">
        <w:t xml:space="preserve"> Define a vision and strategy in the form of an </w:t>
      </w:r>
      <w:r w:rsidR="00DA0562">
        <w:t xml:space="preserve">implementation </w:t>
      </w:r>
      <w:r w:rsidRPr="00083411">
        <w:t xml:space="preserve">backlog for the transformation of IT to a Target Operating Model that is </w:t>
      </w:r>
      <w:r w:rsidR="001C4574" w:rsidRPr="00083411">
        <w:t>cloud</w:t>
      </w:r>
      <w:r w:rsidR="001C4574">
        <w:t>-</w:t>
      </w:r>
      <w:r w:rsidR="00D45330">
        <w:t>first</w:t>
      </w:r>
      <w:r w:rsidR="00D45330" w:rsidRPr="00083411">
        <w:t xml:space="preserve"> </w:t>
      </w:r>
      <w:r w:rsidRPr="00083411">
        <w:t xml:space="preserve">and cloud native, with increased efficiency and agility to realize the benefits of modern cloud capabilities that </w:t>
      </w:r>
      <w:r w:rsidR="000170A6">
        <w:t>help</w:t>
      </w:r>
      <w:r w:rsidRPr="00083411">
        <w:t xml:space="preserve"> support the business to rapidly innovate.</w:t>
      </w:r>
    </w:p>
    <w:p w14:paraId="22BE6DD4" w14:textId="56704C33" w:rsidR="00782DFD" w:rsidRPr="00EA0AC5" w:rsidRDefault="00782DFD" w:rsidP="002A5B4D">
      <w:pPr>
        <w:pStyle w:val="ListParagraph"/>
        <w:numPr>
          <w:ilvl w:val="0"/>
          <w:numId w:val="79"/>
        </w:numPr>
        <w:ind w:left="360"/>
        <w:rPr>
          <w:b/>
          <w:bCs/>
        </w:rPr>
      </w:pPr>
      <w:r w:rsidRPr="00EA0AC5">
        <w:rPr>
          <w:b/>
          <w:bCs/>
        </w:rPr>
        <w:t xml:space="preserve">Target Operating Model </w:t>
      </w:r>
      <w:r w:rsidR="000F2093">
        <w:rPr>
          <w:b/>
          <w:bCs/>
        </w:rPr>
        <w:t>delivery</w:t>
      </w:r>
      <w:r w:rsidRPr="00EA0AC5">
        <w:rPr>
          <w:b/>
          <w:bCs/>
        </w:rPr>
        <w:t>:</w:t>
      </w:r>
      <w:r>
        <w:t xml:space="preserve"> </w:t>
      </w:r>
      <w:r w:rsidRPr="00CA361F">
        <w:t xml:space="preserve">Lead the </w:t>
      </w:r>
      <w:r>
        <w:t>Customer</w:t>
      </w:r>
      <w:r w:rsidRPr="00CA361F">
        <w:t xml:space="preserve"> through the detail</w:t>
      </w:r>
      <w:r>
        <w:t>ed</w:t>
      </w:r>
      <w:r w:rsidRPr="00CA361F">
        <w:t xml:space="preserve"> planning and implementation of </w:t>
      </w:r>
      <w:r>
        <w:t xml:space="preserve">the </w:t>
      </w:r>
      <w:r w:rsidRPr="00CA361F">
        <w:t>Target Operating Model that will transform the IT organization topology, team roles and responsibilities, tooling, and processes, allowing IT to deliver foundational cloud service capabilities to the business in a consistent, timely, cost</w:t>
      </w:r>
      <w:r>
        <w:t>-</w:t>
      </w:r>
      <w:r w:rsidRPr="00CA361F">
        <w:t>efficient</w:t>
      </w:r>
      <w:r>
        <w:t>,</w:t>
      </w:r>
      <w:r w:rsidRPr="00CA361F">
        <w:t xml:space="preserve"> and </w:t>
      </w:r>
      <w:r>
        <w:t xml:space="preserve">more </w:t>
      </w:r>
      <w:r w:rsidRPr="00CA361F">
        <w:t>secure manner.</w:t>
      </w:r>
      <w:r w:rsidR="00003FAA">
        <w:t xml:space="preserve"> </w:t>
      </w:r>
      <w:r w:rsidR="00FC46D9">
        <w:t xml:space="preserve">This service extends during the </w:t>
      </w:r>
      <w:r w:rsidR="00003FAA">
        <w:t>Pilot and Migrate phases only.</w:t>
      </w:r>
    </w:p>
    <w:p w14:paraId="3F442A26" w14:textId="26D4C61C" w:rsidR="00220C1E" w:rsidRDefault="00220C1E" w:rsidP="002A5B4D">
      <w:pPr>
        <w:pStyle w:val="ListParagraph"/>
        <w:numPr>
          <w:ilvl w:val="0"/>
          <w:numId w:val="78"/>
        </w:numPr>
        <w:ind w:left="360"/>
      </w:pPr>
      <w:r w:rsidRPr="003E4F9A">
        <w:rPr>
          <w:b/>
          <w:bCs/>
        </w:rPr>
        <w:t xml:space="preserve">Operations </w:t>
      </w:r>
      <w:r w:rsidR="00B21794" w:rsidRPr="003E4F9A">
        <w:rPr>
          <w:b/>
          <w:bCs/>
        </w:rPr>
        <w:t>c</w:t>
      </w:r>
      <w:r w:rsidRPr="003E4F9A">
        <w:rPr>
          <w:b/>
          <w:bCs/>
        </w:rPr>
        <w:t xml:space="preserve">ontrol </w:t>
      </w:r>
      <w:r w:rsidR="00B21794" w:rsidRPr="003E4F9A">
        <w:rPr>
          <w:b/>
          <w:bCs/>
        </w:rPr>
        <w:t>f</w:t>
      </w:r>
      <w:r w:rsidRPr="003E4F9A">
        <w:rPr>
          <w:b/>
          <w:bCs/>
        </w:rPr>
        <w:t>ramework:</w:t>
      </w:r>
      <w:r w:rsidRPr="00083411">
        <w:t xml:space="preserve"> Lead and coach </w:t>
      </w:r>
      <w:r w:rsidR="00D46C4B">
        <w:t xml:space="preserve">the </w:t>
      </w:r>
      <w:r w:rsidRPr="00083411">
        <w:t xml:space="preserve">Customer’s teams to implement the recommended operations and governance controls using Microsoft cloud native technologies and the Microsoft technical library of control framework artifacts. Iterate in an agile manner to continually mature and </w:t>
      </w:r>
      <w:r w:rsidR="00B67401">
        <w:t xml:space="preserve">improve </w:t>
      </w:r>
      <w:r w:rsidRPr="00083411">
        <w:t>the</w:t>
      </w:r>
      <w:r w:rsidR="00B67B60">
        <w:t xml:space="preserve"> Customer’s</w:t>
      </w:r>
      <w:r w:rsidRPr="00083411">
        <w:t xml:space="preserve"> cloud operating model.</w:t>
      </w:r>
      <w:r w:rsidR="00003FAA">
        <w:t xml:space="preserve"> </w:t>
      </w:r>
      <w:r w:rsidR="00FC46D9">
        <w:t xml:space="preserve">This service extends to </w:t>
      </w:r>
      <w:r w:rsidR="005744AF">
        <w:t xml:space="preserve">the </w:t>
      </w:r>
      <w:r w:rsidR="00003FAA">
        <w:t>Pilot and Migrate phases only.</w:t>
      </w:r>
    </w:p>
    <w:p w14:paraId="0DEAB6E8" w14:textId="27BBC70B" w:rsidR="00024E96" w:rsidRPr="002A5B4D" w:rsidRDefault="00024E96" w:rsidP="00EE57E4">
      <w:pPr>
        <w:keepNext/>
        <w:keepLines/>
        <w:outlineLvl w:val="3"/>
        <w:rPr>
          <w:rFonts w:eastAsia="DengXian Light" w:cs="Times New Roman"/>
          <w:b/>
          <w:sz w:val="24"/>
          <w:szCs w:val="24"/>
        </w:rPr>
      </w:pPr>
      <w:r w:rsidRPr="002A5B4D">
        <w:rPr>
          <w:rFonts w:eastAsia="DengXian Light" w:cs="Times New Roman"/>
          <w:b/>
          <w:sz w:val="24"/>
          <w:szCs w:val="24"/>
        </w:rPr>
        <w:t xml:space="preserve">Migration and </w:t>
      </w:r>
      <w:r w:rsidR="00AA6703" w:rsidRPr="002A5B4D">
        <w:rPr>
          <w:rFonts w:eastAsia="DengXian Light" w:cs="Times New Roman"/>
          <w:b/>
          <w:sz w:val="24"/>
          <w:szCs w:val="24"/>
        </w:rPr>
        <w:t>m</w:t>
      </w:r>
      <w:r w:rsidRPr="002A5B4D">
        <w:rPr>
          <w:rFonts w:eastAsia="DengXian Light" w:cs="Times New Roman"/>
          <w:b/>
          <w:sz w:val="24"/>
          <w:szCs w:val="24"/>
        </w:rPr>
        <w:t xml:space="preserve">odernization </w:t>
      </w:r>
      <w:r w:rsidR="00AA6703" w:rsidRPr="002A5B4D">
        <w:rPr>
          <w:rFonts w:eastAsia="DengXian Light" w:cs="Times New Roman"/>
          <w:b/>
          <w:sz w:val="24"/>
          <w:szCs w:val="24"/>
        </w:rPr>
        <w:t>s</w:t>
      </w:r>
      <w:r w:rsidRPr="002A5B4D">
        <w:rPr>
          <w:rFonts w:eastAsia="DengXian Light" w:cs="Times New Roman"/>
          <w:b/>
          <w:sz w:val="24"/>
          <w:szCs w:val="24"/>
        </w:rPr>
        <w:t>ervices</w:t>
      </w:r>
    </w:p>
    <w:p w14:paraId="0E5227D2" w14:textId="4C775686" w:rsidR="00845543" w:rsidRPr="00845543" w:rsidRDefault="00845543" w:rsidP="00845543">
      <w:pPr>
        <w:rPr>
          <w:i/>
          <w:iCs/>
          <w:color w:val="FF00FF"/>
        </w:rPr>
      </w:pPr>
      <w:r w:rsidRPr="00ED6EED">
        <w:rPr>
          <w:i/>
          <w:iCs/>
          <w:color w:val="FF00FF"/>
        </w:rPr>
        <w:t>Use information from the Inputs tab of the OSE estimator that was used to structure the project to fill out the section below.</w:t>
      </w:r>
    </w:p>
    <w:p w14:paraId="2BC01E3A" w14:textId="3135771E" w:rsidR="00BE6D02" w:rsidRPr="00B80569" w:rsidRDefault="00024E96" w:rsidP="00BE6D02">
      <w:pPr>
        <w:spacing w:before="0" w:after="160"/>
      </w:pPr>
      <w:r>
        <w:t>Migration and modernization services move servers, applications, and databases at scale to Azure across a variety of strategies and supporting services.</w:t>
      </w:r>
      <w:r w:rsidR="00BE6D02">
        <w:t xml:space="preserve"> Most migration and modernization services, unless otherwise noted, run in the Pilot and Migrate phases.</w:t>
      </w:r>
    </w:p>
    <w:p w14:paraId="58236FE7" w14:textId="4BC0ED1F" w:rsidR="002B288F" w:rsidRPr="002A5B4D" w:rsidRDefault="00024E96" w:rsidP="002A5B4D">
      <w:pPr>
        <w:pStyle w:val="TableText"/>
        <w:spacing w:before="240" w:after="60"/>
        <w:rPr>
          <w:rFonts w:eastAsiaTheme="minorHAnsi"/>
          <w:b/>
          <w:bCs/>
          <w:sz w:val="22"/>
        </w:rPr>
      </w:pPr>
      <w:r w:rsidRPr="002A5B4D">
        <w:rPr>
          <w:rFonts w:eastAsiaTheme="minorHAnsi"/>
          <w:b/>
          <w:bCs/>
          <w:sz w:val="22"/>
        </w:rPr>
        <w:t>Migration and Modernization Planning</w:t>
      </w:r>
      <w:r w:rsidR="002B288F" w:rsidRPr="002A5B4D">
        <w:rPr>
          <w:rFonts w:eastAsiaTheme="minorHAnsi"/>
          <w:b/>
          <w:bCs/>
          <w:sz w:val="22"/>
        </w:rPr>
        <w:t xml:space="preserve"> </w:t>
      </w:r>
    </w:p>
    <w:p w14:paraId="26FE52D0" w14:textId="4355AD01" w:rsidR="00024E96" w:rsidRPr="008D018F" w:rsidRDefault="00024E96" w:rsidP="008149AA">
      <w:pPr>
        <w:pStyle w:val="TableText"/>
        <w:rPr>
          <w:rFonts w:eastAsiaTheme="minorHAnsi"/>
        </w:rPr>
      </w:pPr>
      <w:r w:rsidRPr="00AA273D">
        <w:rPr>
          <w:rFonts w:eastAsiaTheme="minorHAnsi"/>
        </w:rPr>
        <w:t>Align on an end-to-end migration process that combines technical, operational, and business activities; tooling; intake and application disposition with backlog refinement; and the automation required for a successful migration program</w:t>
      </w:r>
      <w:r>
        <w:rPr>
          <w:rFonts w:eastAsiaTheme="minorHAnsi"/>
        </w:rPr>
        <w:t>.</w:t>
      </w:r>
      <w:r w:rsidR="00BE6D02">
        <w:rPr>
          <w:rFonts w:eastAsiaTheme="minorHAnsi"/>
        </w:rPr>
        <w:t xml:space="preserve"> </w:t>
      </w:r>
      <w:r w:rsidR="002C2621">
        <w:rPr>
          <w:rFonts w:eastAsiaTheme="minorHAnsi"/>
        </w:rPr>
        <w:t>This service r</w:t>
      </w:r>
      <w:r w:rsidR="00BE6D02">
        <w:rPr>
          <w:rFonts w:eastAsiaTheme="minorHAnsi"/>
        </w:rPr>
        <w:t>uns in the Prepare phase.</w:t>
      </w:r>
    </w:p>
    <w:p w14:paraId="70CE4A6C" w14:textId="48DAEB09" w:rsidR="002B288F" w:rsidRPr="002A5B4D" w:rsidRDefault="00024E96" w:rsidP="002A5B4D">
      <w:pPr>
        <w:pStyle w:val="TableText"/>
        <w:spacing w:before="240" w:after="60"/>
        <w:rPr>
          <w:rFonts w:eastAsiaTheme="minorHAnsi"/>
          <w:b/>
          <w:bCs/>
          <w:sz w:val="22"/>
        </w:rPr>
      </w:pPr>
      <w:r w:rsidRPr="002A5B4D">
        <w:rPr>
          <w:rFonts w:eastAsiaTheme="minorHAnsi"/>
          <w:b/>
          <w:bCs/>
          <w:sz w:val="22"/>
        </w:rPr>
        <w:t xml:space="preserve">Intake and Application </w:t>
      </w:r>
      <w:r w:rsidR="00F53320" w:rsidRPr="002A5B4D">
        <w:rPr>
          <w:rFonts w:eastAsiaTheme="minorHAnsi"/>
          <w:b/>
          <w:bCs/>
          <w:sz w:val="22"/>
        </w:rPr>
        <w:t>Assessment</w:t>
      </w:r>
      <w:r w:rsidR="002B288F" w:rsidRPr="002A5B4D">
        <w:rPr>
          <w:rFonts w:eastAsiaTheme="minorHAnsi"/>
          <w:b/>
          <w:bCs/>
          <w:sz w:val="22"/>
        </w:rPr>
        <w:t xml:space="preserve"> </w:t>
      </w:r>
    </w:p>
    <w:p w14:paraId="0FA4D302" w14:textId="4EFB2315" w:rsidR="00B62EA1" w:rsidRPr="008D018F" w:rsidRDefault="00024E96" w:rsidP="002A5B4D">
      <w:pPr>
        <w:pStyle w:val="TableText"/>
        <w:spacing w:before="0"/>
        <w:rPr>
          <w:rFonts w:eastAsiaTheme="minorHAnsi"/>
        </w:rPr>
      </w:pPr>
      <w:r w:rsidRPr="008D018F">
        <w:rPr>
          <w:rFonts w:eastAsiaTheme="minorHAnsi"/>
        </w:rPr>
        <w:t>Produce an application disposition and validate in</w:t>
      </w:r>
      <w:r w:rsidR="00FE00FC">
        <w:rPr>
          <w:rFonts w:eastAsiaTheme="minorHAnsi"/>
        </w:rPr>
        <w:t>-</w:t>
      </w:r>
      <w:r w:rsidRPr="008D018F">
        <w:rPr>
          <w:rFonts w:eastAsiaTheme="minorHAnsi"/>
        </w:rPr>
        <w:t>scope backlog items.</w:t>
      </w:r>
      <w:r w:rsidR="008D0ECA">
        <w:rPr>
          <w:rStyle w:val="InstructionalChar"/>
        </w:rPr>
        <w:t xml:space="preserve"> </w:t>
      </w:r>
      <w:r w:rsidR="00381FBE" w:rsidRPr="005B103B">
        <w:rPr>
          <w:rStyle w:val="InstructionalChar"/>
        </w:rPr>
        <w:t>&lt;Number of Intake and Assessment Only applications&gt;</w:t>
      </w:r>
      <w:r w:rsidR="00381FBE">
        <w:rPr>
          <w:rFonts w:eastAsiaTheme="minorHAnsi"/>
        </w:rPr>
        <w:t xml:space="preserve"> have been identified to </w:t>
      </w:r>
      <w:r w:rsidR="00FE00FC">
        <w:rPr>
          <w:rFonts w:eastAsiaTheme="minorHAnsi"/>
        </w:rPr>
        <w:t xml:space="preserve">be taken </w:t>
      </w:r>
      <w:r w:rsidR="00381FBE">
        <w:rPr>
          <w:rFonts w:eastAsiaTheme="minorHAnsi"/>
        </w:rPr>
        <w:t>through inta</w:t>
      </w:r>
      <w:r w:rsidR="0047550B">
        <w:rPr>
          <w:rFonts w:eastAsiaTheme="minorHAnsi"/>
        </w:rPr>
        <w:t xml:space="preserve">ke and application </w:t>
      </w:r>
      <w:r w:rsidR="00AA6AFC">
        <w:rPr>
          <w:rFonts w:eastAsiaTheme="minorHAnsi"/>
        </w:rPr>
        <w:t>assessment</w:t>
      </w:r>
      <w:r w:rsidR="008D0ECA">
        <w:rPr>
          <w:rFonts w:eastAsiaTheme="minorHAnsi"/>
        </w:rPr>
        <w:t>,</w:t>
      </w:r>
      <w:r w:rsidR="0047550B">
        <w:rPr>
          <w:rFonts w:eastAsiaTheme="minorHAnsi"/>
        </w:rPr>
        <w:t xml:space="preserve"> but not </w:t>
      </w:r>
      <w:r w:rsidR="00E9441A">
        <w:rPr>
          <w:rFonts w:eastAsiaTheme="minorHAnsi"/>
        </w:rPr>
        <w:t xml:space="preserve">to be </w:t>
      </w:r>
      <w:r w:rsidR="0047550B">
        <w:rPr>
          <w:rFonts w:eastAsiaTheme="minorHAnsi"/>
        </w:rPr>
        <w:t>move</w:t>
      </w:r>
      <w:r w:rsidR="00E9441A">
        <w:rPr>
          <w:rFonts w:eastAsiaTheme="minorHAnsi"/>
        </w:rPr>
        <w:t>d</w:t>
      </w:r>
      <w:r w:rsidR="0047550B">
        <w:rPr>
          <w:rFonts w:eastAsiaTheme="minorHAnsi"/>
        </w:rPr>
        <w:t xml:space="preserve"> </w:t>
      </w:r>
      <w:r w:rsidR="005B103B">
        <w:rPr>
          <w:rFonts w:eastAsiaTheme="minorHAnsi"/>
        </w:rPr>
        <w:t>to Azure.</w:t>
      </w:r>
    </w:p>
    <w:p w14:paraId="2CD57F7D" w14:textId="5C62E202" w:rsidR="002B288F" w:rsidRPr="002A5B4D" w:rsidRDefault="00BC4C23" w:rsidP="002A5B4D">
      <w:pPr>
        <w:spacing w:before="240" w:after="60"/>
        <w:rPr>
          <w:rFonts w:eastAsiaTheme="minorHAnsi"/>
          <w:b/>
          <w:bCs/>
          <w:sz w:val="22"/>
        </w:rPr>
      </w:pPr>
      <w:r w:rsidRPr="002A5B4D">
        <w:rPr>
          <w:rFonts w:eastAsiaTheme="minorHAnsi"/>
          <w:b/>
          <w:bCs/>
          <w:sz w:val="22"/>
        </w:rPr>
        <w:t>Azure VMware Solution (AVS) Deployment Planning</w:t>
      </w:r>
      <w:r w:rsidR="002B288F" w:rsidRPr="002A5B4D">
        <w:rPr>
          <w:rFonts w:eastAsiaTheme="minorHAnsi"/>
          <w:b/>
          <w:bCs/>
          <w:sz w:val="22"/>
        </w:rPr>
        <w:t xml:space="preserve"> </w:t>
      </w:r>
    </w:p>
    <w:p w14:paraId="26B922A1" w14:textId="2BCCED61" w:rsidR="00BC4C23" w:rsidRPr="00DF1BC4" w:rsidRDefault="00BC4C23" w:rsidP="002A5B4D">
      <w:pPr>
        <w:spacing w:before="0"/>
      </w:pPr>
      <w:r w:rsidRPr="002A5B4D">
        <w:rPr>
          <w:rFonts w:eastAsiaTheme="minorHAnsi"/>
        </w:rPr>
        <w:t>Plan and create an instance of AVS and VMware vSphere-related objects. Install and configure VMware HCX in</w:t>
      </w:r>
      <w:r w:rsidR="00A617E2" w:rsidRPr="002A5B4D">
        <w:rPr>
          <w:rFonts w:eastAsiaTheme="minorHAnsi"/>
        </w:rPr>
        <w:t xml:space="preserve"> </w:t>
      </w:r>
      <w:r w:rsidRPr="002A5B4D">
        <w:rPr>
          <w:rFonts w:eastAsiaTheme="minorHAnsi"/>
        </w:rPr>
        <w:t>source and target VMware vCenters.</w:t>
      </w:r>
      <w:r w:rsidR="00C6525C" w:rsidRPr="002A5B4D">
        <w:rPr>
          <w:rFonts w:eastAsiaTheme="minorHAnsi"/>
        </w:rPr>
        <w:t xml:space="preserve"> </w:t>
      </w:r>
      <w:r w:rsidR="00DF1BC4" w:rsidRPr="00ED6EED">
        <w:t xml:space="preserve">The service has been sized to </w:t>
      </w:r>
      <w:r w:rsidR="00DF1BC4">
        <w:t>set up</w:t>
      </w:r>
      <w:r w:rsidR="00DF1BC4" w:rsidRPr="00ED6EED">
        <w:t xml:space="preserve"> </w:t>
      </w:r>
      <w:r w:rsidR="00DF1BC4" w:rsidRPr="00016D3B">
        <w:rPr>
          <w:rStyle w:val="InstructionalChar"/>
        </w:rPr>
        <w:t>[</w:t>
      </w:r>
      <w:r w:rsidR="00DF1BC4" w:rsidRPr="002B288F">
        <w:rPr>
          <w:i/>
          <w:iCs/>
          <w:color w:val="FF00FF"/>
        </w:rPr>
        <w:t xml:space="preserve">Number of vCenters from OSE] </w:t>
      </w:r>
      <w:r w:rsidR="00DF1BC4" w:rsidRPr="00016D3B">
        <w:t>VM</w:t>
      </w:r>
      <w:r w:rsidR="00DF1BC4">
        <w:t>w</w:t>
      </w:r>
      <w:r w:rsidR="00DF1BC4" w:rsidRPr="00016D3B">
        <w:t>are vCenter(s)</w:t>
      </w:r>
      <w:r w:rsidR="00F920F7">
        <w:t xml:space="preserve"> and r</w:t>
      </w:r>
      <w:r w:rsidR="00754282">
        <w:t>uns in the Prepare phase.</w:t>
      </w:r>
    </w:p>
    <w:p w14:paraId="78B9D076" w14:textId="7C0F004E" w:rsidR="002B288F" w:rsidRPr="002A5B4D" w:rsidRDefault="00024E96" w:rsidP="002A5B4D">
      <w:pPr>
        <w:pStyle w:val="TableText"/>
        <w:spacing w:before="240" w:after="60"/>
        <w:rPr>
          <w:rFonts w:eastAsiaTheme="minorHAnsi"/>
          <w:b/>
          <w:bCs/>
          <w:sz w:val="22"/>
        </w:rPr>
      </w:pPr>
      <w:r w:rsidRPr="002A5B4D">
        <w:rPr>
          <w:rFonts w:eastAsiaTheme="minorHAnsi"/>
          <w:b/>
          <w:bCs/>
          <w:sz w:val="22"/>
        </w:rPr>
        <w:t>Azure Migration Services (AMS)</w:t>
      </w:r>
      <w:r w:rsidR="002B288F" w:rsidRPr="002A5B4D">
        <w:rPr>
          <w:rFonts w:eastAsiaTheme="minorHAnsi"/>
          <w:b/>
          <w:bCs/>
          <w:sz w:val="22"/>
        </w:rPr>
        <w:t xml:space="preserve"> </w:t>
      </w:r>
    </w:p>
    <w:p w14:paraId="0CB52646" w14:textId="3B17A7B8" w:rsidR="00024E96" w:rsidRPr="0011556B" w:rsidRDefault="00C22ECE" w:rsidP="00C22ECE">
      <w:pPr>
        <w:pStyle w:val="TableText"/>
        <w:rPr>
          <w:rFonts w:eastAsiaTheme="minorHAnsi"/>
        </w:rPr>
      </w:pPr>
      <w:r w:rsidRPr="002A5B4D">
        <w:rPr>
          <w:rFonts w:eastAsiaTheme="minorHAnsi"/>
        </w:rPr>
        <w:t>Provide</w:t>
      </w:r>
      <w:r w:rsidR="00C77276">
        <w:rPr>
          <w:rFonts w:eastAsiaTheme="minorHAnsi"/>
        </w:rPr>
        <w:t xml:space="preserve"> </w:t>
      </w:r>
      <w:r>
        <w:rPr>
          <w:rFonts w:eastAsiaTheme="minorHAnsi"/>
        </w:rPr>
        <w:t>s</w:t>
      </w:r>
      <w:r w:rsidR="00024E96">
        <w:rPr>
          <w:rFonts w:eastAsiaTheme="minorHAnsi"/>
        </w:rPr>
        <w:t>ervices to rehost servers, applications, and databases in Azure.</w:t>
      </w:r>
    </w:p>
    <w:p w14:paraId="1C89F22C" w14:textId="41D801B4" w:rsidR="00024E96" w:rsidRDefault="00024E96" w:rsidP="002A5B4D">
      <w:pPr>
        <w:pStyle w:val="ListParagraph"/>
        <w:numPr>
          <w:ilvl w:val="0"/>
          <w:numId w:val="52"/>
        </w:numPr>
        <w:spacing w:before="60" w:after="60" w:line="260" w:lineRule="atLeast"/>
        <w:ind w:left="360"/>
        <w:contextualSpacing w:val="0"/>
      </w:pPr>
      <w:r w:rsidRPr="00AB59DE">
        <w:rPr>
          <w:b/>
          <w:bCs/>
        </w:rPr>
        <w:t xml:space="preserve">Rapid </w:t>
      </w:r>
      <w:r w:rsidR="00206C34">
        <w:rPr>
          <w:b/>
          <w:bCs/>
        </w:rPr>
        <w:t>a</w:t>
      </w:r>
      <w:r w:rsidR="00C65A74" w:rsidRPr="00AB59DE">
        <w:rPr>
          <w:b/>
          <w:bCs/>
        </w:rPr>
        <w:t>pplication</w:t>
      </w:r>
      <w:r w:rsidRPr="00AB59DE">
        <w:rPr>
          <w:b/>
          <w:bCs/>
        </w:rPr>
        <w:t xml:space="preserve"> </w:t>
      </w:r>
      <w:r w:rsidR="00206C34">
        <w:rPr>
          <w:b/>
          <w:bCs/>
        </w:rPr>
        <w:t>m</w:t>
      </w:r>
      <w:r w:rsidRPr="00AB59DE">
        <w:rPr>
          <w:b/>
          <w:bCs/>
        </w:rPr>
        <w:t>igration</w:t>
      </w:r>
      <w:r>
        <w:t xml:space="preserve">: As-is migration of </w:t>
      </w:r>
      <w:r w:rsidR="00C65A74">
        <w:t xml:space="preserve">applications by </w:t>
      </w:r>
      <w:r>
        <w:t>servers to I</w:t>
      </w:r>
      <w:r w:rsidR="00034C26">
        <w:t>nfrastructure as a Service (IaaS)</w:t>
      </w:r>
      <w:r>
        <w:t xml:space="preserve"> or</w:t>
      </w:r>
      <w:r w:rsidR="00444EBB">
        <w:t xml:space="preserve"> </w:t>
      </w:r>
      <w:r w:rsidR="00375D68">
        <w:t>AVS</w:t>
      </w:r>
      <w:r w:rsidR="00B14FBD">
        <w:t xml:space="preserve">. An </w:t>
      </w:r>
      <w:r>
        <w:t xml:space="preserve">operating system upgrade </w:t>
      </w:r>
      <w:r w:rsidR="00B14FBD">
        <w:t xml:space="preserve">is </w:t>
      </w:r>
      <w:r>
        <w:t>available via automation</w:t>
      </w:r>
      <w:r w:rsidR="00C77276">
        <w:t>.</w:t>
      </w:r>
    </w:p>
    <w:p w14:paraId="731C31F0" w14:textId="4A71CD69" w:rsidR="00024E96" w:rsidRPr="00473814" w:rsidRDefault="00024E96" w:rsidP="002A5B4D">
      <w:pPr>
        <w:pStyle w:val="TableBullet2MS"/>
        <w:numPr>
          <w:ilvl w:val="1"/>
          <w:numId w:val="55"/>
        </w:numPr>
        <w:spacing w:before="60" w:after="60" w:line="260" w:lineRule="atLeast"/>
        <w:ind w:left="720"/>
      </w:pPr>
      <w:r w:rsidRPr="002A5B4D">
        <w:rPr>
          <w:rFonts w:ascii="Segoe UI Semibold" w:hAnsi="Segoe UI Semibold" w:cs="Segoe UI Semibold"/>
        </w:rPr>
        <w:lastRenderedPageBreak/>
        <w:t>Low-touch approach:</w:t>
      </w:r>
      <w:r w:rsidRPr="00473814">
        <w:t xml:space="preserve"> </w:t>
      </w:r>
      <w:r w:rsidR="00B14FBD">
        <w:t>T</w:t>
      </w:r>
      <w:r w:rsidRPr="00473814">
        <w:t>ool-based migration by servers or subnet</w:t>
      </w:r>
      <w:r w:rsidR="00B14FBD">
        <w:t>.</w:t>
      </w:r>
    </w:p>
    <w:p w14:paraId="1BB4A79F" w14:textId="11C556F0" w:rsidR="00024E96" w:rsidRPr="00473814" w:rsidRDefault="00024E96" w:rsidP="002A5B4D">
      <w:pPr>
        <w:pStyle w:val="TableBullet2MS"/>
        <w:numPr>
          <w:ilvl w:val="1"/>
          <w:numId w:val="55"/>
        </w:numPr>
        <w:spacing w:before="60" w:after="60" w:line="260" w:lineRule="atLeast"/>
        <w:ind w:left="720"/>
      </w:pPr>
      <w:r w:rsidRPr="002A5B4D">
        <w:rPr>
          <w:rFonts w:ascii="Segoe UI Semibold" w:hAnsi="Segoe UI Semibold" w:cs="Segoe UI Semibold"/>
        </w:rPr>
        <w:t>Light assessment and planning</w:t>
      </w:r>
      <w:r w:rsidR="00B14FBD">
        <w:t>:</w:t>
      </w:r>
      <w:r w:rsidRPr="00473814">
        <w:t xml:space="preserve"> </w:t>
      </w:r>
      <w:r w:rsidR="00B14FBD">
        <w:t>M</w:t>
      </w:r>
      <w:r w:rsidRPr="00473814">
        <w:t>inimal application team involvement</w:t>
      </w:r>
      <w:r w:rsidR="00B14FBD">
        <w:t xml:space="preserve"> and</w:t>
      </w:r>
      <w:r w:rsidRPr="00473814">
        <w:t xml:space="preserve"> no planning deliverables</w:t>
      </w:r>
      <w:r w:rsidR="00B14FBD">
        <w:t>.</w:t>
      </w:r>
    </w:p>
    <w:p w14:paraId="7C8F33BC" w14:textId="034AD5C3" w:rsidR="00024E96" w:rsidRPr="00473814" w:rsidRDefault="00024E96" w:rsidP="002A5B4D">
      <w:pPr>
        <w:pStyle w:val="TableBullet2MS"/>
        <w:numPr>
          <w:ilvl w:val="1"/>
          <w:numId w:val="55"/>
        </w:numPr>
        <w:spacing w:before="60" w:after="60" w:line="260" w:lineRule="atLeast"/>
        <w:ind w:left="720"/>
      </w:pPr>
      <w:r w:rsidRPr="002A5B4D">
        <w:rPr>
          <w:rFonts w:ascii="Segoe UI Semibold" w:hAnsi="Segoe UI Semibold" w:cs="Segoe UI Semibold"/>
        </w:rPr>
        <w:t>Databases</w:t>
      </w:r>
      <w:r w:rsidR="00B14FBD" w:rsidRPr="002A5B4D">
        <w:rPr>
          <w:rFonts w:ascii="Segoe UI Semibold" w:hAnsi="Segoe UI Semibold" w:cs="Segoe UI Semibold"/>
        </w:rPr>
        <w:t>:</w:t>
      </w:r>
      <w:r w:rsidRPr="00473814">
        <w:t xml:space="preserve"> </w:t>
      </w:r>
      <w:r w:rsidR="00B14FBD">
        <w:t>I</w:t>
      </w:r>
      <w:r w:rsidRPr="00473814">
        <w:t xml:space="preserve">f any, </w:t>
      </w:r>
      <w:r w:rsidR="00B14FBD">
        <w:t xml:space="preserve">databases are </w:t>
      </w:r>
      <w:r w:rsidRPr="00473814">
        <w:t>migrated as part of server migration</w:t>
      </w:r>
      <w:r w:rsidR="00B14FBD">
        <w:t>.</w:t>
      </w:r>
    </w:p>
    <w:p w14:paraId="1CC09D3F" w14:textId="68F74A51" w:rsidR="00024E96" w:rsidRPr="00473814" w:rsidRDefault="00024E96" w:rsidP="002A5B4D">
      <w:pPr>
        <w:pStyle w:val="TableBullet2MS"/>
        <w:numPr>
          <w:ilvl w:val="1"/>
          <w:numId w:val="55"/>
        </w:numPr>
        <w:spacing w:before="60" w:after="60" w:line="260" w:lineRule="atLeast"/>
        <w:ind w:left="720"/>
      </w:pPr>
      <w:r w:rsidRPr="002A5B4D">
        <w:rPr>
          <w:rFonts w:ascii="Segoe UI Semibold" w:hAnsi="Segoe UI Semibold" w:cs="Segoe UI Semibold"/>
        </w:rPr>
        <w:t>Fast velocity:</w:t>
      </w:r>
      <w:r w:rsidRPr="00473814">
        <w:t xml:space="preserve"> Accelerate</w:t>
      </w:r>
      <w:r w:rsidR="00010FA7">
        <w:t>d</w:t>
      </w:r>
      <w:r w:rsidRPr="00473814">
        <w:t xml:space="preserve"> migration to Azure IaaS or </w:t>
      </w:r>
      <w:r w:rsidR="00375D68">
        <w:t xml:space="preserve">AVS </w:t>
      </w:r>
      <w:r w:rsidRPr="00473814">
        <w:t>with little application owner involvement</w:t>
      </w:r>
      <w:r w:rsidR="00B14FBD">
        <w:t>.</w:t>
      </w:r>
    </w:p>
    <w:p w14:paraId="245D4DBC" w14:textId="1CB1F65F" w:rsidR="00024E96" w:rsidRDefault="00024E96" w:rsidP="002A5B4D">
      <w:pPr>
        <w:pStyle w:val="ListParagraph"/>
        <w:numPr>
          <w:ilvl w:val="0"/>
          <w:numId w:val="53"/>
        </w:numPr>
        <w:spacing w:before="60" w:after="60" w:line="260" w:lineRule="atLeast"/>
        <w:ind w:left="360"/>
        <w:contextualSpacing w:val="0"/>
      </w:pPr>
      <w:r w:rsidRPr="00AB59DE">
        <w:rPr>
          <w:b/>
          <w:bCs/>
        </w:rPr>
        <w:t xml:space="preserve">Application </w:t>
      </w:r>
      <w:r w:rsidR="00206C34">
        <w:rPr>
          <w:b/>
          <w:bCs/>
        </w:rPr>
        <w:t>m</w:t>
      </w:r>
      <w:r w:rsidRPr="00AB59DE">
        <w:rPr>
          <w:b/>
          <w:bCs/>
        </w:rPr>
        <w:t>igration</w:t>
      </w:r>
      <w:r>
        <w:t>: As-is migration of applications to Azure IaaS or</w:t>
      </w:r>
      <w:r w:rsidR="00375D68">
        <w:t xml:space="preserve"> AVS</w:t>
      </w:r>
      <w:r w:rsidR="00EA37B9">
        <w:t>.</w:t>
      </w:r>
      <w:r>
        <w:t xml:space="preserve"> </w:t>
      </w:r>
      <w:r w:rsidR="00EA37B9">
        <w:t xml:space="preserve">An </w:t>
      </w:r>
      <w:r>
        <w:t xml:space="preserve">operating system upgrade </w:t>
      </w:r>
      <w:r w:rsidR="00EA37B9">
        <w:t xml:space="preserve">is </w:t>
      </w:r>
      <w:r>
        <w:t>available via automation</w:t>
      </w:r>
      <w:r w:rsidR="00EA37B9">
        <w:t>.</w:t>
      </w:r>
    </w:p>
    <w:p w14:paraId="2A7BE297" w14:textId="72455A7F" w:rsidR="00024E96" w:rsidRDefault="00024E96" w:rsidP="002A5B4D">
      <w:pPr>
        <w:pStyle w:val="TableBullet2MS"/>
        <w:numPr>
          <w:ilvl w:val="1"/>
          <w:numId w:val="56"/>
        </w:numPr>
        <w:spacing w:before="60" w:after="60" w:line="260" w:lineRule="atLeast"/>
        <w:ind w:left="720"/>
      </w:pPr>
      <w:r w:rsidRPr="002A5B4D">
        <w:rPr>
          <w:rFonts w:ascii="Segoe UI Semibold" w:hAnsi="Segoe UI Semibold" w:cs="Segoe UI Semibold"/>
        </w:rPr>
        <w:t>Medium-touch approach:</w:t>
      </w:r>
      <w:r>
        <w:t xml:space="preserve"> </w:t>
      </w:r>
      <w:r w:rsidR="00EA37B9">
        <w:t>T</w:t>
      </w:r>
      <w:r>
        <w:t>ool-based migration by application</w:t>
      </w:r>
      <w:r w:rsidR="00EA37B9">
        <w:t>.</w:t>
      </w:r>
    </w:p>
    <w:p w14:paraId="6DB084A8" w14:textId="00C79B47" w:rsidR="00024E96" w:rsidRDefault="00024E96" w:rsidP="002A5B4D">
      <w:pPr>
        <w:pStyle w:val="TableBullet2MS"/>
        <w:numPr>
          <w:ilvl w:val="1"/>
          <w:numId w:val="56"/>
        </w:numPr>
        <w:spacing w:before="60" w:after="60" w:line="260" w:lineRule="atLeast"/>
        <w:ind w:left="720"/>
      </w:pPr>
      <w:r w:rsidRPr="002A5B4D">
        <w:rPr>
          <w:rFonts w:ascii="Segoe UI Semibold" w:hAnsi="Segoe UI Semibold" w:cs="Segoe UI Semibold"/>
        </w:rPr>
        <w:t>Standard assessment and planning</w:t>
      </w:r>
      <w:r w:rsidR="00EA37B9">
        <w:rPr>
          <w:rFonts w:ascii="Segoe UI Semibold" w:hAnsi="Segoe UI Semibold" w:cs="Segoe UI Semibold"/>
        </w:rPr>
        <w:t>:</w:t>
      </w:r>
      <w:r>
        <w:t xml:space="preserve"> </w:t>
      </w:r>
      <w:r w:rsidR="00EA37B9">
        <w:t>M</w:t>
      </w:r>
      <w:r>
        <w:t>oderate application team involvement</w:t>
      </w:r>
      <w:r w:rsidR="00EA37B9">
        <w:t>.</w:t>
      </w:r>
      <w:r>
        <w:t xml:space="preserve"> </w:t>
      </w:r>
      <w:r w:rsidR="00EA37B9">
        <w:t xml:space="preserve">An </w:t>
      </w:r>
      <w:r>
        <w:t xml:space="preserve">application migration plan </w:t>
      </w:r>
      <w:r w:rsidR="00EA37B9">
        <w:t xml:space="preserve">is the </w:t>
      </w:r>
      <w:r>
        <w:t>deliverable</w:t>
      </w:r>
      <w:r w:rsidR="00EA37B9">
        <w:t>.</w:t>
      </w:r>
    </w:p>
    <w:p w14:paraId="27DE1E03" w14:textId="7D663684" w:rsidR="00024E96" w:rsidRDefault="00024E96" w:rsidP="002A5B4D">
      <w:pPr>
        <w:pStyle w:val="TableBullet2MS"/>
        <w:numPr>
          <w:ilvl w:val="1"/>
          <w:numId w:val="56"/>
        </w:numPr>
        <w:spacing w:before="60" w:after="60" w:line="260" w:lineRule="atLeast"/>
        <w:ind w:left="720"/>
      </w:pPr>
      <w:r w:rsidRPr="002A5B4D">
        <w:rPr>
          <w:rFonts w:ascii="Segoe UI Semibold" w:hAnsi="Segoe UI Semibold" w:cs="Segoe UI Semibold"/>
        </w:rPr>
        <w:t>Simple or medium complexity databases</w:t>
      </w:r>
      <w:r w:rsidR="00EA37B9">
        <w:rPr>
          <w:rFonts w:ascii="Segoe UI Semibold" w:hAnsi="Segoe UI Semibold" w:cs="Segoe UI Semibold"/>
        </w:rPr>
        <w:t>:</w:t>
      </w:r>
      <w:r>
        <w:t xml:space="preserve"> </w:t>
      </w:r>
      <w:r w:rsidR="003615C8">
        <w:t>Database</w:t>
      </w:r>
      <w:r w:rsidR="00521CE1">
        <w:t xml:space="preserve"> migration</w:t>
      </w:r>
      <w:r>
        <w:t xml:space="preserve"> to Azure IaaS, </w:t>
      </w:r>
      <w:r w:rsidR="00444EBB">
        <w:t>AVS</w:t>
      </w:r>
      <w:r>
        <w:t xml:space="preserve">, or </w:t>
      </w:r>
      <w:r w:rsidR="00EA37B9">
        <w:t>platform as a service (</w:t>
      </w:r>
      <w:r>
        <w:t>PaaS</w:t>
      </w:r>
      <w:r w:rsidR="00EA37B9">
        <w:t>).</w:t>
      </w:r>
    </w:p>
    <w:p w14:paraId="0F323208" w14:textId="3B60A9DA" w:rsidR="00024E96" w:rsidRDefault="00024E96" w:rsidP="002A5B4D">
      <w:pPr>
        <w:pStyle w:val="TableBullet2MS"/>
        <w:numPr>
          <w:ilvl w:val="1"/>
          <w:numId w:val="56"/>
        </w:numPr>
        <w:spacing w:before="60" w:after="60" w:line="260" w:lineRule="atLeast"/>
        <w:ind w:left="720"/>
      </w:pPr>
      <w:r w:rsidRPr="002A5B4D">
        <w:rPr>
          <w:rFonts w:ascii="Segoe UI Semibold" w:hAnsi="Segoe UI Semibold" w:cs="Segoe UI Semibold"/>
        </w:rPr>
        <w:t>Medium velocity:</w:t>
      </w:r>
      <w:r>
        <w:t xml:space="preserve"> Migration velocity </w:t>
      </w:r>
      <w:r w:rsidR="00DA3130">
        <w:t xml:space="preserve">is </w:t>
      </w:r>
      <w:r>
        <w:t xml:space="preserve">dependent on Customer resource availability for </w:t>
      </w:r>
      <w:r w:rsidR="00607501">
        <w:t>migration acceptance testing (</w:t>
      </w:r>
      <w:r>
        <w:t>MAT</w:t>
      </w:r>
      <w:r w:rsidR="00607501">
        <w:t>)</w:t>
      </w:r>
      <w:r w:rsidR="00DA3130">
        <w:t>.</w:t>
      </w:r>
    </w:p>
    <w:p w14:paraId="13B627B0" w14:textId="34FAD680" w:rsidR="00024E96" w:rsidRDefault="00024E96" w:rsidP="002A5B4D">
      <w:pPr>
        <w:pStyle w:val="ListParagraph"/>
        <w:numPr>
          <w:ilvl w:val="0"/>
          <w:numId w:val="54"/>
        </w:numPr>
        <w:spacing w:before="60" w:after="60" w:line="260" w:lineRule="atLeast"/>
        <w:ind w:left="360"/>
        <w:contextualSpacing w:val="0"/>
      </w:pPr>
      <w:r w:rsidRPr="00B43826">
        <w:rPr>
          <w:b/>
          <w:bCs/>
        </w:rPr>
        <w:t xml:space="preserve">Clean </w:t>
      </w:r>
      <w:r w:rsidR="00206C34">
        <w:rPr>
          <w:b/>
          <w:bCs/>
        </w:rPr>
        <w:t>d</w:t>
      </w:r>
      <w:r w:rsidRPr="00B43826">
        <w:rPr>
          <w:b/>
          <w:bCs/>
        </w:rPr>
        <w:t>eployment</w:t>
      </w:r>
      <w:r>
        <w:t xml:space="preserve">: Redeployment of applications on new Azure </w:t>
      </w:r>
      <w:r w:rsidR="006809D1">
        <w:t>virtual machine</w:t>
      </w:r>
      <w:r>
        <w:t>s</w:t>
      </w:r>
      <w:r w:rsidR="00584E46">
        <w:t>.</w:t>
      </w:r>
      <w:r>
        <w:t xml:space="preserve"> </w:t>
      </w:r>
      <w:r w:rsidR="00584E46">
        <w:t>E</w:t>
      </w:r>
      <w:r>
        <w:t>nhancements include Infrastructure-as-Code (IaC), new operating system version, and upgraded application components</w:t>
      </w:r>
      <w:r w:rsidR="00584E46">
        <w:t>,</w:t>
      </w:r>
      <w:r>
        <w:t xml:space="preserve"> targeting Azure IaaS, </w:t>
      </w:r>
      <w:r w:rsidR="00444EBB">
        <w:t>AVS</w:t>
      </w:r>
      <w:r>
        <w:t>, or PaaS</w:t>
      </w:r>
      <w:r w:rsidR="00584E46">
        <w:t>.</w:t>
      </w:r>
    </w:p>
    <w:p w14:paraId="4E1D490D" w14:textId="64010F5D" w:rsidR="00024E96" w:rsidRDefault="00024E96" w:rsidP="002A5B4D">
      <w:pPr>
        <w:pStyle w:val="TableBullet2MS"/>
        <w:numPr>
          <w:ilvl w:val="1"/>
          <w:numId w:val="57"/>
        </w:numPr>
        <w:spacing w:before="60" w:after="60" w:line="260" w:lineRule="atLeast"/>
        <w:ind w:left="720"/>
      </w:pPr>
      <w:r w:rsidRPr="002A5B4D">
        <w:rPr>
          <w:rFonts w:ascii="Segoe UI Semibold" w:hAnsi="Segoe UI Semibold" w:cs="Segoe UI Semibold"/>
        </w:rPr>
        <w:t>High-touch approach:</w:t>
      </w:r>
      <w:r>
        <w:t xml:space="preserve"> Deployment of new servers by application</w:t>
      </w:r>
      <w:r w:rsidR="00584E46">
        <w:t>.</w:t>
      </w:r>
    </w:p>
    <w:p w14:paraId="548867D0" w14:textId="2A2053AE" w:rsidR="00024E96" w:rsidRDefault="00024E96" w:rsidP="002A5B4D">
      <w:pPr>
        <w:pStyle w:val="TableBullet2MS"/>
        <w:numPr>
          <w:ilvl w:val="1"/>
          <w:numId w:val="57"/>
        </w:numPr>
        <w:spacing w:before="60" w:after="60" w:line="260" w:lineRule="atLeast"/>
        <w:ind w:left="720"/>
      </w:pPr>
      <w:r w:rsidRPr="002A5B4D">
        <w:rPr>
          <w:rFonts w:ascii="Segoe UI Semibold" w:hAnsi="Segoe UI Semibold" w:cs="Segoe UI Semibold"/>
        </w:rPr>
        <w:t>Complex:</w:t>
      </w:r>
      <w:r>
        <w:t xml:space="preserve"> Deep assessment and planning</w:t>
      </w:r>
      <w:r w:rsidR="00481367">
        <w:t>,</w:t>
      </w:r>
      <w:r w:rsidR="00584E46">
        <w:t xml:space="preserve"> and</w:t>
      </w:r>
      <w:r>
        <w:t xml:space="preserve"> significant application team involvement</w:t>
      </w:r>
      <w:r w:rsidR="00584E46">
        <w:t>.</w:t>
      </w:r>
      <w:r>
        <w:t xml:space="preserve"> </w:t>
      </w:r>
      <w:r w:rsidR="00584E46">
        <w:t>An a</w:t>
      </w:r>
      <w:r>
        <w:t xml:space="preserve">pplication migration plan and application deployment plan </w:t>
      </w:r>
      <w:r w:rsidR="00584E46">
        <w:t xml:space="preserve">are </w:t>
      </w:r>
      <w:r>
        <w:t>deliverables</w:t>
      </w:r>
      <w:r w:rsidR="00584E46">
        <w:t>.</w:t>
      </w:r>
    </w:p>
    <w:p w14:paraId="10038C94" w14:textId="032837DA" w:rsidR="00024E96" w:rsidRDefault="00024E96" w:rsidP="002A5B4D">
      <w:pPr>
        <w:pStyle w:val="TableBullet2MS"/>
        <w:numPr>
          <w:ilvl w:val="1"/>
          <w:numId w:val="57"/>
        </w:numPr>
        <w:spacing w:before="60" w:after="60" w:line="260" w:lineRule="atLeast"/>
        <w:ind w:left="720"/>
      </w:pPr>
      <w:r w:rsidRPr="002A5B4D">
        <w:rPr>
          <w:rFonts w:ascii="Segoe UI Semibold" w:hAnsi="Segoe UI Semibold" w:cs="Segoe UI Semibold"/>
        </w:rPr>
        <w:t>Simple or medium complexity databases</w:t>
      </w:r>
      <w:r w:rsidR="00584E46" w:rsidRPr="002A5B4D">
        <w:rPr>
          <w:rFonts w:ascii="Segoe UI Semibold" w:hAnsi="Segoe UI Semibold" w:cs="Segoe UI Semibold"/>
        </w:rPr>
        <w:t>:</w:t>
      </w:r>
      <w:r w:rsidR="00584E46">
        <w:t xml:space="preserve"> </w:t>
      </w:r>
      <w:r>
        <w:t xml:space="preserve"> </w:t>
      </w:r>
      <w:r w:rsidR="00584E46">
        <w:t>Database</w:t>
      </w:r>
      <w:r w:rsidR="00AF7A8F">
        <w:t xml:space="preserve"> migration</w:t>
      </w:r>
      <w:r>
        <w:t xml:space="preserve"> to Azure IaaS, </w:t>
      </w:r>
      <w:r w:rsidR="00444EBB">
        <w:t>AVS</w:t>
      </w:r>
      <w:r>
        <w:t>, or PaaS</w:t>
      </w:r>
      <w:r w:rsidR="00584E46">
        <w:t>.</w:t>
      </w:r>
    </w:p>
    <w:p w14:paraId="7334C076" w14:textId="1180A088" w:rsidR="00024E96" w:rsidRPr="009D6EB3" w:rsidRDefault="00024E96" w:rsidP="002A5B4D">
      <w:pPr>
        <w:pStyle w:val="TableBullet2MS"/>
        <w:numPr>
          <w:ilvl w:val="1"/>
          <w:numId w:val="57"/>
        </w:numPr>
        <w:spacing w:before="60" w:after="60" w:line="260" w:lineRule="atLeast"/>
        <w:ind w:left="720"/>
        <w:rPr>
          <w:rFonts w:eastAsiaTheme="minorHAnsi"/>
        </w:rPr>
      </w:pPr>
      <w:r w:rsidRPr="002A5B4D">
        <w:rPr>
          <w:rFonts w:ascii="Segoe UI Semibold" w:hAnsi="Segoe UI Semibold" w:cs="Segoe UI Semibold"/>
        </w:rPr>
        <w:t>Variable velocity:</w:t>
      </w:r>
      <w:r>
        <w:t xml:space="preserve"> Migration velocity </w:t>
      </w:r>
      <w:r w:rsidR="00584E46">
        <w:t xml:space="preserve">is </w:t>
      </w:r>
      <w:r>
        <w:t xml:space="preserve">dependent on Customer resource availability for planning or MAT and </w:t>
      </w:r>
      <w:r w:rsidR="00584E46">
        <w:t xml:space="preserve">the </w:t>
      </w:r>
      <w:r>
        <w:t>number of scale components</w:t>
      </w:r>
      <w:r w:rsidR="00584E46">
        <w:t>.</w:t>
      </w:r>
    </w:p>
    <w:p w14:paraId="49C85FA2" w14:textId="68570917" w:rsidR="00024E96" w:rsidRDefault="00024E96" w:rsidP="00A006A5">
      <w:pPr>
        <w:spacing w:before="60" w:after="60" w:line="260" w:lineRule="atLeast"/>
      </w:pPr>
      <w:r>
        <w:t xml:space="preserve">The AMS </w:t>
      </w:r>
      <w:r w:rsidR="00ED33D2">
        <w:t xml:space="preserve">scope </w:t>
      </w:r>
      <w:r>
        <w:t xml:space="preserve">is </w:t>
      </w:r>
      <w:r w:rsidR="00EF67C8">
        <w:t xml:space="preserve">listed in </w:t>
      </w:r>
      <w:r>
        <w:t>the following</w:t>
      </w:r>
      <w:r w:rsidR="00EF67C8">
        <w:t xml:space="preserve"> table.</w:t>
      </w:r>
    </w:p>
    <w:p w14:paraId="7DC6BC7E" w14:textId="77777777" w:rsidR="00EF67C8" w:rsidRPr="009D6EB3" w:rsidRDefault="00EF67C8" w:rsidP="002A5B4D">
      <w:pPr>
        <w:spacing w:before="60" w:after="60" w:line="260" w:lineRule="atLeast"/>
      </w:pPr>
    </w:p>
    <w:tbl>
      <w:tblPr>
        <w:tblStyle w:val="TableGrid"/>
        <w:tblW w:w="9355" w:type="dxa"/>
        <w:tblLook w:val="04A0" w:firstRow="1" w:lastRow="0" w:firstColumn="1" w:lastColumn="0" w:noHBand="0" w:noVBand="1"/>
      </w:tblPr>
      <w:tblGrid>
        <w:gridCol w:w="3687"/>
        <w:gridCol w:w="5668"/>
      </w:tblGrid>
      <w:tr w:rsidR="00214B9B" w:rsidRPr="008D018F" w14:paraId="08915714" w14:textId="77777777" w:rsidTr="000D4DA6">
        <w:trPr>
          <w:trHeight w:val="400"/>
          <w:tblHeader/>
        </w:trPr>
        <w:tc>
          <w:tcPr>
            <w:tcW w:w="3687" w:type="dxa"/>
            <w:tcBorders>
              <w:top w:val="single" w:sz="2" w:space="0" w:color="auto"/>
              <w:left w:val="single" w:sz="2" w:space="0" w:color="auto"/>
              <w:bottom w:val="single" w:sz="2" w:space="0" w:color="auto"/>
              <w:right w:val="single" w:sz="2" w:space="0" w:color="auto"/>
            </w:tcBorders>
            <w:shd w:val="clear" w:color="auto" w:fill="008272"/>
            <w:vAlign w:val="center"/>
          </w:tcPr>
          <w:p w14:paraId="5FFA8484" w14:textId="6E04AF8A" w:rsidR="00214B9B" w:rsidRPr="008A4377" w:rsidRDefault="00214B9B" w:rsidP="00214B9B">
            <w:pPr>
              <w:pStyle w:val="Table-Header"/>
              <w:rPr>
                <w:rFonts w:eastAsiaTheme="minorHAnsi"/>
              </w:rPr>
            </w:pPr>
            <w:r>
              <w:rPr>
                <w:rFonts w:eastAsiaTheme="minorHAnsi"/>
              </w:rPr>
              <w:t xml:space="preserve">Rehost </w:t>
            </w:r>
            <w:r w:rsidR="00206C34">
              <w:rPr>
                <w:rFonts w:eastAsiaTheme="minorHAnsi"/>
              </w:rPr>
              <w:t>s</w:t>
            </w:r>
            <w:r w:rsidRPr="008A4377">
              <w:rPr>
                <w:rFonts w:eastAsiaTheme="minorHAnsi"/>
              </w:rPr>
              <w:t>trategy</w:t>
            </w:r>
          </w:p>
        </w:tc>
        <w:tc>
          <w:tcPr>
            <w:tcW w:w="5668" w:type="dxa"/>
            <w:tcBorders>
              <w:top w:val="single" w:sz="2" w:space="0" w:color="auto"/>
              <w:left w:val="single" w:sz="2" w:space="0" w:color="auto"/>
              <w:right w:val="single" w:sz="2" w:space="0" w:color="auto"/>
            </w:tcBorders>
            <w:shd w:val="clear" w:color="auto" w:fill="008272"/>
            <w:vAlign w:val="center"/>
          </w:tcPr>
          <w:p w14:paraId="39FBB667" w14:textId="334CD4E7" w:rsidR="00214B9B" w:rsidRPr="008A4377" w:rsidRDefault="002574DC" w:rsidP="00214B9B">
            <w:pPr>
              <w:pStyle w:val="Table-Header"/>
              <w:rPr>
                <w:rFonts w:eastAsiaTheme="minorHAnsi"/>
              </w:rPr>
            </w:pPr>
            <w:r>
              <w:rPr>
                <w:rFonts w:eastAsiaTheme="minorHAnsi"/>
              </w:rPr>
              <w:t>A</w:t>
            </w:r>
            <w:r w:rsidR="00214B9B">
              <w:rPr>
                <w:rFonts w:eastAsiaTheme="minorHAnsi"/>
              </w:rPr>
              <w:t>pplication</w:t>
            </w:r>
            <w:r w:rsidR="00214B9B" w:rsidRPr="008A4377">
              <w:rPr>
                <w:rFonts w:eastAsiaTheme="minorHAnsi"/>
              </w:rPr>
              <w:t xml:space="preserve"> </w:t>
            </w:r>
            <w:r w:rsidR="00096525">
              <w:rPr>
                <w:rFonts w:eastAsiaTheme="minorHAnsi"/>
              </w:rPr>
              <w:t>count</w:t>
            </w:r>
          </w:p>
        </w:tc>
      </w:tr>
      <w:tr w:rsidR="008E6D03" w:rsidRPr="00EA3C32" w14:paraId="19624ECF" w14:textId="77777777" w:rsidTr="000D4DA6">
        <w:tc>
          <w:tcPr>
            <w:tcW w:w="3687" w:type="dxa"/>
            <w:tcBorders>
              <w:top w:val="single" w:sz="2" w:space="0" w:color="auto"/>
              <w:left w:val="single" w:sz="2" w:space="0" w:color="auto"/>
              <w:bottom w:val="single" w:sz="2" w:space="0" w:color="auto"/>
              <w:right w:val="single" w:sz="2" w:space="0" w:color="auto"/>
            </w:tcBorders>
            <w:vAlign w:val="center"/>
          </w:tcPr>
          <w:p w14:paraId="527381C8" w14:textId="5A4FFCED" w:rsidR="008E6D03" w:rsidRPr="00971A43" w:rsidRDefault="008E6D03" w:rsidP="008E6D03">
            <w:pPr>
              <w:pStyle w:val="TableText"/>
            </w:pPr>
            <w:r w:rsidRPr="002A5B4D">
              <w:t xml:space="preserve">Rapid </w:t>
            </w:r>
            <w:r w:rsidR="002F4416">
              <w:t>a</w:t>
            </w:r>
            <w:r w:rsidR="002574DC" w:rsidRPr="002A5B4D">
              <w:t>pplication</w:t>
            </w:r>
            <w:r w:rsidRPr="002A5B4D">
              <w:t xml:space="preserve"> </w:t>
            </w:r>
            <w:r w:rsidR="002F4416">
              <w:t>m</w:t>
            </w:r>
            <w:r w:rsidRPr="002A5B4D">
              <w:t xml:space="preserve">igration </w:t>
            </w:r>
          </w:p>
        </w:tc>
        <w:tc>
          <w:tcPr>
            <w:tcW w:w="5668" w:type="dxa"/>
            <w:tcBorders>
              <w:top w:val="single" w:sz="2" w:space="0" w:color="auto"/>
              <w:left w:val="single" w:sz="2" w:space="0" w:color="auto"/>
              <w:bottom w:val="single" w:sz="2" w:space="0" w:color="auto"/>
              <w:right w:val="single" w:sz="2" w:space="0" w:color="auto"/>
            </w:tcBorders>
          </w:tcPr>
          <w:p w14:paraId="3446C0E1" w14:textId="3456A95A" w:rsidR="008E6D03" w:rsidRPr="00EA3C32" w:rsidRDefault="00B91C2A" w:rsidP="00B91C2A">
            <w:pPr>
              <w:pStyle w:val="Instructional"/>
            </w:pPr>
            <w:r>
              <w:t xml:space="preserve">[Combination of </w:t>
            </w:r>
            <w:r w:rsidR="0026205B">
              <w:t>Rapid App Migration (RAM)</w:t>
            </w:r>
            <w:r>
              <w:t xml:space="preserve"> and RAM with OS Upgrade]</w:t>
            </w:r>
          </w:p>
        </w:tc>
      </w:tr>
      <w:tr w:rsidR="008E6D03" w:rsidRPr="00EA3C32" w14:paraId="109979FD" w14:textId="77777777" w:rsidTr="000D4DA6">
        <w:tc>
          <w:tcPr>
            <w:tcW w:w="3687" w:type="dxa"/>
            <w:tcBorders>
              <w:top w:val="single" w:sz="2" w:space="0" w:color="auto"/>
              <w:left w:val="single" w:sz="2" w:space="0" w:color="auto"/>
              <w:bottom w:val="single" w:sz="2" w:space="0" w:color="auto"/>
              <w:right w:val="single" w:sz="2" w:space="0" w:color="auto"/>
            </w:tcBorders>
            <w:vAlign w:val="center"/>
          </w:tcPr>
          <w:p w14:paraId="4FAC53DF" w14:textId="49A6E391" w:rsidR="008E6D03" w:rsidRPr="00971A43" w:rsidRDefault="008E6D03" w:rsidP="008E6D03">
            <w:pPr>
              <w:pStyle w:val="TableText"/>
            </w:pPr>
            <w:r w:rsidRPr="002A5B4D">
              <w:t xml:space="preserve">Application </w:t>
            </w:r>
            <w:r w:rsidR="002F4416">
              <w:t>m</w:t>
            </w:r>
            <w:r w:rsidRPr="002A5B4D">
              <w:t xml:space="preserve">igration </w:t>
            </w:r>
          </w:p>
        </w:tc>
        <w:tc>
          <w:tcPr>
            <w:tcW w:w="5668" w:type="dxa"/>
            <w:tcBorders>
              <w:top w:val="single" w:sz="2" w:space="0" w:color="auto"/>
              <w:left w:val="single" w:sz="2" w:space="0" w:color="auto"/>
              <w:bottom w:val="single" w:sz="2" w:space="0" w:color="auto"/>
              <w:right w:val="single" w:sz="2" w:space="0" w:color="auto"/>
            </w:tcBorders>
          </w:tcPr>
          <w:p w14:paraId="211A7F7C" w14:textId="178BC1C8" w:rsidR="008E6D03" w:rsidRPr="00EA3C32" w:rsidRDefault="0026205B" w:rsidP="0026205B">
            <w:pPr>
              <w:pStyle w:val="Instructional"/>
            </w:pPr>
            <w:r>
              <w:t>[Combination of App Migration (AM) and AM with OS Upgrade]</w:t>
            </w:r>
          </w:p>
        </w:tc>
      </w:tr>
      <w:tr w:rsidR="008E6D03" w:rsidRPr="00EA3C32" w14:paraId="6806E68C" w14:textId="77777777" w:rsidTr="000D4DA6">
        <w:tc>
          <w:tcPr>
            <w:tcW w:w="3687" w:type="dxa"/>
            <w:tcBorders>
              <w:top w:val="single" w:sz="2" w:space="0" w:color="auto"/>
              <w:left w:val="single" w:sz="2" w:space="0" w:color="auto"/>
              <w:bottom w:val="single" w:sz="2" w:space="0" w:color="auto"/>
              <w:right w:val="single" w:sz="2" w:space="0" w:color="auto"/>
            </w:tcBorders>
            <w:vAlign w:val="center"/>
          </w:tcPr>
          <w:p w14:paraId="2AE01F0E" w14:textId="227518DB" w:rsidR="008E6D03" w:rsidRPr="00971A43" w:rsidRDefault="008E6D03" w:rsidP="008E6D03">
            <w:pPr>
              <w:pStyle w:val="TableText"/>
            </w:pPr>
            <w:r w:rsidRPr="002A5B4D">
              <w:t xml:space="preserve">Clean </w:t>
            </w:r>
            <w:r w:rsidR="002F4416">
              <w:t>d</w:t>
            </w:r>
            <w:r w:rsidRPr="002A5B4D">
              <w:t xml:space="preserve">eployment </w:t>
            </w:r>
          </w:p>
        </w:tc>
        <w:tc>
          <w:tcPr>
            <w:tcW w:w="5668" w:type="dxa"/>
            <w:tcBorders>
              <w:top w:val="single" w:sz="2" w:space="0" w:color="auto"/>
              <w:left w:val="single" w:sz="2" w:space="0" w:color="auto"/>
              <w:bottom w:val="single" w:sz="2" w:space="0" w:color="auto"/>
              <w:right w:val="single" w:sz="2" w:space="0" w:color="auto"/>
            </w:tcBorders>
          </w:tcPr>
          <w:p w14:paraId="73142CC8" w14:textId="10EF7D83" w:rsidR="008E6D03" w:rsidRPr="00EA3C32" w:rsidRDefault="00C654F8" w:rsidP="00C654F8">
            <w:pPr>
              <w:pStyle w:val="Instructional"/>
            </w:pPr>
            <w:r>
              <w:t>[Clean Deployment]</w:t>
            </w:r>
          </w:p>
        </w:tc>
      </w:tr>
      <w:tr w:rsidR="008E6D03" w:rsidRPr="00EA3C32" w14:paraId="33E2B460" w14:textId="77777777" w:rsidTr="000D4DA6">
        <w:tc>
          <w:tcPr>
            <w:tcW w:w="3687" w:type="dxa"/>
            <w:tcBorders>
              <w:top w:val="single" w:sz="2" w:space="0" w:color="auto"/>
              <w:left w:val="single" w:sz="2" w:space="0" w:color="auto"/>
              <w:bottom w:val="single" w:sz="2" w:space="0" w:color="auto"/>
              <w:right w:val="single" w:sz="2" w:space="0" w:color="auto"/>
            </w:tcBorders>
            <w:vAlign w:val="center"/>
          </w:tcPr>
          <w:p w14:paraId="120BCA93" w14:textId="5FBB722A" w:rsidR="008E6D03" w:rsidRPr="00206C34" w:rsidRDefault="008E6D03" w:rsidP="008E6D03">
            <w:pPr>
              <w:pStyle w:val="TableText"/>
              <w:rPr>
                <w:b/>
                <w:bCs/>
              </w:rPr>
            </w:pPr>
            <w:r w:rsidRPr="00206C34">
              <w:rPr>
                <w:b/>
                <w:bCs/>
              </w:rPr>
              <w:t xml:space="preserve">Total </w:t>
            </w:r>
          </w:p>
        </w:tc>
        <w:tc>
          <w:tcPr>
            <w:tcW w:w="5668" w:type="dxa"/>
            <w:tcBorders>
              <w:top w:val="single" w:sz="2" w:space="0" w:color="auto"/>
              <w:left w:val="single" w:sz="2" w:space="0" w:color="auto"/>
              <w:bottom w:val="single" w:sz="2" w:space="0" w:color="auto"/>
              <w:right w:val="single" w:sz="2" w:space="0" w:color="auto"/>
            </w:tcBorders>
          </w:tcPr>
          <w:p w14:paraId="69671D7A" w14:textId="2F2DA2D9" w:rsidR="008E6D03" w:rsidRPr="00D912F4" w:rsidRDefault="00C654F8" w:rsidP="00C654F8">
            <w:pPr>
              <w:pStyle w:val="Instructional"/>
              <w:rPr>
                <w:b/>
                <w:bCs/>
              </w:rPr>
            </w:pPr>
            <w:r w:rsidRPr="00D912F4">
              <w:rPr>
                <w:b/>
                <w:bCs/>
              </w:rPr>
              <w:t>[Applications to be Rehosted]</w:t>
            </w:r>
          </w:p>
        </w:tc>
      </w:tr>
    </w:tbl>
    <w:p w14:paraId="0A7547CD" w14:textId="77777777" w:rsidR="00024E96" w:rsidRDefault="00024E96" w:rsidP="00024E96">
      <w:pPr>
        <w:pStyle w:val="TableBullet2MS"/>
        <w:numPr>
          <w:ilvl w:val="0"/>
          <w:numId w:val="0"/>
        </w:numPr>
        <w:rPr>
          <w:rFonts w:eastAsiaTheme="minorHAnsi"/>
        </w:rPr>
      </w:pPr>
    </w:p>
    <w:p w14:paraId="1FF9AC65" w14:textId="0147419C" w:rsidR="00971A43" w:rsidRPr="002A5B4D" w:rsidRDefault="00024E96" w:rsidP="002A5B4D">
      <w:pPr>
        <w:spacing w:before="240" w:after="60"/>
        <w:rPr>
          <w:sz w:val="22"/>
        </w:rPr>
      </w:pPr>
      <w:r w:rsidRPr="002A5B4D">
        <w:rPr>
          <w:b/>
          <w:bCs/>
          <w:sz w:val="22"/>
        </w:rPr>
        <w:t>Azure Refactoring Service (ARS)</w:t>
      </w:r>
    </w:p>
    <w:p w14:paraId="50504496" w14:textId="67DDF8F2" w:rsidR="00024E96" w:rsidRDefault="00024E96" w:rsidP="002A5B4D">
      <w:pPr>
        <w:spacing w:before="60" w:after="60" w:line="260" w:lineRule="atLeast"/>
      </w:pPr>
      <w:r>
        <w:t xml:space="preserve">Refactor legacy .NET, .NET Core, Java, Classic </w:t>
      </w:r>
      <w:r w:rsidR="00941C20">
        <w:t>Active Server Pages (</w:t>
      </w:r>
      <w:r>
        <w:t>ASP</w:t>
      </w:r>
      <w:r w:rsidR="00941C20">
        <w:t>)</w:t>
      </w:r>
      <w:r>
        <w:t xml:space="preserve">, WordPress, and </w:t>
      </w:r>
      <w:r w:rsidR="00941C20">
        <w:t>Hypertext Preprocessor (</w:t>
      </w:r>
      <w:r>
        <w:t>PHP</w:t>
      </w:r>
      <w:r w:rsidR="00941C20">
        <w:t>)</w:t>
      </w:r>
      <w:r>
        <w:t xml:space="preserve"> web applications to the Azure platform as PaaS services for supported runtimes and versions. Refactoring refers to modifying applications through targeted coding and application changes to prepare the application to be hosted in Azure PaaS services. Some of the targeted coding and application </w:t>
      </w:r>
      <w:r>
        <w:lastRenderedPageBreak/>
        <w:t>changes include configuration management, database connectivity, external resource connectivity, and authentication.</w:t>
      </w:r>
    </w:p>
    <w:p w14:paraId="3264026A" w14:textId="49A44770" w:rsidR="00024E96" w:rsidRDefault="00024E96" w:rsidP="002A5B4D">
      <w:pPr>
        <w:spacing w:before="60" w:after="60" w:line="260" w:lineRule="atLeast"/>
      </w:pPr>
      <w:r>
        <w:t>Not all applications are alike.</w:t>
      </w:r>
      <w:r w:rsidR="000131A1">
        <w:t xml:space="preserve"> </w:t>
      </w:r>
      <w:r>
        <w:t xml:space="preserve">ARS handles this by assigning a complexity based on </w:t>
      </w:r>
      <w:r w:rsidR="00DD4A1F">
        <w:t xml:space="preserve">the </w:t>
      </w:r>
      <w:r>
        <w:t>applications</w:t>
      </w:r>
      <w:r w:rsidR="00DD4A1F">
        <w:t>’</w:t>
      </w:r>
      <w:r>
        <w:t xml:space="preserve"> characteristics </w:t>
      </w:r>
      <w:r w:rsidR="00135F6C">
        <w:t xml:space="preserve">that </w:t>
      </w:r>
      <w:r>
        <w:t>include, but are not limited to, the items listed below:</w:t>
      </w:r>
    </w:p>
    <w:p w14:paraId="41BD60C5" w14:textId="3E556044" w:rsidR="00024E96" w:rsidRDefault="00024E96" w:rsidP="002A5B4D">
      <w:pPr>
        <w:pStyle w:val="ListParagraph"/>
        <w:numPr>
          <w:ilvl w:val="0"/>
          <w:numId w:val="58"/>
        </w:numPr>
        <w:spacing w:before="60" w:after="60" w:line="260" w:lineRule="atLeast"/>
        <w:ind w:left="360"/>
        <w:contextualSpacing w:val="0"/>
        <w:rPr>
          <w:rFonts w:eastAsia="Times New Roman"/>
        </w:rPr>
      </w:pPr>
      <w:r>
        <w:rPr>
          <w:rFonts w:eastAsia="Times New Roman"/>
        </w:rPr>
        <w:t>Language/</w:t>
      </w:r>
      <w:r w:rsidR="00040852">
        <w:rPr>
          <w:rFonts w:eastAsia="Times New Roman"/>
        </w:rPr>
        <w:t>p</w:t>
      </w:r>
      <w:r>
        <w:rPr>
          <w:rFonts w:eastAsia="Times New Roman"/>
        </w:rPr>
        <w:t>latform</w:t>
      </w:r>
    </w:p>
    <w:p w14:paraId="19362B41" w14:textId="77777777" w:rsidR="00024E96" w:rsidRDefault="00024E96" w:rsidP="002A5B4D">
      <w:pPr>
        <w:pStyle w:val="ListParagraph"/>
        <w:numPr>
          <w:ilvl w:val="0"/>
          <w:numId w:val="58"/>
        </w:numPr>
        <w:spacing w:before="60" w:after="60" w:line="260" w:lineRule="atLeast"/>
        <w:ind w:left="360"/>
        <w:contextualSpacing w:val="0"/>
        <w:rPr>
          <w:rFonts w:eastAsia="Times New Roman"/>
        </w:rPr>
      </w:pPr>
      <w:r>
        <w:rPr>
          <w:rFonts w:eastAsia="Times New Roman"/>
        </w:rPr>
        <w:t>Local server resource usage</w:t>
      </w:r>
    </w:p>
    <w:p w14:paraId="4E260D3E" w14:textId="77777777" w:rsidR="00024E96" w:rsidRDefault="00024E96" w:rsidP="002A5B4D">
      <w:pPr>
        <w:pStyle w:val="ListParagraph"/>
        <w:numPr>
          <w:ilvl w:val="0"/>
          <w:numId w:val="58"/>
        </w:numPr>
        <w:spacing w:before="60" w:after="60" w:line="260" w:lineRule="atLeast"/>
        <w:ind w:left="360"/>
        <w:contextualSpacing w:val="0"/>
        <w:rPr>
          <w:rFonts w:eastAsia="Times New Roman"/>
        </w:rPr>
      </w:pPr>
      <w:r>
        <w:rPr>
          <w:rFonts w:eastAsia="Times New Roman"/>
        </w:rPr>
        <w:t>Session management</w:t>
      </w:r>
    </w:p>
    <w:p w14:paraId="24D6D8F2" w14:textId="77777777" w:rsidR="00024E96" w:rsidRDefault="00024E96" w:rsidP="002A5B4D">
      <w:pPr>
        <w:pStyle w:val="ListParagraph"/>
        <w:numPr>
          <w:ilvl w:val="0"/>
          <w:numId w:val="58"/>
        </w:numPr>
        <w:spacing w:before="60" w:after="60" w:line="260" w:lineRule="atLeast"/>
        <w:ind w:left="360"/>
        <w:contextualSpacing w:val="0"/>
        <w:rPr>
          <w:rFonts w:eastAsia="Times New Roman"/>
        </w:rPr>
      </w:pPr>
      <w:r>
        <w:rPr>
          <w:rFonts w:eastAsia="Times New Roman"/>
        </w:rPr>
        <w:t>Messaging patterns</w:t>
      </w:r>
    </w:p>
    <w:p w14:paraId="614D7216" w14:textId="26159C78" w:rsidR="00024E96" w:rsidRDefault="00A35C0A" w:rsidP="002A5B4D">
      <w:pPr>
        <w:pStyle w:val="ListParagraph"/>
        <w:numPr>
          <w:ilvl w:val="0"/>
          <w:numId w:val="58"/>
        </w:numPr>
        <w:spacing w:before="60" w:after="60" w:line="260" w:lineRule="atLeast"/>
        <w:ind w:left="360"/>
        <w:contextualSpacing w:val="0"/>
        <w:rPr>
          <w:rFonts w:eastAsia="Times New Roman"/>
        </w:rPr>
      </w:pPr>
      <w:r>
        <w:rPr>
          <w:rFonts w:eastAsia="Times New Roman"/>
        </w:rPr>
        <w:t>Lightweight Directory Access Protocol (</w:t>
      </w:r>
      <w:r w:rsidR="00024E96">
        <w:rPr>
          <w:rFonts w:eastAsia="Times New Roman"/>
        </w:rPr>
        <w:t>LDAP</w:t>
      </w:r>
      <w:r>
        <w:rPr>
          <w:rFonts w:eastAsia="Times New Roman"/>
        </w:rPr>
        <w:t>)</w:t>
      </w:r>
      <w:r w:rsidR="00024E96">
        <w:rPr>
          <w:rFonts w:eastAsia="Times New Roman"/>
        </w:rPr>
        <w:t xml:space="preserve"> integration</w:t>
      </w:r>
    </w:p>
    <w:p w14:paraId="731E9C57" w14:textId="74CE0038" w:rsidR="00024E96" w:rsidRDefault="00024E96" w:rsidP="002A5B4D">
      <w:pPr>
        <w:pStyle w:val="ListParagraph"/>
        <w:numPr>
          <w:ilvl w:val="0"/>
          <w:numId w:val="58"/>
        </w:numPr>
        <w:spacing w:before="60" w:after="60" w:line="260" w:lineRule="atLeast"/>
        <w:ind w:left="360"/>
        <w:contextualSpacing w:val="0"/>
        <w:rPr>
          <w:rFonts w:eastAsia="Times New Roman"/>
        </w:rPr>
      </w:pPr>
      <w:r>
        <w:rPr>
          <w:rFonts w:eastAsia="Times New Roman"/>
        </w:rPr>
        <w:t>Third</w:t>
      </w:r>
      <w:r w:rsidR="00040852">
        <w:rPr>
          <w:rFonts w:eastAsia="Times New Roman"/>
        </w:rPr>
        <w:t>-p</w:t>
      </w:r>
      <w:r>
        <w:rPr>
          <w:rFonts w:eastAsia="Times New Roman"/>
        </w:rPr>
        <w:t xml:space="preserve">arty </w:t>
      </w:r>
      <w:r w:rsidR="00040852">
        <w:rPr>
          <w:rFonts w:eastAsia="Times New Roman"/>
        </w:rPr>
        <w:t>c</w:t>
      </w:r>
      <w:r>
        <w:rPr>
          <w:rFonts w:eastAsia="Times New Roman"/>
        </w:rPr>
        <w:t>omponent usage</w:t>
      </w:r>
    </w:p>
    <w:p w14:paraId="7860BA73" w14:textId="1DEB635A" w:rsidR="00024E96" w:rsidRDefault="00024E96" w:rsidP="002A5B4D">
      <w:pPr>
        <w:pStyle w:val="ListParagraph"/>
        <w:numPr>
          <w:ilvl w:val="0"/>
          <w:numId w:val="58"/>
        </w:numPr>
        <w:spacing w:before="60" w:after="60" w:line="260" w:lineRule="atLeast"/>
        <w:ind w:left="360"/>
        <w:contextualSpacing w:val="0"/>
        <w:rPr>
          <w:rFonts w:eastAsia="Times New Roman"/>
        </w:rPr>
      </w:pPr>
      <w:r>
        <w:rPr>
          <w:rFonts w:eastAsia="Times New Roman"/>
        </w:rPr>
        <w:t xml:space="preserve">Custom </w:t>
      </w:r>
      <w:r w:rsidR="00DD4A1F">
        <w:rPr>
          <w:rFonts w:eastAsia="Times New Roman"/>
        </w:rPr>
        <w:t>continuous integration/continuous delivery (</w:t>
      </w:r>
      <w:r>
        <w:rPr>
          <w:rFonts w:eastAsia="Times New Roman"/>
        </w:rPr>
        <w:t>CI/C</w:t>
      </w:r>
      <w:r w:rsidR="00040852">
        <w:rPr>
          <w:rFonts w:eastAsia="Times New Roman"/>
        </w:rPr>
        <w:t>D</w:t>
      </w:r>
      <w:r w:rsidR="00DD4A1F">
        <w:rPr>
          <w:rFonts w:eastAsia="Times New Roman"/>
        </w:rPr>
        <w:t>)</w:t>
      </w:r>
      <w:r>
        <w:rPr>
          <w:rFonts w:eastAsia="Times New Roman"/>
        </w:rPr>
        <w:t xml:space="preserve"> requirements</w:t>
      </w:r>
    </w:p>
    <w:p w14:paraId="31DDCFEE" w14:textId="53B4935E" w:rsidR="00024E96" w:rsidRDefault="00024E96" w:rsidP="002A5B4D">
      <w:pPr>
        <w:pStyle w:val="ListParagraph"/>
        <w:numPr>
          <w:ilvl w:val="0"/>
          <w:numId w:val="58"/>
        </w:numPr>
        <w:spacing w:before="60" w:after="60" w:line="260" w:lineRule="atLeast"/>
        <w:ind w:left="360"/>
        <w:contextualSpacing w:val="0"/>
        <w:rPr>
          <w:rFonts w:eastAsia="Times New Roman"/>
        </w:rPr>
      </w:pPr>
      <w:r>
        <w:rPr>
          <w:rFonts w:eastAsia="Times New Roman"/>
        </w:rPr>
        <w:t>Use of legacy technologies</w:t>
      </w:r>
      <w:r w:rsidR="00206C34">
        <w:rPr>
          <w:rFonts w:eastAsia="Times New Roman"/>
        </w:rPr>
        <w:t xml:space="preserve"> </w:t>
      </w:r>
      <w:r w:rsidR="00DD4A1F">
        <w:rPr>
          <w:rFonts w:eastAsia="Times New Roman"/>
        </w:rPr>
        <w:t>(for example</w:t>
      </w:r>
      <w:r w:rsidR="00E06E38">
        <w:rPr>
          <w:rFonts w:eastAsia="Times New Roman"/>
        </w:rPr>
        <w:t>,</w:t>
      </w:r>
      <w:r w:rsidR="004B404B">
        <w:rPr>
          <w:rFonts w:eastAsia="Times New Roman"/>
        </w:rPr>
        <w:t xml:space="preserve"> </w:t>
      </w:r>
      <w:r>
        <w:rPr>
          <w:rFonts w:eastAsia="Times New Roman"/>
        </w:rPr>
        <w:t>COM/DCOM</w:t>
      </w:r>
      <w:r w:rsidR="00DD4A1F">
        <w:rPr>
          <w:rFonts w:eastAsia="Times New Roman"/>
        </w:rPr>
        <w:t>)</w:t>
      </w:r>
    </w:p>
    <w:p w14:paraId="257EA492" w14:textId="5FF34C5E" w:rsidR="00024E96" w:rsidRPr="00937CF4" w:rsidRDefault="00024E96" w:rsidP="002A5B4D">
      <w:pPr>
        <w:spacing w:before="60" w:after="60" w:line="260" w:lineRule="atLeast"/>
      </w:pPr>
      <w:r>
        <w:t>The ARS Complexity Slotting tool will assign the complexity and business criticality based on application metadata gathered as part of the intake process.</w:t>
      </w:r>
      <w:r w:rsidR="00224C11">
        <w:t xml:space="preserve"> </w:t>
      </w:r>
      <w:r>
        <w:t xml:space="preserve">Code scanning tools are also </w:t>
      </w:r>
      <w:r w:rsidR="00B67401">
        <w:t xml:space="preserve">used </w:t>
      </w:r>
      <w:r>
        <w:t>to finalize the complexity during the assessment phase.</w:t>
      </w:r>
      <w:r w:rsidR="00224C11">
        <w:t xml:space="preserve"> </w:t>
      </w:r>
      <w:r>
        <w:t xml:space="preserve"> Applications are slotted into three complexity buckets consisting of Simple, Medium, and Complex.</w:t>
      </w:r>
    </w:p>
    <w:p w14:paraId="067C36FB" w14:textId="1E6CC581" w:rsidR="00024E96" w:rsidRDefault="00024E96" w:rsidP="00A006A5">
      <w:pPr>
        <w:pStyle w:val="TableText"/>
        <w:spacing w:before="60" w:after="60" w:line="260" w:lineRule="atLeast"/>
        <w:rPr>
          <w:rFonts w:eastAsiaTheme="minorHAnsi"/>
        </w:rPr>
      </w:pPr>
      <w:r>
        <w:rPr>
          <w:rFonts w:eastAsiaTheme="minorHAnsi"/>
        </w:rPr>
        <w:t xml:space="preserve">The ARS </w:t>
      </w:r>
      <w:r w:rsidR="00F70A38">
        <w:rPr>
          <w:rFonts w:eastAsiaTheme="minorHAnsi"/>
        </w:rPr>
        <w:t xml:space="preserve">service scope </w:t>
      </w:r>
      <w:r>
        <w:rPr>
          <w:rFonts w:eastAsiaTheme="minorHAnsi"/>
        </w:rPr>
        <w:t xml:space="preserve">is </w:t>
      </w:r>
      <w:r w:rsidR="00F017A4">
        <w:rPr>
          <w:rFonts w:eastAsiaTheme="minorHAnsi"/>
        </w:rPr>
        <w:t xml:space="preserve">listed in </w:t>
      </w:r>
      <w:r>
        <w:rPr>
          <w:rFonts w:eastAsiaTheme="minorHAnsi"/>
        </w:rPr>
        <w:t>the following</w:t>
      </w:r>
      <w:r w:rsidR="00F017A4">
        <w:rPr>
          <w:rFonts w:eastAsiaTheme="minorHAnsi"/>
        </w:rPr>
        <w:t xml:space="preserve"> table.</w:t>
      </w:r>
    </w:p>
    <w:p w14:paraId="5CBB301C" w14:textId="77777777" w:rsidR="00F017A4" w:rsidRDefault="00F017A4" w:rsidP="002A5B4D">
      <w:pPr>
        <w:pStyle w:val="TableText"/>
        <w:spacing w:before="60" w:after="60" w:line="260" w:lineRule="atLeast"/>
        <w:rPr>
          <w:rFonts w:eastAsiaTheme="minorHAnsi"/>
        </w:rPr>
      </w:pPr>
    </w:p>
    <w:tbl>
      <w:tblPr>
        <w:tblStyle w:val="TableGrid"/>
        <w:tblW w:w="93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687"/>
        <w:gridCol w:w="5668"/>
      </w:tblGrid>
      <w:tr w:rsidR="00FC2458" w:rsidRPr="008D018F" w14:paraId="07959D51" w14:textId="77777777" w:rsidTr="000D4DA6">
        <w:trPr>
          <w:trHeight w:val="75"/>
        </w:trPr>
        <w:tc>
          <w:tcPr>
            <w:tcW w:w="3687" w:type="dxa"/>
            <w:shd w:val="clear" w:color="auto" w:fill="008272"/>
            <w:vAlign w:val="center"/>
          </w:tcPr>
          <w:p w14:paraId="4A3C512E" w14:textId="6584B097" w:rsidR="00FC2458" w:rsidRPr="008A4377" w:rsidRDefault="00FC2458" w:rsidP="00FC2458">
            <w:pPr>
              <w:pStyle w:val="Table-Header"/>
              <w:rPr>
                <w:rFonts w:eastAsiaTheme="minorHAnsi"/>
              </w:rPr>
            </w:pPr>
            <w:r>
              <w:rPr>
                <w:rFonts w:eastAsiaTheme="minorHAnsi"/>
              </w:rPr>
              <w:t xml:space="preserve">Refactor </w:t>
            </w:r>
            <w:r w:rsidR="00422C23">
              <w:rPr>
                <w:rFonts w:eastAsiaTheme="minorHAnsi"/>
              </w:rPr>
              <w:t>a</w:t>
            </w:r>
            <w:r>
              <w:rPr>
                <w:rFonts w:eastAsiaTheme="minorHAnsi"/>
              </w:rPr>
              <w:t xml:space="preserve">pplication </w:t>
            </w:r>
            <w:r w:rsidR="00422C23">
              <w:rPr>
                <w:rFonts w:eastAsiaTheme="minorHAnsi"/>
              </w:rPr>
              <w:t>c</w:t>
            </w:r>
            <w:r w:rsidRPr="008A4377">
              <w:rPr>
                <w:rFonts w:eastAsiaTheme="minorHAnsi"/>
              </w:rPr>
              <w:t>omplexity</w:t>
            </w:r>
          </w:p>
        </w:tc>
        <w:tc>
          <w:tcPr>
            <w:tcW w:w="5668" w:type="dxa"/>
            <w:shd w:val="clear" w:color="auto" w:fill="008272"/>
            <w:vAlign w:val="center"/>
          </w:tcPr>
          <w:p w14:paraId="08CBA56B" w14:textId="0F9CF9AA" w:rsidR="00FC2458" w:rsidRPr="008A4377" w:rsidRDefault="00FC2458" w:rsidP="00FC2458">
            <w:pPr>
              <w:pStyle w:val="Table-Header"/>
              <w:rPr>
                <w:rFonts w:eastAsiaTheme="minorHAnsi"/>
              </w:rPr>
            </w:pPr>
            <w:r w:rsidRPr="008A4377">
              <w:rPr>
                <w:rFonts w:eastAsiaTheme="minorHAnsi"/>
              </w:rPr>
              <w:t xml:space="preserve">Application </w:t>
            </w:r>
            <w:r w:rsidR="00096525">
              <w:rPr>
                <w:rFonts w:eastAsiaTheme="minorHAnsi"/>
              </w:rPr>
              <w:t>count</w:t>
            </w:r>
          </w:p>
        </w:tc>
      </w:tr>
      <w:tr w:rsidR="00FC2458" w:rsidRPr="008D018F" w14:paraId="72617C18" w14:textId="77777777" w:rsidTr="000D4DA6">
        <w:tc>
          <w:tcPr>
            <w:tcW w:w="3687" w:type="dxa"/>
            <w:vAlign w:val="center"/>
          </w:tcPr>
          <w:p w14:paraId="537E7806" w14:textId="57683ACE" w:rsidR="00FC2458" w:rsidRPr="00971A43" w:rsidRDefault="00FC2458" w:rsidP="00FC2458">
            <w:pPr>
              <w:pStyle w:val="TableText"/>
              <w:rPr>
                <w:rFonts w:eastAsiaTheme="minorHAnsi"/>
              </w:rPr>
            </w:pPr>
            <w:r w:rsidRPr="002A5B4D">
              <w:rPr>
                <w:rFonts w:eastAsiaTheme="minorHAnsi"/>
              </w:rPr>
              <w:t>Simple</w:t>
            </w:r>
          </w:p>
        </w:tc>
        <w:tc>
          <w:tcPr>
            <w:tcW w:w="5668" w:type="dxa"/>
          </w:tcPr>
          <w:p w14:paraId="35CF7252" w14:textId="4E8916BF" w:rsidR="00FC2458" w:rsidRPr="008D018F" w:rsidRDefault="00C654F8" w:rsidP="00C654F8">
            <w:pPr>
              <w:pStyle w:val="Instructional"/>
            </w:pPr>
            <w:r>
              <w:t>[Simple Applications</w:t>
            </w:r>
            <w:r w:rsidR="004C288C">
              <w:t>]</w:t>
            </w:r>
          </w:p>
        </w:tc>
      </w:tr>
      <w:tr w:rsidR="00FC2458" w:rsidRPr="008D018F" w14:paraId="7A1A08D2" w14:textId="77777777" w:rsidTr="000D4DA6">
        <w:tc>
          <w:tcPr>
            <w:tcW w:w="3687" w:type="dxa"/>
            <w:vAlign w:val="center"/>
          </w:tcPr>
          <w:p w14:paraId="4F8FD9CB" w14:textId="1655D01D" w:rsidR="00FC2458" w:rsidRPr="00971A43" w:rsidRDefault="00FC2458" w:rsidP="00FC2458">
            <w:pPr>
              <w:pStyle w:val="TableText"/>
              <w:rPr>
                <w:rFonts w:eastAsiaTheme="minorHAnsi"/>
              </w:rPr>
            </w:pPr>
            <w:r w:rsidRPr="002A5B4D">
              <w:rPr>
                <w:rFonts w:eastAsiaTheme="minorHAnsi"/>
              </w:rPr>
              <w:t>Medium</w:t>
            </w:r>
          </w:p>
        </w:tc>
        <w:tc>
          <w:tcPr>
            <w:tcW w:w="5668" w:type="dxa"/>
          </w:tcPr>
          <w:p w14:paraId="5CA326F2" w14:textId="6B304ACA" w:rsidR="00FC2458" w:rsidRPr="008D018F" w:rsidRDefault="004C288C" w:rsidP="00C654F8">
            <w:pPr>
              <w:pStyle w:val="Instructional"/>
            </w:pPr>
            <w:r>
              <w:t>[Medium Applications]</w:t>
            </w:r>
          </w:p>
        </w:tc>
      </w:tr>
      <w:tr w:rsidR="00FC2458" w:rsidRPr="008D018F" w14:paraId="07E1C8C4" w14:textId="77777777" w:rsidTr="000D4DA6">
        <w:tc>
          <w:tcPr>
            <w:tcW w:w="3687" w:type="dxa"/>
            <w:vAlign w:val="center"/>
          </w:tcPr>
          <w:p w14:paraId="164BAD38" w14:textId="0F28D06B" w:rsidR="00FC2458" w:rsidRPr="00971A43" w:rsidRDefault="00FC2458" w:rsidP="00FC2458">
            <w:pPr>
              <w:pStyle w:val="TableText"/>
              <w:rPr>
                <w:rFonts w:eastAsiaTheme="minorHAnsi"/>
              </w:rPr>
            </w:pPr>
            <w:r w:rsidRPr="002A5B4D">
              <w:rPr>
                <w:rFonts w:eastAsiaTheme="minorHAnsi"/>
              </w:rPr>
              <w:t>Complex</w:t>
            </w:r>
          </w:p>
        </w:tc>
        <w:tc>
          <w:tcPr>
            <w:tcW w:w="5668" w:type="dxa"/>
          </w:tcPr>
          <w:p w14:paraId="7040FAC8" w14:textId="40639321" w:rsidR="00FC2458" w:rsidRPr="008D018F" w:rsidRDefault="004C288C" w:rsidP="00C654F8">
            <w:pPr>
              <w:pStyle w:val="Instructional"/>
            </w:pPr>
            <w:r>
              <w:t>[Complex Applications]</w:t>
            </w:r>
          </w:p>
        </w:tc>
      </w:tr>
      <w:tr w:rsidR="00FC2458" w:rsidRPr="008D018F" w14:paraId="72BE3675" w14:textId="77777777" w:rsidTr="000D4DA6">
        <w:tc>
          <w:tcPr>
            <w:tcW w:w="3687" w:type="dxa"/>
            <w:vAlign w:val="center"/>
          </w:tcPr>
          <w:p w14:paraId="1B83F1EC" w14:textId="56D3C5C9" w:rsidR="00FC2458" w:rsidRPr="00A963DF" w:rsidRDefault="00FC2458" w:rsidP="00FC2458">
            <w:pPr>
              <w:pStyle w:val="TableText"/>
              <w:rPr>
                <w:rFonts w:eastAsiaTheme="minorHAnsi"/>
                <w:b/>
                <w:bCs/>
              </w:rPr>
            </w:pPr>
            <w:r w:rsidRPr="00A963DF">
              <w:rPr>
                <w:rFonts w:eastAsiaTheme="minorHAnsi"/>
                <w:b/>
                <w:bCs/>
              </w:rPr>
              <w:t>Total</w:t>
            </w:r>
          </w:p>
        </w:tc>
        <w:tc>
          <w:tcPr>
            <w:tcW w:w="5668" w:type="dxa"/>
          </w:tcPr>
          <w:p w14:paraId="2FE4AC99" w14:textId="0B37913E" w:rsidR="00FC2458" w:rsidRPr="00B77C21" w:rsidRDefault="004C288C" w:rsidP="00C654F8">
            <w:pPr>
              <w:pStyle w:val="Instructional"/>
              <w:rPr>
                <w:b/>
                <w:bCs/>
              </w:rPr>
            </w:pPr>
            <w:r>
              <w:rPr>
                <w:b/>
                <w:bCs/>
              </w:rPr>
              <w:t xml:space="preserve">[Applications to be </w:t>
            </w:r>
            <w:r w:rsidR="00D912F4">
              <w:rPr>
                <w:b/>
                <w:bCs/>
              </w:rPr>
              <w:t>Refactored]</w:t>
            </w:r>
          </w:p>
        </w:tc>
      </w:tr>
    </w:tbl>
    <w:p w14:paraId="5CDE07B4" w14:textId="3A1EF3FA" w:rsidR="00971A43" w:rsidRPr="002A5B4D" w:rsidRDefault="00096525" w:rsidP="002A5B4D">
      <w:pPr>
        <w:pStyle w:val="TableText"/>
        <w:spacing w:before="240" w:after="60"/>
        <w:rPr>
          <w:rFonts w:eastAsiaTheme="minorHAnsi"/>
          <w:b/>
          <w:bCs/>
          <w:sz w:val="22"/>
        </w:rPr>
      </w:pPr>
      <w:r w:rsidRPr="002A5B4D">
        <w:rPr>
          <w:rFonts w:eastAsiaTheme="minorHAnsi"/>
          <w:b/>
          <w:bCs/>
          <w:sz w:val="22"/>
        </w:rPr>
        <w:t>Azure Transformation Services (ATS)</w:t>
      </w:r>
    </w:p>
    <w:p w14:paraId="03C77957" w14:textId="6BD57410" w:rsidR="00096525" w:rsidRPr="0049688E" w:rsidRDefault="0049688E" w:rsidP="002A5B4D">
      <w:pPr>
        <w:pStyle w:val="TableText"/>
        <w:spacing w:before="0"/>
        <w:rPr>
          <w:rFonts w:eastAsiaTheme="minorHAnsi"/>
        </w:rPr>
      </w:pPr>
      <w:r w:rsidRPr="0049688E">
        <w:rPr>
          <w:rFonts w:eastAsiaTheme="minorHAnsi"/>
        </w:rPr>
        <w:t>Begin the re</w:t>
      </w:r>
      <w:r w:rsidR="00F43994">
        <w:rPr>
          <w:rFonts w:eastAsiaTheme="minorHAnsi"/>
        </w:rPr>
        <w:t>-</w:t>
      </w:r>
      <w:r w:rsidRPr="0049688E">
        <w:rPr>
          <w:rFonts w:eastAsiaTheme="minorHAnsi"/>
        </w:rPr>
        <w:t>architect or rebuild process for legacy applications to Azure PaaS. This service does not guarantee a final re</w:t>
      </w:r>
      <w:r w:rsidR="00A807D2">
        <w:rPr>
          <w:rFonts w:eastAsiaTheme="minorHAnsi"/>
        </w:rPr>
        <w:t>-</w:t>
      </w:r>
      <w:r w:rsidRPr="0049688E">
        <w:rPr>
          <w:rFonts w:eastAsiaTheme="minorHAnsi"/>
        </w:rPr>
        <w:t>architected or rebuilt application in Azure. It is meant to provide a starting capacity to begin the re</w:t>
      </w:r>
      <w:r w:rsidR="00A807D2">
        <w:rPr>
          <w:rFonts w:eastAsiaTheme="minorHAnsi"/>
        </w:rPr>
        <w:t>-</w:t>
      </w:r>
      <w:r w:rsidRPr="0049688E">
        <w:rPr>
          <w:rFonts w:eastAsiaTheme="minorHAnsi"/>
        </w:rPr>
        <w:t>architect or rebuild development work, which the Customer can extend using the change management process described in the EDA.</w:t>
      </w:r>
    </w:p>
    <w:tbl>
      <w:tblPr>
        <w:tblStyle w:val="TableGrid"/>
        <w:tblW w:w="9355" w:type="dxa"/>
        <w:tblLook w:val="04A0" w:firstRow="1" w:lastRow="0" w:firstColumn="1" w:lastColumn="0" w:noHBand="0" w:noVBand="1"/>
      </w:tblPr>
      <w:tblGrid>
        <w:gridCol w:w="3685"/>
        <w:gridCol w:w="5670"/>
      </w:tblGrid>
      <w:tr w:rsidR="00096525" w:rsidRPr="00ED6EED" w14:paraId="7F8C2950" w14:textId="77777777" w:rsidTr="002A5B4D">
        <w:trPr>
          <w:tblHeader/>
        </w:trPr>
        <w:tc>
          <w:tcPr>
            <w:tcW w:w="3685" w:type="dxa"/>
            <w:shd w:val="clear" w:color="auto" w:fill="008272"/>
          </w:tcPr>
          <w:p w14:paraId="42C2317D" w14:textId="77777777" w:rsidR="00096525" w:rsidRPr="00ED6EED" w:rsidRDefault="00096525">
            <w:pPr>
              <w:pStyle w:val="Table-Header"/>
            </w:pPr>
            <w:r>
              <w:t>Activity</w:t>
            </w:r>
          </w:p>
        </w:tc>
        <w:tc>
          <w:tcPr>
            <w:tcW w:w="5670" w:type="dxa"/>
            <w:shd w:val="clear" w:color="auto" w:fill="008272"/>
          </w:tcPr>
          <w:p w14:paraId="2EF17116" w14:textId="77777777" w:rsidR="00096525" w:rsidRPr="00ED6EED" w:rsidRDefault="00096525">
            <w:pPr>
              <w:pStyle w:val="Table-Header"/>
            </w:pPr>
            <w:r w:rsidRPr="00ED6EED">
              <w:t xml:space="preserve">Application </w:t>
            </w:r>
            <w:r>
              <w:t>c</w:t>
            </w:r>
            <w:r w:rsidRPr="00ED6EED">
              <w:t>ount</w:t>
            </w:r>
          </w:p>
        </w:tc>
      </w:tr>
      <w:tr w:rsidR="00096525" w:rsidRPr="00ED6EED" w14:paraId="1A56B7E2" w14:textId="77777777" w:rsidTr="000D4DA6">
        <w:tc>
          <w:tcPr>
            <w:tcW w:w="3685" w:type="dxa"/>
          </w:tcPr>
          <w:p w14:paraId="3F19D77A" w14:textId="5DD78B82" w:rsidR="00096525" w:rsidRPr="002A5B4D" w:rsidRDefault="00096525">
            <w:r w:rsidRPr="002A5B4D">
              <w:t>Re</w:t>
            </w:r>
            <w:r w:rsidR="00A807D2">
              <w:t>-</w:t>
            </w:r>
            <w:r w:rsidRPr="002A5B4D">
              <w:t>architect</w:t>
            </w:r>
          </w:p>
        </w:tc>
        <w:tc>
          <w:tcPr>
            <w:tcW w:w="5670" w:type="dxa"/>
          </w:tcPr>
          <w:p w14:paraId="5D6C2F12" w14:textId="56A9E17C" w:rsidR="00096525" w:rsidRPr="00ED6EED" w:rsidRDefault="00096525">
            <w:pPr>
              <w:rPr>
                <w:i/>
                <w:iCs/>
                <w:color w:val="FF00FF"/>
              </w:rPr>
            </w:pPr>
            <w:r w:rsidRPr="00ED6EED">
              <w:rPr>
                <w:i/>
                <w:iCs/>
                <w:color w:val="FF00FF"/>
              </w:rPr>
              <w:t>[</w:t>
            </w:r>
            <w:r>
              <w:rPr>
                <w:i/>
                <w:iCs/>
                <w:color w:val="FF00FF"/>
              </w:rPr>
              <w:t>Rearchitect</w:t>
            </w:r>
            <w:r w:rsidRPr="00ED6EED">
              <w:rPr>
                <w:i/>
                <w:iCs/>
                <w:color w:val="FF00FF"/>
              </w:rPr>
              <w:t xml:space="preserve"> application</w:t>
            </w:r>
            <w:r w:rsidR="00D912F4">
              <w:rPr>
                <w:i/>
                <w:iCs/>
                <w:color w:val="FF00FF"/>
              </w:rPr>
              <w:t>s</w:t>
            </w:r>
            <w:r w:rsidRPr="00ED6EED">
              <w:rPr>
                <w:i/>
                <w:iCs/>
                <w:color w:val="FF00FF"/>
              </w:rPr>
              <w:t>]</w:t>
            </w:r>
          </w:p>
        </w:tc>
      </w:tr>
      <w:tr w:rsidR="00096525" w:rsidRPr="00ED6EED" w14:paraId="25CF92CD" w14:textId="77777777" w:rsidTr="000D4DA6">
        <w:tc>
          <w:tcPr>
            <w:tcW w:w="3685" w:type="dxa"/>
          </w:tcPr>
          <w:p w14:paraId="0BD913A0" w14:textId="77777777" w:rsidR="00096525" w:rsidRPr="002A5B4D" w:rsidRDefault="00096525">
            <w:r w:rsidRPr="002A5B4D">
              <w:t>Rebuild</w:t>
            </w:r>
          </w:p>
        </w:tc>
        <w:tc>
          <w:tcPr>
            <w:tcW w:w="5670" w:type="dxa"/>
          </w:tcPr>
          <w:p w14:paraId="21D28F48" w14:textId="55E625A0" w:rsidR="00096525" w:rsidRPr="00ED6EED" w:rsidRDefault="00096525">
            <w:pPr>
              <w:rPr>
                <w:i/>
                <w:iCs/>
                <w:color w:val="FF00FF"/>
              </w:rPr>
            </w:pPr>
            <w:r w:rsidRPr="00ED6EED">
              <w:rPr>
                <w:i/>
                <w:iCs/>
                <w:color w:val="FF00FF"/>
              </w:rPr>
              <w:t>[</w:t>
            </w:r>
            <w:r>
              <w:rPr>
                <w:i/>
                <w:iCs/>
                <w:color w:val="FF00FF"/>
              </w:rPr>
              <w:t>Rebuild</w:t>
            </w:r>
            <w:r w:rsidRPr="00ED6EED">
              <w:rPr>
                <w:i/>
                <w:iCs/>
                <w:color w:val="FF00FF"/>
              </w:rPr>
              <w:t xml:space="preserve"> applicatio</w:t>
            </w:r>
            <w:r w:rsidR="00D912F4">
              <w:rPr>
                <w:i/>
                <w:iCs/>
                <w:color w:val="FF00FF"/>
              </w:rPr>
              <w:t>ns</w:t>
            </w:r>
            <w:r w:rsidRPr="00ED6EED">
              <w:rPr>
                <w:i/>
                <w:iCs/>
                <w:color w:val="FF00FF"/>
              </w:rPr>
              <w:t>]</w:t>
            </w:r>
          </w:p>
        </w:tc>
      </w:tr>
    </w:tbl>
    <w:p w14:paraId="26D1B202" w14:textId="50829D21" w:rsidR="00F51A8B" w:rsidRPr="002A5B4D" w:rsidRDefault="00B20C48" w:rsidP="002A5B4D">
      <w:pPr>
        <w:pStyle w:val="TableText"/>
        <w:spacing w:before="240" w:after="60"/>
        <w:rPr>
          <w:rFonts w:eastAsiaTheme="minorHAnsi"/>
          <w:b/>
          <w:bCs/>
          <w:sz w:val="22"/>
        </w:rPr>
      </w:pPr>
      <w:r w:rsidRPr="002A5B4D">
        <w:rPr>
          <w:rFonts w:eastAsiaTheme="minorHAnsi"/>
          <w:b/>
          <w:bCs/>
          <w:sz w:val="22"/>
        </w:rPr>
        <w:t>Container Migration Services (CMS)</w:t>
      </w:r>
    </w:p>
    <w:p w14:paraId="09265D92" w14:textId="3DD2D6A0" w:rsidR="00B20C48" w:rsidRDefault="00F51A8B" w:rsidP="002A5B4D">
      <w:pPr>
        <w:pStyle w:val="TableText"/>
        <w:numPr>
          <w:ilvl w:val="0"/>
          <w:numId w:val="59"/>
        </w:numPr>
        <w:spacing w:before="0"/>
        <w:ind w:left="360"/>
      </w:pPr>
      <w:r>
        <w:rPr>
          <w:rFonts w:eastAsiaTheme="minorHAnsi"/>
          <w:b/>
          <w:bCs/>
        </w:rPr>
        <w:t xml:space="preserve">Application </w:t>
      </w:r>
      <w:r w:rsidR="00A963DF">
        <w:rPr>
          <w:rFonts w:eastAsiaTheme="minorHAnsi"/>
          <w:b/>
          <w:bCs/>
        </w:rPr>
        <w:t>c</w:t>
      </w:r>
      <w:r>
        <w:rPr>
          <w:rFonts w:eastAsiaTheme="minorHAnsi"/>
          <w:b/>
          <w:bCs/>
        </w:rPr>
        <w:t xml:space="preserve">ontainerization: </w:t>
      </w:r>
      <w:r>
        <w:rPr>
          <w:rFonts w:eastAsiaTheme="minorHAnsi"/>
        </w:rPr>
        <w:t>C</w:t>
      </w:r>
      <w:r w:rsidR="00B20C48">
        <w:t>reate container images and migrate on-premises applications in virtual machines to containers in Azure.</w:t>
      </w:r>
    </w:p>
    <w:p w14:paraId="36D4766E" w14:textId="6B74889B" w:rsidR="00B20C48" w:rsidRDefault="004B687A" w:rsidP="002A5B4D">
      <w:pPr>
        <w:pStyle w:val="TableText"/>
        <w:numPr>
          <w:ilvl w:val="0"/>
          <w:numId w:val="59"/>
        </w:numPr>
        <w:ind w:left="360"/>
      </w:pPr>
      <w:r w:rsidRPr="004B687A">
        <w:rPr>
          <w:b/>
          <w:bCs/>
        </w:rPr>
        <w:lastRenderedPageBreak/>
        <w:t xml:space="preserve">Container to </w:t>
      </w:r>
      <w:r w:rsidR="00A963DF">
        <w:rPr>
          <w:b/>
          <w:bCs/>
        </w:rPr>
        <w:t>c</w:t>
      </w:r>
      <w:r w:rsidRPr="004B687A">
        <w:rPr>
          <w:b/>
          <w:bCs/>
        </w:rPr>
        <w:t xml:space="preserve">ontainer </w:t>
      </w:r>
      <w:r w:rsidR="00A963DF">
        <w:rPr>
          <w:b/>
          <w:bCs/>
        </w:rPr>
        <w:t>m</w:t>
      </w:r>
      <w:r w:rsidRPr="004B687A">
        <w:rPr>
          <w:b/>
          <w:bCs/>
        </w:rPr>
        <w:t>igration:</w:t>
      </w:r>
      <w:r>
        <w:t xml:space="preserve"> </w:t>
      </w:r>
      <w:r w:rsidR="00B20C48">
        <w:t>Migrate on-premises/unmanaged Kubernetes applications, Google Kubernetes Engine applications, or Amazon’s Elastic Kubernetes Service applications to AKS.</w:t>
      </w:r>
    </w:p>
    <w:tbl>
      <w:tblPr>
        <w:tblStyle w:val="TableGrid"/>
        <w:tblW w:w="9355" w:type="dxa"/>
        <w:tblLook w:val="04A0" w:firstRow="1" w:lastRow="0" w:firstColumn="1" w:lastColumn="0" w:noHBand="0" w:noVBand="1"/>
      </w:tblPr>
      <w:tblGrid>
        <w:gridCol w:w="3685"/>
        <w:gridCol w:w="5670"/>
      </w:tblGrid>
      <w:tr w:rsidR="008A5D90" w:rsidRPr="00ED6EED" w14:paraId="31AB3740" w14:textId="77777777" w:rsidTr="002A5B4D">
        <w:trPr>
          <w:tblHeader/>
        </w:trPr>
        <w:tc>
          <w:tcPr>
            <w:tcW w:w="3685" w:type="dxa"/>
            <w:shd w:val="clear" w:color="auto" w:fill="008272"/>
          </w:tcPr>
          <w:p w14:paraId="33E3F518" w14:textId="77777777" w:rsidR="008A5D90" w:rsidRPr="00ED6EED" w:rsidRDefault="008A5D90">
            <w:pPr>
              <w:pStyle w:val="Table-Header"/>
            </w:pPr>
            <w:r w:rsidRPr="00ED6EED">
              <w:t>Complexity</w:t>
            </w:r>
          </w:p>
        </w:tc>
        <w:tc>
          <w:tcPr>
            <w:tcW w:w="5670" w:type="dxa"/>
            <w:shd w:val="clear" w:color="auto" w:fill="008272"/>
          </w:tcPr>
          <w:p w14:paraId="4B3E5762" w14:textId="77777777" w:rsidR="008A5D90" w:rsidRPr="00ED6EED" w:rsidRDefault="008A5D90">
            <w:pPr>
              <w:pStyle w:val="Table-Header"/>
            </w:pPr>
            <w:r w:rsidRPr="00ED6EED">
              <w:t xml:space="preserve">Application </w:t>
            </w:r>
            <w:r>
              <w:t>c</w:t>
            </w:r>
            <w:r w:rsidRPr="00ED6EED">
              <w:t>ount</w:t>
            </w:r>
          </w:p>
        </w:tc>
      </w:tr>
      <w:tr w:rsidR="008A5D90" w:rsidRPr="00ED6EED" w14:paraId="13F2DCB4" w14:textId="77777777" w:rsidTr="00096C94">
        <w:tc>
          <w:tcPr>
            <w:tcW w:w="3685" w:type="dxa"/>
          </w:tcPr>
          <w:p w14:paraId="10735444" w14:textId="77777777" w:rsidR="008A5D90" w:rsidRPr="002A5B4D" w:rsidRDefault="008A5D90">
            <w:r w:rsidRPr="002A5B4D">
              <w:t>Application containerization</w:t>
            </w:r>
          </w:p>
        </w:tc>
        <w:tc>
          <w:tcPr>
            <w:tcW w:w="5670" w:type="dxa"/>
          </w:tcPr>
          <w:p w14:paraId="33746927" w14:textId="3F31F14D" w:rsidR="008A5D90" w:rsidRPr="00ED6EED" w:rsidRDefault="008A5D90">
            <w:pPr>
              <w:rPr>
                <w:i/>
                <w:iCs/>
                <w:color w:val="FF00FF"/>
              </w:rPr>
            </w:pPr>
            <w:r w:rsidRPr="00ED6EED">
              <w:rPr>
                <w:i/>
                <w:iCs/>
                <w:color w:val="FF00FF"/>
              </w:rPr>
              <w:t>[</w:t>
            </w:r>
            <w:r>
              <w:rPr>
                <w:i/>
                <w:iCs/>
                <w:color w:val="FF00FF"/>
              </w:rPr>
              <w:t>Application Containerization</w:t>
            </w:r>
            <w:r w:rsidRPr="00ED6EED">
              <w:rPr>
                <w:i/>
                <w:iCs/>
                <w:color w:val="FF00FF"/>
              </w:rPr>
              <w:t>]</w:t>
            </w:r>
          </w:p>
        </w:tc>
      </w:tr>
      <w:tr w:rsidR="008A5D90" w:rsidRPr="00ED6EED" w14:paraId="3B32CE0D" w14:textId="77777777" w:rsidTr="00096C94">
        <w:tc>
          <w:tcPr>
            <w:tcW w:w="3685" w:type="dxa"/>
          </w:tcPr>
          <w:p w14:paraId="6709AF91" w14:textId="77777777" w:rsidR="008A5D90" w:rsidRPr="002A5B4D" w:rsidRDefault="008A5D90">
            <w:r w:rsidRPr="002A5B4D">
              <w:t>Container to container migration</w:t>
            </w:r>
          </w:p>
        </w:tc>
        <w:tc>
          <w:tcPr>
            <w:tcW w:w="5670" w:type="dxa"/>
          </w:tcPr>
          <w:p w14:paraId="79A14722" w14:textId="52F49148" w:rsidR="008A5D90" w:rsidRPr="00ED6EED" w:rsidRDefault="008A5D90">
            <w:pPr>
              <w:rPr>
                <w:i/>
                <w:iCs/>
                <w:color w:val="FF00FF"/>
              </w:rPr>
            </w:pPr>
            <w:r w:rsidRPr="00ED6EED">
              <w:rPr>
                <w:i/>
                <w:iCs/>
                <w:color w:val="FF00FF"/>
              </w:rPr>
              <w:t>[</w:t>
            </w:r>
            <w:r>
              <w:rPr>
                <w:i/>
                <w:iCs/>
                <w:color w:val="FF00FF"/>
              </w:rPr>
              <w:t>Container to Container Migration</w:t>
            </w:r>
            <w:r w:rsidRPr="00ED6EED">
              <w:rPr>
                <w:i/>
                <w:iCs/>
                <w:color w:val="FF00FF"/>
              </w:rPr>
              <w:t>]</w:t>
            </w:r>
          </w:p>
        </w:tc>
      </w:tr>
      <w:tr w:rsidR="008A5D90" w:rsidRPr="00ED6EED" w14:paraId="313134C9" w14:textId="77777777" w:rsidTr="00096C94">
        <w:tc>
          <w:tcPr>
            <w:tcW w:w="3685" w:type="dxa"/>
          </w:tcPr>
          <w:p w14:paraId="08DCC4BB" w14:textId="77777777" w:rsidR="008A5D90" w:rsidRPr="00100CD8" w:rsidRDefault="008A5D90">
            <w:pPr>
              <w:rPr>
                <w:b/>
                <w:bCs/>
              </w:rPr>
            </w:pPr>
            <w:r w:rsidRPr="00100CD8">
              <w:rPr>
                <w:b/>
                <w:bCs/>
              </w:rPr>
              <w:t>Total</w:t>
            </w:r>
          </w:p>
        </w:tc>
        <w:tc>
          <w:tcPr>
            <w:tcW w:w="5670" w:type="dxa"/>
          </w:tcPr>
          <w:p w14:paraId="1873E552" w14:textId="43351306" w:rsidR="008A5D90" w:rsidRPr="00D912F4" w:rsidRDefault="008A5D90">
            <w:pPr>
              <w:rPr>
                <w:b/>
                <w:bCs/>
                <w:i/>
                <w:iCs/>
                <w:color w:val="FF00FF"/>
              </w:rPr>
            </w:pPr>
            <w:r w:rsidRPr="00D912F4">
              <w:rPr>
                <w:b/>
                <w:bCs/>
                <w:i/>
                <w:iCs/>
                <w:color w:val="FF00FF"/>
              </w:rPr>
              <w:t>[</w:t>
            </w:r>
            <w:r w:rsidR="00D912F4" w:rsidRPr="00D912F4">
              <w:rPr>
                <w:b/>
                <w:bCs/>
                <w:i/>
                <w:iCs/>
                <w:color w:val="FF00FF"/>
              </w:rPr>
              <w:t>Sum above</w:t>
            </w:r>
            <w:r w:rsidRPr="00D912F4">
              <w:rPr>
                <w:b/>
                <w:bCs/>
                <w:i/>
                <w:iCs/>
                <w:color w:val="FF00FF"/>
              </w:rPr>
              <w:t>]</w:t>
            </w:r>
          </w:p>
        </w:tc>
      </w:tr>
    </w:tbl>
    <w:p w14:paraId="76ABB9CB" w14:textId="70A98CA1" w:rsidR="00024E96" w:rsidRPr="002A5B4D" w:rsidRDefault="00024E96" w:rsidP="002A5B4D">
      <w:pPr>
        <w:pStyle w:val="TableText"/>
        <w:spacing w:before="240" w:after="60"/>
        <w:rPr>
          <w:rFonts w:eastAsiaTheme="minorHAnsi"/>
          <w:b/>
          <w:bCs/>
          <w:sz w:val="22"/>
        </w:rPr>
      </w:pPr>
      <w:r w:rsidRPr="002A5B4D">
        <w:rPr>
          <w:rFonts w:eastAsiaTheme="minorHAnsi"/>
          <w:b/>
          <w:bCs/>
          <w:sz w:val="22"/>
        </w:rPr>
        <w:t xml:space="preserve">Data </w:t>
      </w:r>
      <w:r w:rsidR="009E5BD8" w:rsidRPr="002A5B4D">
        <w:rPr>
          <w:rFonts w:eastAsiaTheme="minorHAnsi"/>
          <w:b/>
          <w:bCs/>
          <w:sz w:val="22"/>
        </w:rPr>
        <w:t xml:space="preserve">Migration </w:t>
      </w:r>
      <w:r w:rsidR="00422C23">
        <w:rPr>
          <w:rFonts w:eastAsiaTheme="minorHAnsi"/>
          <w:b/>
          <w:bCs/>
          <w:sz w:val="22"/>
        </w:rPr>
        <w:t>and</w:t>
      </w:r>
      <w:r w:rsidR="009E5BD8" w:rsidRPr="002A5B4D">
        <w:rPr>
          <w:rFonts w:eastAsiaTheme="minorHAnsi"/>
          <w:b/>
          <w:bCs/>
          <w:sz w:val="22"/>
        </w:rPr>
        <w:t xml:space="preserve"> </w:t>
      </w:r>
      <w:r w:rsidRPr="002A5B4D">
        <w:rPr>
          <w:rFonts w:eastAsiaTheme="minorHAnsi"/>
          <w:b/>
          <w:bCs/>
          <w:sz w:val="22"/>
        </w:rPr>
        <w:t>Modernization Services (DMS)</w:t>
      </w:r>
    </w:p>
    <w:p w14:paraId="0267EA5E" w14:textId="6B12732C" w:rsidR="00752847" w:rsidRDefault="00327A33" w:rsidP="002A5B4D">
      <w:pPr>
        <w:pStyle w:val="TableText"/>
        <w:numPr>
          <w:ilvl w:val="0"/>
          <w:numId w:val="60"/>
        </w:numPr>
        <w:spacing w:before="0"/>
        <w:ind w:left="360"/>
        <w:rPr>
          <w:rFonts w:eastAsiaTheme="minorHAnsi"/>
        </w:rPr>
      </w:pPr>
      <w:r w:rsidRPr="00327A33">
        <w:rPr>
          <w:b/>
          <w:bCs/>
        </w:rPr>
        <w:t xml:space="preserve">Data </w:t>
      </w:r>
      <w:r w:rsidR="00F017A4">
        <w:rPr>
          <w:b/>
          <w:bCs/>
        </w:rPr>
        <w:t>m</w:t>
      </w:r>
      <w:r w:rsidRPr="00327A33">
        <w:rPr>
          <w:b/>
          <w:bCs/>
        </w:rPr>
        <w:t xml:space="preserve">igration </w:t>
      </w:r>
      <w:r w:rsidR="00F017A4">
        <w:rPr>
          <w:b/>
          <w:bCs/>
        </w:rPr>
        <w:t>s</w:t>
      </w:r>
      <w:r w:rsidRPr="00327A33">
        <w:rPr>
          <w:b/>
          <w:bCs/>
        </w:rPr>
        <w:t>ervices</w:t>
      </w:r>
      <w:r>
        <w:t xml:space="preserve">: </w:t>
      </w:r>
      <w:r w:rsidR="00752847">
        <w:t>M</w:t>
      </w:r>
      <w:r w:rsidR="00752847" w:rsidRPr="008D018F">
        <w:t xml:space="preserve">igrate databases to Azure </w:t>
      </w:r>
      <w:r w:rsidR="008A3C7A">
        <w:t>I</w:t>
      </w:r>
      <w:r w:rsidR="00034C26">
        <w:t>aaS</w:t>
      </w:r>
      <w:r w:rsidR="00752847" w:rsidRPr="008D018F">
        <w:t xml:space="preserve"> virtual machines</w:t>
      </w:r>
      <w:r>
        <w:t xml:space="preserve"> or</w:t>
      </w:r>
      <w:r w:rsidR="00752847" w:rsidRPr="008D018F">
        <w:t xml:space="preserve"> rehost databases to </w:t>
      </w:r>
      <w:r w:rsidR="00100CD8">
        <w:t xml:space="preserve">the </w:t>
      </w:r>
      <w:r w:rsidR="00752847" w:rsidRPr="008D018F">
        <w:t xml:space="preserve">same platform </w:t>
      </w:r>
      <w:r w:rsidR="00100CD8">
        <w:t xml:space="preserve">as </w:t>
      </w:r>
      <w:r w:rsidR="00752847" w:rsidRPr="008D018F">
        <w:t>Azure PaaS targets</w:t>
      </w:r>
      <w:r w:rsidR="005A12F5">
        <w:rPr>
          <w:rFonts w:eastAsiaTheme="minorHAnsi"/>
        </w:rPr>
        <w:t>.</w:t>
      </w:r>
    </w:p>
    <w:tbl>
      <w:tblPr>
        <w:tblStyle w:val="TableGrid"/>
        <w:tblW w:w="9360" w:type="dxa"/>
        <w:tblLook w:val="04A0" w:firstRow="1" w:lastRow="0" w:firstColumn="1" w:lastColumn="0" w:noHBand="0" w:noVBand="1"/>
      </w:tblPr>
      <w:tblGrid>
        <w:gridCol w:w="2875"/>
        <w:gridCol w:w="1530"/>
        <w:gridCol w:w="4955"/>
      </w:tblGrid>
      <w:tr w:rsidR="001F2F5E" w:rsidRPr="00ED6EED" w14:paraId="623D9DE1" w14:textId="77777777" w:rsidTr="002A5B4D">
        <w:trPr>
          <w:tblHeader/>
        </w:trPr>
        <w:tc>
          <w:tcPr>
            <w:tcW w:w="2875" w:type="dxa"/>
            <w:shd w:val="clear" w:color="auto" w:fill="008272"/>
          </w:tcPr>
          <w:p w14:paraId="42283D27" w14:textId="30BCCEA6" w:rsidR="001F2F5E" w:rsidRPr="00ED6EED" w:rsidRDefault="001F2F5E">
            <w:pPr>
              <w:pStyle w:val="Table-Header"/>
            </w:pPr>
            <w:r>
              <w:t>Database</w:t>
            </w:r>
          </w:p>
        </w:tc>
        <w:tc>
          <w:tcPr>
            <w:tcW w:w="1530" w:type="dxa"/>
            <w:shd w:val="clear" w:color="auto" w:fill="008272"/>
          </w:tcPr>
          <w:p w14:paraId="2ADC8D7C" w14:textId="6D54D63F" w:rsidR="001F2F5E" w:rsidRDefault="001F2F5E">
            <w:pPr>
              <w:pStyle w:val="Table-Header"/>
            </w:pPr>
            <w:r>
              <w:t>IaaS</w:t>
            </w:r>
          </w:p>
        </w:tc>
        <w:tc>
          <w:tcPr>
            <w:tcW w:w="4955" w:type="dxa"/>
            <w:shd w:val="clear" w:color="auto" w:fill="008272"/>
          </w:tcPr>
          <w:p w14:paraId="1CBEE400" w14:textId="389AA193" w:rsidR="001F2F5E" w:rsidRPr="00ED6EED" w:rsidRDefault="001F2F5E">
            <w:pPr>
              <w:pStyle w:val="Table-Header"/>
            </w:pPr>
            <w:r>
              <w:t>PaaS</w:t>
            </w:r>
          </w:p>
        </w:tc>
      </w:tr>
      <w:tr w:rsidR="009328F3" w:rsidRPr="00ED6EED" w14:paraId="0EE7DD9D" w14:textId="77777777" w:rsidTr="009328F3">
        <w:tc>
          <w:tcPr>
            <w:tcW w:w="2875" w:type="dxa"/>
          </w:tcPr>
          <w:p w14:paraId="70DE9E52" w14:textId="133B7074" w:rsidR="009328F3" w:rsidRPr="001F2F5E" w:rsidRDefault="009328F3" w:rsidP="009328F3">
            <w:r w:rsidRPr="00FD6F10">
              <w:t>SQL Server</w:t>
            </w:r>
          </w:p>
        </w:tc>
        <w:tc>
          <w:tcPr>
            <w:tcW w:w="1530" w:type="dxa"/>
          </w:tcPr>
          <w:p w14:paraId="21AD78F4" w14:textId="4F311E87" w:rsidR="009328F3" w:rsidRPr="00ED6EED" w:rsidRDefault="009328F3" w:rsidP="009328F3">
            <w:pPr>
              <w:pStyle w:val="TableText"/>
            </w:pPr>
            <w:r>
              <w:t>Yes</w:t>
            </w:r>
          </w:p>
        </w:tc>
        <w:tc>
          <w:tcPr>
            <w:tcW w:w="4955" w:type="dxa"/>
          </w:tcPr>
          <w:p w14:paraId="70A2A797" w14:textId="0E0366B0" w:rsidR="008025E5" w:rsidRDefault="008025E5" w:rsidP="00E52457">
            <w:pPr>
              <w:pStyle w:val="TableText"/>
              <w:contextualSpacing/>
            </w:pPr>
            <w:r>
              <w:t>Azure SQL Database</w:t>
            </w:r>
          </w:p>
          <w:p w14:paraId="276CAAF9" w14:textId="5ED317DB" w:rsidR="009328F3" w:rsidRPr="00ED6EED" w:rsidRDefault="008025E5" w:rsidP="00E52457">
            <w:pPr>
              <w:pStyle w:val="TableText"/>
              <w:contextualSpacing/>
            </w:pPr>
            <w:r>
              <w:t>Azure SQL Managed Instance</w:t>
            </w:r>
          </w:p>
        </w:tc>
      </w:tr>
      <w:tr w:rsidR="000F4360" w:rsidRPr="00ED6EED" w14:paraId="1CFB7A22" w14:textId="77777777">
        <w:tc>
          <w:tcPr>
            <w:tcW w:w="9360" w:type="dxa"/>
            <w:gridSpan w:val="3"/>
          </w:tcPr>
          <w:p w14:paraId="0175BDB5" w14:textId="3DD94437" w:rsidR="000F4360" w:rsidRPr="000F4360" w:rsidRDefault="000F4360" w:rsidP="008025E5">
            <w:pPr>
              <w:pStyle w:val="TableText"/>
              <w:rPr>
                <w:b/>
                <w:bCs/>
              </w:rPr>
            </w:pPr>
            <w:r w:rsidRPr="000F4360">
              <w:rPr>
                <w:b/>
                <w:bCs/>
              </w:rPr>
              <w:t xml:space="preserve">Non-SQL Server </w:t>
            </w:r>
            <w:r w:rsidR="00422C23">
              <w:rPr>
                <w:b/>
                <w:bCs/>
              </w:rPr>
              <w:t>d</w:t>
            </w:r>
            <w:r w:rsidRPr="000F4360">
              <w:rPr>
                <w:b/>
                <w:bCs/>
              </w:rPr>
              <w:t>atabases</w:t>
            </w:r>
          </w:p>
        </w:tc>
      </w:tr>
      <w:tr w:rsidR="000F4360" w:rsidRPr="00ED6EED" w14:paraId="399FFB3E" w14:textId="77777777" w:rsidTr="009328F3">
        <w:tc>
          <w:tcPr>
            <w:tcW w:w="2875" w:type="dxa"/>
          </w:tcPr>
          <w:p w14:paraId="23004A31" w14:textId="6A55D75F" w:rsidR="000F4360" w:rsidRPr="001F2F5E" w:rsidRDefault="000F4360" w:rsidP="000F4360">
            <w:r w:rsidRPr="00FD6F10">
              <w:t>Oracle</w:t>
            </w:r>
          </w:p>
        </w:tc>
        <w:tc>
          <w:tcPr>
            <w:tcW w:w="1530" w:type="dxa"/>
          </w:tcPr>
          <w:p w14:paraId="5D2B02C8" w14:textId="1876F6CB" w:rsidR="000F4360" w:rsidRPr="00ED6EED" w:rsidRDefault="000F4360" w:rsidP="000F4360">
            <w:pPr>
              <w:pStyle w:val="TableText"/>
            </w:pPr>
            <w:r>
              <w:t>Yes</w:t>
            </w:r>
          </w:p>
        </w:tc>
        <w:tc>
          <w:tcPr>
            <w:tcW w:w="4955" w:type="dxa"/>
          </w:tcPr>
          <w:p w14:paraId="56168959" w14:textId="77E36228" w:rsidR="000F4360" w:rsidRPr="00ED6EED" w:rsidRDefault="00CD481E" w:rsidP="000F4360">
            <w:pPr>
              <w:pStyle w:val="TableText"/>
            </w:pPr>
            <w:r>
              <w:t>Not applicable (</w:t>
            </w:r>
            <w:r w:rsidR="000F4360" w:rsidRPr="003C3B44">
              <w:t>N/A</w:t>
            </w:r>
            <w:r>
              <w:t>)</w:t>
            </w:r>
          </w:p>
        </w:tc>
      </w:tr>
      <w:tr w:rsidR="000F4360" w:rsidRPr="00ED6EED" w14:paraId="57067381" w14:textId="77777777" w:rsidTr="009328F3">
        <w:tc>
          <w:tcPr>
            <w:tcW w:w="2875" w:type="dxa"/>
          </w:tcPr>
          <w:p w14:paraId="3BDC8828" w14:textId="7A34516B" w:rsidR="000F4360" w:rsidRPr="001F2F5E" w:rsidRDefault="000F4360" w:rsidP="000F4360">
            <w:r w:rsidRPr="00FD6F10">
              <w:t>PostgreSQL</w:t>
            </w:r>
          </w:p>
        </w:tc>
        <w:tc>
          <w:tcPr>
            <w:tcW w:w="1530" w:type="dxa"/>
          </w:tcPr>
          <w:p w14:paraId="166038CE" w14:textId="71F8BBC8" w:rsidR="000F4360" w:rsidRPr="00ED6EED" w:rsidRDefault="000F4360" w:rsidP="000F4360">
            <w:pPr>
              <w:pStyle w:val="TableText"/>
            </w:pPr>
            <w:r>
              <w:t>Yes</w:t>
            </w:r>
          </w:p>
        </w:tc>
        <w:tc>
          <w:tcPr>
            <w:tcW w:w="4955" w:type="dxa"/>
          </w:tcPr>
          <w:p w14:paraId="046FFB40" w14:textId="0F2B5D34" w:rsidR="000F4360" w:rsidRPr="00ED6EED" w:rsidRDefault="000F4360" w:rsidP="000F4360">
            <w:pPr>
              <w:pStyle w:val="TableText"/>
            </w:pPr>
            <w:r w:rsidRPr="003C3B44">
              <w:t>Azure Database for PostgreSQL</w:t>
            </w:r>
          </w:p>
        </w:tc>
      </w:tr>
      <w:tr w:rsidR="000F4360" w:rsidRPr="00ED6EED" w14:paraId="69527138" w14:textId="77777777" w:rsidTr="009328F3">
        <w:tc>
          <w:tcPr>
            <w:tcW w:w="2875" w:type="dxa"/>
          </w:tcPr>
          <w:p w14:paraId="54787484" w14:textId="44246404" w:rsidR="000F4360" w:rsidRPr="001F2F5E" w:rsidRDefault="000F4360" w:rsidP="000F4360">
            <w:r w:rsidRPr="00FD6F10">
              <w:t>MySQL</w:t>
            </w:r>
          </w:p>
        </w:tc>
        <w:tc>
          <w:tcPr>
            <w:tcW w:w="1530" w:type="dxa"/>
          </w:tcPr>
          <w:p w14:paraId="2C1AD6F4" w14:textId="5DE03CC5" w:rsidR="000F4360" w:rsidRPr="00ED6EED" w:rsidRDefault="000F4360" w:rsidP="000F4360">
            <w:pPr>
              <w:pStyle w:val="TableText"/>
            </w:pPr>
            <w:r>
              <w:t>Yes</w:t>
            </w:r>
          </w:p>
        </w:tc>
        <w:tc>
          <w:tcPr>
            <w:tcW w:w="4955" w:type="dxa"/>
          </w:tcPr>
          <w:p w14:paraId="1CB510CE" w14:textId="0DA3512F" w:rsidR="000F4360" w:rsidRPr="00ED6EED" w:rsidRDefault="000F4360" w:rsidP="000F4360">
            <w:pPr>
              <w:pStyle w:val="TableText"/>
            </w:pPr>
            <w:r w:rsidRPr="003C3B44">
              <w:t>Azure Database for MySQL</w:t>
            </w:r>
          </w:p>
        </w:tc>
      </w:tr>
      <w:tr w:rsidR="000F4360" w:rsidRPr="00ED6EED" w14:paraId="3E1FF91F" w14:textId="77777777" w:rsidTr="009328F3">
        <w:tc>
          <w:tcPr>
            <w:tcW w:w="2875" w:type="dxa"/>
          </w:tcPr>
          <w:p w14:paraId="62DC971B" w14:textId="431DC7E4" w:rsidR="000F4360" w:rsidRPr="001F2F5E" w:rsidRDefault="000F4360" w:rsidP="000F4360">
            <w:r w:rsidRPr="00FD6F10">
              <w:t>MariaDB</w:t>
            </w:r>
          </w:p>
        </w:tc>
        <w:tc>
          <w:tcPr>
            <w:tcW w:w="1530" w:type="dxa"/>
          </w:tcPr>
          <w:p w14:paraId="439DC631" w14:textId="60436F2F" w:rsidR="000F4360" w:rsidRPr="00ED6EED" w:rsidRDefault="000F4360" w:rsidP="000F4360">
            <w:pPr>
              <w:pStyle w:val="TableText"/>
            </w:pPr>
            <w:r>
              <w:t>Yes</w:t>
            </w:r>
          </w:p>
        </w:tc>
        <w:tc>
          <w:tcPr>
            <w:tcW w:w="4955" w:type="dxa"/>
          </w:tcPr>
          <w:p w14:paraId="16C92869" w14:textId="12567BD0" w:rsidR="000F4360" w:rsidRPr="00ED6EED" w:rsidRDefault="000F4360" w:rsidP="000F4360">
            <w:pPr>
              <w:pStyle w:val="TableText"/>
            </w:pPr>
            <w:r w:rsidRPr="003C3B44">
              <w:t>Azure Dat</w:t>
            </w:r>
            <w:r w:rsidR="009B6ED1">
              <w:t>a</w:t>
            </w:r>
            <w:r w:rsidRPr="003C3B44">
              <w:t>base for MariaDB</w:t>
            </w:r>
          </w:p>
        </w:tc>
      </w:tr>
      <w:tr w:rsidR="000F4360" w:rsidRPr="00ED6EED" w14:paraId="1D86D16B" w14:textId="77777777" w:rsidTr="009328F3">
        <w:tc>
          <w:tcPr>
            <w:tcW w:w="2875" w:type="dxa"/>
          </w:tcPr>
          <w:p w14:paraId="702D8AA0" w14:textId="688A58E2" w:rsidR="000F4360" w:rsidRPr="001F2F5E" w:rsidRDefault="000F4360" w:rsidP="000F4360">
            <w:r w:rsidRPr="00FD6F10">
              <w:t>Sybase</w:t>
            </w:r>
          </w:p>
        </w:tc>
        <w:tc>
          <w:tcPr>
            <w:tcW w:w="1530" w:type="dxa"/>
          </w:tcPr>
          <w:p w14:paraId="3B157839" w14:textId="4294339C" w:rsidR="000F4360" w:rsidRPr="00ED6EED" w:rsidRDefault="000F4360" w:rsidP="000F4360">
            <w:pPr>
              <w:pStyle w:val="TableText"/>
            </w:pPr>
            <w:r>
              <w:t>Yes</w:t>
            </w:r>
          </w:p>
        </w:tc>
        <w:tc>
          <w:tcPr>
            <w:tcW w:w="4955" w:type="dxa"/>
          </w:tcPr>
          <w:p w14:paraId="1E2C1DFA" w14:textId="19E22B5C" w:rsidR="000F4360" w:rsidRPr="00ED6EED" w:rsidRDefault="000F4360" w:rsidP="000F4360">
            <w:pPr>
              <w:pStyle w:val="TableText"/>
            </w:pPr>
            <w:r w:rsidRPr="003C3B44">
              <w:t>N/A</w:t>
            </w:r>
          </w:p>
        </w:tc>
      </w:tr>
      <w:tr w:rsidR="000F4360" w:rsidRPr="00ED6EED" w14:paraId="2B5C0D99" w14:textId="77777777" w:rsidTr="009328F3">
        <w:tc>
          <w:tcPr>
            <w:tcW w:w="2875" w:type="dxa"/>
          </w:tcPr>
          <w:p w14:paraId="581CC84B" w14:textId="1E80B4E3" w:rsidR="000F4360" w:rsidRPr="001F2F5E" w:rsidRDefault="000F4360" w:rsidP="000F4360">
            <w:r w:rsidRPr="00FD6F10">
              <w:t>DB/2</w:t>
            </w:r>
          </w:p>
        </w:tc>
        <w:tc>
          <w:tcPr>
            <w:tcW w:w="1530" w:type="dxa"/>
          </w:tcPr>
          <w:p w14:paraId="3D0537B8" w14:textId="40E78544" w:rsidR="000F4360" w:rsidRPr="009328F3" w:rsidRDefault="000F4360" w:rsidP="000F4360">
            <w:pPr>
              <w:pStyle w:val="TableText"/>
            </w:pPr>
            <w:r w:rsidRPr="009328F3">
              <w:t>Yes</w:t>
            </w:r>
          </w:p>
        </w:tc>
        <w:tc>
          <w:tcPr>
            <w:tcW w:w="4955" w:type="dxa"/>
          </w:tcPr>
          <w:p w14:paraId="633CB797" w14:textId="14A61B00" w:rsidR="000F4360" w:rsidRPr="000155A8" w:rsidRDefault="000F4360" w:rsidP="000F4360">
            <w:pPr>
              <w:pStyle w:val="TableText"/>
              <w:rPr>
                <w:b/>
                <w:bCs/>
              </w:rPr>
            </w:pPr>
            <w:r w:rsidRPr="003C3B44">
              <w:t>N/A</w:t>
            </w:r>
          </w:p>
        </w:tc>
      </w:tr>
      <w:tr w:rsidR="000F4360" w:rsidRPr="00ED6EED" w14:paraId="7CBA08C1" w14:textId="77777777" w:rsidTr="009328F3">
        <w:tc>
          <w:tcPr>
            <w:tcW w:w="2875" w:type="dxa"/>
          </w:tcPr>
          <w:p w14:paraId="05827616" w14:textId="4AA839B0" w:rsidR="000F4360" w:rsidRPr="001F2F5E" w:rsidRDefault="000F4360" w:rsidP="000F4360">
            <w:r w:rsidRPr="00FD6F10">
              <w:t>NoSQL</w:t>
            </w:r>
          </w:p>
        </w:tc>
        <w:tc>
          <w:tcPr>
            <w:tcW w:w="1530" w:type="dxa"/>
          </w:tcPr>
          <w:p w14:paraId="3683ADD1" w14:textId="57348719" w:rsidR="000F4360" w:rsidRPr="009328F3" w:rsidRDefault="000F4360" w:rsidP="000F4360">
            <w:pPr>
              <w:pStyle w:val="TableText"/>
            </w:pPr>
            <w:r w:rsidRPr="009328F3">
              <w:t>No</w:t>
            </w:r>
          </w:p>
        </w:tc>
        <w:tc>
          <w:tcPr>
            <w:tcW w:w="4955" w:type="dxa"/>
          </w:tcPr>
          <w:p w14:paraId="78F8D2C0" w14:textId="4294B0CB" w:rsidR="000F4360" w:rsidRPr="00ED6EED" w:rsidRDefault="000F4360" w:rsidP="000F4360">
            <w:pPr>
              <w:pStyle w:val="TableText"/>
            </w:pPr>
            <w:r w:rsidRPr="003C3B44">
              <w:t>Azure Cosmos DB</w:t>
            </w:r>
            <w:r w:rsidR="00651069">
              <w:t>—The a</w:t>
            </w:r>
            <w:r w:rsidRPr="000F4360">
              <w:t>pplication must be compatible with an available Azure Cosmos DB NoSQL API</w:t>
            </w:r>
            <w:r w:rsidR="00651069">
              <w:t>.</w:t>
            </w:r>
          </w:p>
        </w:tc>
      </w:tr>
    </w:tbl>
    <w:p w14:paraId="3513E626" w14:textId="77777777" w:rsidR="003A4C73" w:rsidRDefault="003A4C73" w:rsidP="00024E96">
      <w:pPr>
        <w:pStyle w:val="TableText"/>
        <w:rPr>
          <w:rFonts w:eastAsiaTheme="minorHAnsi"/>
        </w:rPr>
      </w:pPr>
    </w:p>
    <w:tbl>
      <w:tblPr>
        <w:tblStyle w:val="TableGrid"/>
        <w:tblW w:w="9355" w:type="dxa"/>
        <w:tblLook w:val="04A0" w:firstRow="1" w:lastRow="0" w:firstColumn="1" w:lastColumn="0" w:noHBand="0" w:noVBand="1"/>
      </w:tblPr>
      <w:tblGrid>
        <w:gridCol w:w="3685"/>
        <w:gridCol w:w="5670"/>
      </w:tblGrid>
      <w:tr w:rsidR="007E731A" w:rsidRPr="00ED6EED" w14:paraId="07E0541F" w14:textId="77777777" w:rsidTr="00911633">
        <w:tc>
          <w:tcPr>
            <w:tcW w:w="3685" w:type="dxa"/>
            <w:shd w:val="clear" w:color="auto" w:fill="008272"/>
          </w:tcPr>
          <w:p w14:paraId="2EC31E02" w14:textId="77777777" w:rsidR="007E731A" w:rsidRPr="00ED6EED" w:rsidRDefault="007E731A">
            <w:pPr>
              <w:pStyle w:val="Table-Header"/>
            </w:pPr>
            <w:r>
              <w:t>Activity</w:t>
            </w:r>
          </w:p>
        </w:tc>
        <w:tc>
          <w:tcPr>
            <w:tcW w:w="5670" w:type="dxa"/>
            <w:shd w:val="clear" w:color="auto" w:fill="008272"/>
          </w:tcPr>
          <w:p w14:paraId="0E6305C0" w14:textId="7F184387" w:rsidR="007E731A" w:rsidRPr="00ED6EED" w:rsidRDefault="00C00F7A">
            <w:pPr>
              <w:pStyle w:val="Table-Header"/>
            </w:pPr>
            <w:r>
              <w:t>Database</w:t>
            </w:r>
            <w:r w:rsidR="007E731A" w:rsidRPr="00ED6EED">
              <w:t xml:space="preserve"> </w:t>
            </w:r>
            <w:r w:rsidR="007E731A">
              <w:t>c</w:t>
            </w:r>
            <w:r w:rsidR="007E731A" w:rsidRPr="00ED6EED">
              <w:t>ount</w:t>
            </w:r>
          </w:p>
        </w:tc>
      </w:tr>
      <w:tr w:rsidR="007E731A" w:rsidRPr="00ED6EED" w14:paraId="50B3597F" w14:textId="77777777" w:rsidTr="00911633">
        <w:tc>
          <w:tcPr>
            <w:tcW w:w="3685" w:type="dxa"/>
          </w:tcPr>
          <w:p w14:paraId="4407D3AC" w14:textId="5D4F386E" w:rsidR="007E731A" w:rsidRPr="002A5B4D" w:rsidRDefault="00B606D9">
            <w:r w:rsidRPr="002A5B4D">
              <w:t xml:space="preserve">AMS </w:t>
            </w:r>
            <w:r w:rsidR="007E731A" w:rsidRPr="002A5B4D">
              <w:t xml:space="preserve">SQL Server </w:t>
            </w:r>
            <w:r w:rsidR="00651069">
              <w:t>m</w:t>
            </w:r>
            <w:r w:rsidR="007E731A" w:rsidRPr="002A5B4D">
              <w:t>igrations</w:t>
            </w:r>
          </w:p>
        </w:tc>
        <w:tc>
          <w:tcPr>
            <w:tcW w:w="5670" w:type="dxa"/>
          </w:tcPr>
          <w:p w14:paraId="7B503FFA" w14:textId="45AD2EDA" w:rsidR="007E731A" w:rsidRPr="00ED6EED" w:rsidRDefault="007E731A">
            <w:pPr>
              <w:rPr>
                <w:i/>
                <w:iCs/>
                <w:color w:val="FF00FF"/>
              </w:rPr>
            </w:pPr>
            <w:r w:rsidRPr="00ED6EED">
              <w:rPr>
                <w:i/>
                <w:iCs/>
                <w:color w:val="FF00FF"/>
              </w:rPr>
              <w:t>[</w:t>
            </w:r>
            <w:r w:rsidR="00911633">
              <w:rPr>
                <w:i/>
                <w:iCs/>
                <w:color w:val="FF00FF"/>
              </w:rPr>
              <w:t>AMS SQL</w:t>
            </w:r>
            <w:r w:rsidRPr="00ED6EED">
              <w:rPr>
                <w:i/>
                <w:iCs/>
                <w:color w:val="FF00FF"/>
              </w:rPr>
              <w:t xml:space="preserve"> count</w:t>
            </w:r>
            <w:r w:rsidR="002F16C1">
              <w:rPr>
                <w:i/>
                <w:iCs/>
                <w:color w:val="FF00FF"/>
              </w:rPr>
              <w:t>]</w:t>
            </w:r>
          </w:p>
        </w:tc>
      </w:tr>
      <w:tr w:rsidR="007E731A" w:rsidRPr="00ED6EED" w14:paraId="6BDE7C4C" w14:textId="77777777" w:rsidTr="00911633">
        <w:tc>
          <w:tcPr>
            <w:tcW w:w="3685" w:type="dxa"/>
          </w:tcPr>
          <w:p w14:paraId="0B7D4AC3" w14:textId="4334C840" w:rsidR="007E731A" w:rsidRPr="002A5B4D" w:rsidRDefault="00911633">
            <w:r w:rsidRPr="002A5B4D">
              <w:t xml:space="preserve">CMS SQL Server </w:t>
            </w:r>
            <w:r w:rsidR="00651069">
              <w:t>m</w:t>
            </w:r>
            <w:r w:rsidRPr="002A5B4D">
              <w:t xml:space="preserve">igrations </w:t>
            </w:r>
          </w:p>
        </w:tc>
        <w:tc>
          <w:tcPr>
            <w:tcW w:w="5670" w:type="dxa"/>
          </w:tcPr>
          <w:p w14:paraId="60A9C459" w14:textId="07628FE9" w:rsidR="007E731A" w:rsidRPr="00ED6EED" w:rsidRDefault="007E731A">
            <w:pPr>
              <w:rPr>
                <w:i/>
                <w:iCs/>
                <w:color w:val="FF00FF"/>
              </w:rPr>
            </w:pPr>
            <w:r w:rsidRPr="00ED6EED">
              <w:rPr>
                <w:i/>
                <w:iCs/>
                <w:color w:val="FF00FF"/>
              </w:rPr>
              <w:t>[</w:t>
            </w:r>
            <w:r w:rsidR="00911633">
              <w:rPr>
                <w:i/>
                <w:iCs/>
                <w:color w:val="FF00FF"/>
              </w:rPr>
              <w:t>CMS SQL</w:t>
            </w:r>
            <w:r w:rsidRPr="00ED6EED">
              <w:rPr>
                <w:i/>
                <w:iCs/>
                <w:color w:val="FF00FF"/>
              </w:rPr>
              <w:t xml:space="preserve"> count]</w:t>
            </w:r>
          </w:p>
        </w:tc>
      </w:tr>
      <w:tr w:rsidR="00ED7737" w:rsidRPr="00ED6EED" w14:paraId="33C5E6A1" w14:textId="77777777" w:rsidTr="00911633">
        <w:tc>
          <w:tcPr>
            <w:tcW w:w="3685" w:type="dxa"/>
          </w:tcPr>
          <w:p w14:paraId="3F96A4D9" w14:textId="5AF3157E" w:rsidR="00ED7737" w:rsidRPr="002A5B4D" w:rsidRDefault="00ED7737">
            <w:r w:rsidRPr="002A5B4D">
              <w:t xml:space="preserve">Total SQL Server </w:t>
            </w:r>
            <w:r w:rsidR="00651069">
              <w:t>m</w:t>
            </w:r>
            <w:r w:rsidRPr="002A5B4D">
              <w:t>igrations</w:t>
            </w:r>
            <w:r w:rsidR="00FB77D9" w:rsidRPr="002A5B4D">
              <w:t>*</w:t>
            </w:r>
          </w:p>
        </w:tc>
        <w:tc>
          <w:tcPr>
            <w:tcW w:w="5670" w:type="dxa"/>
          </w:tcPr>
          <w:p w14:paraId="113EDD8B" w14:textId="49557890" w:rsidR="00ED7737" w:rsidRPr="000155A8" w:rsidRDefault="0064017D">
            <w:pPr>
              <w:rPr>
                <w:b/>
                <w:bCs/>
                <w:i/>
                <w:iCs/>
                <w:color w:val="FF00FF"/>
              </w:rPr>
            </w:pPr>
            <w:r w:rsidRPr="000155A8">
              <w:rPr>
                <w:b/>
                <w:bCs/>
                <w:i/>
                <w:iCs/>
                <w:color w:val="FF00FF"/>
              </w:rPr>
              <w:t>[</w:t>
            </w:r>
            <w:r w:rsidR="000155A8" w:rsidRPr="000155A8">
              <w:rPr>
                <w:b/>
                <w:bCs/>
                <w:i/>
                <w:iCs/>
                <w:color w:val="FF00FF"/>
              </w:rPr>
              <w:t>Sum</w:t>
            </w:r>
            <w:r w:rsidRPr="000155A8">
              <w:rPr>
                <w:b/>
                <w:bCs/>
                <w:i/>
                <w:iCs/>
                <w:color w:val="FF00FF"/>
              </w:rPr>
              <w:t xml:space="preserve"> SQL Server Databases</w:t>
            </w:r>
            <w:r w:rsidR="00FB77D9" w:rsidRPr="000155A8">
              <w:rPr>
                <w:b/>
                <w:bCs/>
                <w:i/>
                <w:iCs/>
                <w:color w:val="FF00FF"/>
              </w:rPr>
              <w:t>]</w:t>
            </w:r>
          </w:p>
        </w:tc>
      </w:tr>
      <w:tr w:rsidR="00911633" w:rsidRPr="00ED6EED" w14:paraId="2075377B" w14:textId="77777777" w:rsidTr="00911633">
        <w:tc>
          <w:tcPr>
            <w:tcW w:w="3685" w:type="dxa"/>
          </w:tcPr>
          <w:p w14:paraId="7413125F" w14:textId="362E602E" w:rsidR="00911633" w:rsidRPr="002A5B4D" w:rsidRDefault="00911633">
            <w:r w:rsidRPr="002A5B4D">
              <w:t xml:space="preserve">AMS </w:t>
            </w:r>
            <w:r w:rsidR="00651069">
              <w:t>n</w:t>
            </w:r>
            <w:r w:rsidRPr="002A5B4D">
              <w:t xml:space="preserve">on-SQL Server </w:t>
            </w:r>
            <w:r w:rsidR="00651069">
              <w:t>m</w:t>
            </w:r>
            <w:r w:rsidRPr="002A5B4D">
              <w:t>igrations</w:t>
            </w:r>
          </w:p>
        </w:tc>
        <w:tc>
          <w:tcPr>
            <w:tcW w:w="5670" w:type="dxa"/>
          </w:tcPr>
          <w:p w14:paraId="1AB4AD9E" w14:textId="49E4D784" w:rsidR="00911633" w:rsidRPr="00ED6EED" w:rsidRDefault="00911633">
            <w:pPr>
              <w:rPr>
                <w:i/>
                <w:iCs/>
                <w:color w:val="FF00FF"/>
              </w:rPr>
            </w:pPr>
            <w:r w:rsidRPr="00ED6EED">
              <w:rPr>
                <w:i/>
                <w:iCs/>
                <w:color w:val="FF00FF"/>
              </w:rPr>
              <w:t>[</w:t>
            </w:r>
            <w:r>
              <w:rPr>
                <w:i/>
                <w:iCs/>
                <w:color w:val="FF00FF"/>
              </w:rPr>
              <w:t>AMS Non-SQL</w:t>
            </w:r>
            <w:r w:rsidRPr="00ED6EED">
              <w:rPr>
                <w:i/>
                <w:iCs/>
                <w:color w:val="FF00FF"/>
              </w:rPr>
              <w:t xml:space="preserve"> count]</w:t>
            </w:r>
          </w:p>
        </w:tc>
      </w:tr>
      <w:tr w:rsidR="00911633" w:rsidRPr="00ED6EED" w14:paraId="73D86301" w14:textId="77777777" w:rsidTr="00911633">
        <w:tc>
          <w:tcPr>
            <w:tcW w:w="3685" w:type="dxa"/>
          </w:tcPr>
          <w:p w14:paraId="6E651611" w14:textId="481BA9C3" w:rsidR="00911633" w:rsidRPr="002A5B4D" w:rsidRDefault="00911633">
            <w:r w:rsidRPr="002A5B4D">
              <w:lastRenderedPageBreak/>
              <w:t xml:space="preserve">ARS </w:t>
            </w:r>
            <w:r w:rsidR="00532B0D">
              <w:t>n</w:t>
            </w:r>
            <w:r w:rsidRPr="002A5B4D">
              <w:t xml:space="preserve">on-SQL Server </w:t>
            </w:r>
            <w:r w:rsidR="00532B0D">
              <w:t>m</w:t>
            </w:r>
            <w:r w:rsidRPr="002A5B4D">
              <w:t>igrations</w:t>
            </w:r>
          </w:p>
        </w:tc>
        <w:tc>
          <w:tcPr>
            <w:tcW w:w="5670" w:type="dxa"/>
          </w:tcPr>
          <w:p w14:paraId="370C745A" w14:textId="724CE536" w:rsidR="00911633" w:rsidRPr="00ED6EED" w:rsidRDefault="00911633">
            <w:pPr>
              <w:rPr>
                <w:i/>
                <w:iCs/>
                <w:color w:val="FF00FF"/>
              </w:rPr>
            </w:pPr>
            <w:r w:rsidRPr="00ED6EED">
              <w:rPr>
                <w:i/>
                <w:iCs/>
                <w:color w:val="FF00FF"/>
              </w:rPr>
              <w:t>[</w:t>
            </w:r>
            <w:r>
              <w:rPr>
                <w:i/>
                <w:iCs/>
                <w:color w:val="FF00FF"/>
              </w:rPr>
              <w:t>ARS Non-SQL</w:t>
            </w:r>
            <w:r w:rsidRPr="00ED6EED">
              <w:rPr>
                <w:i/>
                <w:iCs/>
                <w:color w:val="FF00FF"/>
              </w:rPr>
              <w:t xml:space="preserve"> count]</w:t>
            </w:r>
          </w:p>
        </w:tc>
      </w:tr>
      <w:tr w:rsidR="00911633" w:rsidRPr="00ED6EED" w14:paraId="7FE397D9" w14:textId="77777777" w:rsidTr="00911633">
        <w:tc>
          <w:tcPr>
            <w:tcW w:w="3685" w:type="dxa"/>
          </w:tcPr>
          <w:p w14:paraId="591DEF65" w14:textId="5B022414" w:rsidR="00911633" w:rsidRPr="002A5B4D" w:rsidRDefault="00911633">
            <w:r w:rsidRPr="002A5B4D">
              <w:t xml:space="preserve">CMS </w:t>
            </w:r>
            <w:r w:rsidR="00532B0D">
              <w:t>n</w:t>
            </w:r>
            <w:r w:rsidRPr="002A5B4D">
              <w:t xml:space="preserve">on-SQL Server </w:t>
            </w:r>
            <w:r w:rsidR="00532B0D">
              <w:t>m</w:t>
            </w:r>
            <w:r w:rsidRPr="002A5B4D">
              <w:t>igrations</w:t>
            </w:r>
          </w:p>
        </w:tc>
        <w:tc>
          <w:tcPr>
            <w:tcW w:w="5670" w:type="dxa"/>
          </w:tcPr>
          <w:p w14:paraId="6C75D7C5" w14:textId="5A93482F" w:rsidR="00911633" w:rsidRPr="00ED6EED" w:rsidRDefault="00911633">
            <w:pPr>
              <w:rPr>
                <w:i/>
                <w:iCs/>
                <w:color w:val="FF00FF"/>
              </w:rPr>
            </w:pPr>
            <w:r w:rsidRPr="00ED6EED">
              <w:rPr>
                <w:i/>
                <w:iCs/>
                <w:color w:val="FF00FF"/>
              </w:rPr>
              <w:t>[</w:t>
            </w:r>
            <w:r>
              <w:rPr>
                <w:i/>
                <w:iCs/>
                <w:color w:val="FF00FF"/>
              </w:rPr>
              <w:t>CMS Non-SQL</w:t>
            </w:r>
            <w:r w:rsidRPr="00ED6EED">
              <w:rPr>
                <w:i/>
                <w:iCs/>
                <w:color w:val="FF00FF"/>
              </w:rPr>
              <w:t xml:space="preserve"> count]</w:t>
            </w:r>
          </w:p>
        </w:tc>
      </w:tr>
      <w:tr w:rsidR="00ED7737" w:rsidRPr="00ED6EED" w14:paraId="0A1FFD6F" w14:textId="77777777" w:rsidTr="00911633">
        <w:tc>
          <w:tcPr>
            <w:tcW w:w="3685" w:type="dxa"/>
          </w:tcPr>
          <w:p w14:paraId="2C3AA894" w14:textId="2EACDD98" w:rsidR="00ED7737" w:rsidRPr="00532B0D" w:rsidRDefault="00ED7737">
            <w:pPr>
              <w:rPr>
                <w:b/>
                <w:bCs/>
              </w:rPr>
            </w:pPr>
            <w:r w:rsidRPr="00532B0D">
              <w:rPr>
                <w:b/>
                <w:bCs/>
              </w:rPr>
              <w:t xml:space="preserve">Total </w:t>
            </w:r>
            <w:r w:rsidR="00532B0D" w:rsidRPr="002A5B4D">
              <w:rPr>
                <w:b/>
                <w:bCs/>
              </w:rPr>
              <w:t>n</w:t>
            </w:r>
            <w:r w:rsidRPr="00532B0D">
              <w:rPr>
                <w:b/>
                <w:bCs/>
              </w:rPr>
              <w:t xml:space="preserve">on-SQL Server </w:t>
            </w:r>
            <w:r w:rsidR="00532B0D" w:rsidRPr="002A5B4D">
              <w:rPr>
                <w:b/>
                <w:bCs/>
              </w:rPr>
              <w:t>m</w:t>
            </w:r>
            <w:r w:rsidRPr="00532B0D">
              <w:rPr>
                <w:b/>
                <w:bCs/>
              </w:rPr>
              <w:t>igrations</w:t>
            </w:r>
          </w:p>
        </w:tc>
        <w:tc>
          <w:tcPr>
            <w:tcW w:w="5670" w:type="dxa"/>
          </w:tcPr>
          <w:p w14:paraId="61621081" w14:textId="77F497F2" w:rsidR="00ED7737" w:rsidRPr="000155A8" w:rsidRDefault="002F16C1">
            <w:pPr>
              <w:rPr>
                <w:b/>
                <w:bCs/>
                <w:i/>
                <w:iCs/>
                <w:color w:val="FF00FF"/>
              </w:rPr>
            </w:pPr>
            <w:r w:rsidRPr="000155A8">
              <w:rPr>
                <w:b/>
                <w:bCs/>
                <w:i/>
                <w:iCs/>
                <w:color w:val="FF00FF"/>
              </w:rPr>
              <w:t>[</w:t>
            </w:r>
            <w:r w:rsidR="000155A8" w:rsidRPr="000155A8">
              <w:rPr>
                <w:b/>
                <w:bCs/>
                <w:i/>
                <w:iCs/>
                <w:color w:val="FF00FF"/>
              </w:rPr>
              <w:t>Sum</w:t>
            </w:r>
            <w:r w:rsidRPr="000155A8">
              <w:rPr>
                <w:b/>
                <w:bCs/>
                <w:i/>
                <w:iCs/>
                <w:color w:val="FF00FF"/>
              </w:rPr>
              <w:t xml:space="preserve"> Non-SQL Server Databases]</w:t>
            </w:r>
          </w:p>
        </w:tc>
      </w:tr>
    </w:tbl>
    <w:p w14:paraId="4D5881CF" w14:textId="38BDE62A" w:rsidR="00FB77D9" w:rsidRDefault="00FB77D9" w:rsidP="002A5B4D">
      <w:pPr>
        <w:pStyle w:val="TableText"/>
        <w:tabs>
          <w:tab w:val="left" w:pos="6120"/>
        </w:tabs>
        <w:rPr>
          <w:rFonts w:eastAsiaTheme="minorHAnsi"/>
          <w:b/>
          <w:bCs/>
        </w:rPr>
      </w:pPr>
      <w:r>
        <w:rPr>
          <w:rFonts w:eastAsiaTheme="minorHAnsi"/>
          <w:b/>
          <w:bCs/>
        </w:rPr>
        <w:t>*</w:t>
      </w:r>
      <w:r w:rsidRPr="00FB77D9">
        <w:rPr>
          <w:rFonts w:eastAsiaTheme="minorHAnsi"/>
        </w:rPr>
        <w:t xml:space="preserve">ARS migrates SQL Server databases as part of its </w:t>
      </w:r>
      <w:r w:rsidR="00096C94">
        <w:rPr>
          <w:rFonts w:eastAsiaTheme="minorHAnsi"/>
        </w:rPr>
        <w:t xml:space="preserve">core </w:t>
      </w:r>
      <w:r w:rsidRPr="00FB77D9">
        <w:rPr>
          <w:rFonts w:eastAsiaTheme="minorHAnsi"/>
        </w:rPr>
        <w:t>service</w:t>
      </w:r>
      <w:r w:rsidR="002C4548">
        <w:rPr>
          <w:rFonts w:eastAsiaTheme="minorHAnsi"/>
        </w:rPr>
        <w:t>.</w:t>
      </w:r>
    </w:p>
    <w:p w14:paraId="3503A7EB" w14:textId="439B3B59" w:rsidR="00024E96" w:rsidRDefault="005A12F5" w:rsidP="002A5B4D">
      <w:pPr>
        <w:pStyle w:val="TableText"/>
        <w:numPr>
          <w:ilvl w:val="0"/>
          <w:numId w:val="61"/>
        </w:numPr>
        <w:ind w:left="360"/>
        <w:rPr>
          <w:rFonts w:eastAsiaTheme="minorHAnsi"/>
        </w:rPr>
      </w:pPr>
      <w:r w:rsidRPr="005A12F5">
        <w:rPr>
          <w:rFonts w:eastAsiaTheme="minorHAnsi"/>
          <w:b/>
          <w:bCs/>
        </w:rPr>
        <w:t xml:space="preserve">Data </w:t>
      </w:r>
      <w:r w:rsidR="00F017A4">
        <w:rPr>
          <w:rFonts w:eastAsiaTheme="minorHAnsi"/>
          <w:b/>
          <w:bCs/>
        </w:rPr>
        <w:t>m</w:t>
      </w:r>
      <w:r w:rsidRPr="005A12F5">
        <w:rPr>
          <w:rFonts w:eastAsiaTheme="minorHAnsi"/>
          <w:b/>
          <w:bCs/>
        </w:rPr>
        <w:t xml:space="preserve">odernization </w:t>
      </w:r>
      <w:r w:rsidR="00F017A4">
        <w:rPr>
          <w:rFonts w:eastAsiaTheme="minorHAnsi"/>
          <w:b/>
          <w:bCs/>
        </w:rPr>
        <w:t>s</w:t>
      </w:r>
      <w:r w:rsidRPr="005A12F5">
        <w:rPr>
          <w:rFonts w:eastAsiaTheme="minorHAnsi"/>
          <w:b/>
          <w:bCs/>
        </w:rPr>
        <w:t>ervices</w:t>
      </w:r>
      <w:r>
        <w:rPr>
          <w:rFonts w:eastAsiaTheme="minorHAnsi"/>
        </w:rPr>
        <w:t xml:space="preserve">: </w:t>
      </w:r>
      <w:r w:rsidR="00024E96" w:rsidRPr="008D018F">
        <w:rPr>
          <w:rFonts w:eastAsiaTheme="minorHAnsi"/>
        </w:rPr>
        <w:t>Refactor Oracle databases to Azure SQL Managed Instance or Azure Database for PostgreSQL along with data migration.</w:t>
      </w:r>
      <w:r w:rsidR="00024E96">
        <w:rPr>
          <w:rFonts w:eastAsiaTheme="minorHAnsi"/>
        </w:rPr>
        <w:t xml:space="preserve"> Databases are categorized into three in-scope complexity buckets consisting of Simple, Medium, and Complex as defined </w:t>
      </w:r>
      <w:r w:rsidR="004424E1">
        <w:rPr>
          <w:rFonts w:eastAsiaTheme="minorHAnsi"/>
        </w:rPr>
        <w:t>in the following table</w:t>
      </w:r>
      <w:r w:rsidR="00024E96">
        <w:rPr>
          <w:rFonts w:eastAsiaTheme="minorHAnsi"/>
        </w:rPr>
        <w:t>.</w:t>
      </w:r>
    </w:p>
    <w:tbl>
      <w:tblPr>
        <w:tblStyle w:val="TableGrid"/>
        <w:tblW w:w="0" w:type="auto"/>
        <w:tblLook w:val="04A0" w:firstRow="1" w:lastRow="0" w:firstColumn="1" w:lastColumn="0" w:noHBand="0" w:noVBand="1"/>
      </w:tblPr>
      <w:tblGrid>
        <w:gridCol w:w="1077"/>
        <w:gridCol w:w="1168"/>
        <w:gridCol w:w="1170"/>
        <w:gridCol w:w="1487"/>
        <w:gridCol w:w="1663"/>
        <w:gridCol w:w="1350"/>
        <w:gridCol w:w="1435"/>
      </w:tblGrid>
      <w:tr w:rsidR="00024E96" w:rsidRPr="00214607" w14:paraId="013AB846" w14:textId="77777777">
        <w:trPr>
          <w:cantSplit/>
          <w:trHeight w:val="300"/>
        </w:trPr>
        <w:tc>
          <w:tcPr>
            <w:tcW w:w="1077" w:type="dxa"/>
            <w:shd w:val="clear" w:color="auto" w:fill="008272"/>
            <w:hideMark/>
          </w:tcPr>
          <w:p w14:paraId="0762CA81" w14:textId="77777777" w:rsidR="00024E96" w:rsidRPr="00214607" w:rsidRDefault="00024E96" w:rsidP="00CD56D0">
            <w:pPr>
              <w:pStyle w:val="TableText"/>
              <w:keepLines/>
              <w:widowControl w:val="0"/>
              <w:rPr>
                <w:color w:val="FFFFFF" w:themeColor="background1"/>
              </w:rPr>
            </w:pPr>
          </w:p>
        </w:tc>
        <w:tc>
          <w:tcPr>
            <w:tcW w:w="3825" w:type="dxa"/>
            <w:gridSpan w:val="3"/>
            <w:shd w:val="clear" w:color="auto" w:fill="008272"/>
            <w:hideMark/>
          </w:tcPr>
          <w:p w14:paraId="73FF5B33" w14:textId="0D7D11C3" w:rsidR="00024E96" w:rsidRPr="00214607" w:rsidRDefault="00024E96" w:rsidP="00CD56D0">
            <w:pPr>
              <w:pStyle w:val="TableText"/>
              <w:keepLines/>
              <w:widowControl w:val="0"/>
              <w:rPr>
                <w:b/>
                <w:bCs/>
                <w:color w:val="FFFFFF" w:themeColor="background1"/>
              </w:rPr>
            </w:pPr>
            <w:r w:rsidRPr="00214607">
              <w:rPr>
                <w:b/>
                <w:bCs/>
                <w:color w:val="FFFFFF" w:themeColor="background1"/>
              </w:rPr>
              <w:t>Non-</w:t>
            </w:r>
            <w:r w:rsidR="001E4561">
              <w:rPr>
                <w:b/>
                <w:bCs/>
                <w:color w:val="FFFFFF" w:themeColor="background1"/>
              </w:rPr>
              <w:t>p</w:t>
            </w:r>
            <w:r w:rsidRPr="00214607">
              <w:rPr>
                <w:b/>
                <w:bCs/>
                <w:color w:val="FFFFFF" w:themeColor="background1"/>
              </w:rPr>
              <w:t xml:space="preserve">rogrammable </w:t>
            </w:r>
            <w:r w:rsidR="001E4561">
              <w:rPr>
                <w:b/>
                <w:bCs/>
                <w:color w:val="FFFFFF" w:themeColor="background1"/>
              </w:rPr>
              <w:t>o</w:t>
            </w:r>
            <w:r w:rsidRPr="00214607">
              <w:rPr>
                <w:b/>
                <w:bCs/>
                <w:color w:val="FFFFFF" w:themeColor="background1"/>
              </w:rPr>
              <w:t>bjects</w:t>
            </w:r>
          </w:p>
        </w:tc>
        <w:tc>
          <w:tcPr>
            <w:tcW w:w="4448" w:type="dxa"/>
            <w:gridSpan w:val="3"/>
            <w:shd w:val="clear" w:color="auto" w:fill="008272"/>
            <w:hideMark/>
          </w:tcPr>
          <w:p w14:paraId="265AB767" w14:textId="121F0BAF" w:rsidR="00024E96" w:rsidRPr="00214607" w:rsidRDefault="00024E96" w:rsidP="00CD56D0">
            <w:pPr>
              <w:pStyle w:val="TableText"/>
              <w:keepNext/>
              <w:keepLines/>
              <w:widowControl w:val="0"/>
              <w:rPr>
                <w:b/>
                <w:bCs/>
                <w:color w:val="FFFFFF" w:themeColor="background1"/>
              </w:rPr>
            </w:pPr>
            <w:r w:rsidRPr="00214607">
              <w:rPr>
                <w:b/>
                <w:bCs/>
                <w:color w:val="FFFFFF" w:themeColor="background1"/>
              </w:rPr>
              <w:t xml:space="preserve">Programmable </w:t>
            </w:r>
            <w:r w:rsidR="001E4561">
              <w:rPr>
                <w:b/>
                <w:bCs/>
                <w:color w:val="FFFFFF" w:themeColor="background1"/>
              </w:rPr>
              <w:t>o</w:t>
            </w:r>
            <w:r w:rsidRPr="00214607">
              <w:rPr>
                <w:b/>
                <w:bCs/>
                <w:color w:val="FFFFFF" w:themeColor="background1"/>
              </w:rPr>
              <w:t>bjects</w:t>
            </w:r>
          </w:p>
        </w:tc>
      </w:tr>
      <w:tr w:rsidR="00024E96" w:rsidRPr="00214607" w14:paraId="143BF635" w14:textId="77777777">
        <w:trPr>
          <w:cantSplit/>
          <w:trHeight w:val="529"/>
        </w:trPr>
        <w:tc>
          <w:tcPr>
            <w:tcW w:w="1077" w:type="dxa"/>
            <w:shd w:val="clear" w:color="auto" w:fill="008272"/>
            <w:hideMark/>
          </w:tcPr>
          <w:p w14:paraId="44BBFE57" w14:textId="77777777" w:rsidR="00024E96" w:rsidRPr="00214607" w:rsidRDefault="00024E96" w:rsidP="00CD56D0">
            <w:pPr>
              <w:pStyle w:val="TableText"/>
              <w:keepLines/>
              <w:widowControl w:val="0"/>
              <w:rPr>
                <w:b/>
                <w:bCs/>
                <w:color w:val="FFFFFF" w:themeColor="background1"/>
              </w:rPr>
            </w:pPr>
          </w:p>
        </w:tc>
        <w:tc>
          <w:tcPr>
            <w:tcW w:w="1168" w:type="dxa"/>
            <w:shd w:val="clear" w:color="auto" w:fill="008272"/>
            <w:hideMark/>
          </w:tcPr>
          <w:p w14:paraId="7B193030" w14:textId="4E11FD47" w:rsidR="00024E96" w:rsidRPr="002A5B4D" w:rsidRDefault="00024E96" w:rsidP="00CD56D0">
            <w:pPr>
              <w:pStyle w:val="TableText"/>
              <w:keepLines/>
              <w:widowControl w:val="0"/>
              <w:rPr>
                <w:color w:val="FFFFFF" w:themeColor="background1"/>
              </w:rPr>
            </w:pPr>
            <w:r w:rsidRPr="002A5B4D">
              <w:rPr>
                <w:color w:val="FFFFFF" w:themeColor="background1"/>
              </w:rPr>
              <w:t>Tables/</w:t>
            </w:r>
            <w:r w:rsidR="001E4561" w:rsidRPr="002A5B4D">
              <w:rPr>
                <w:color w:val="FFFFFF" w:themeColor="background1"/>
              </w:rPr>
              <w:br/>
              <w:t>v</w:t>
            </w:r>
            <w:r w:rsidRPr="002A5B4D">
              <w:rPr>
                <w:color w:val="FFFFFF" w:themeColor="background1"/>
              </w:rPr>
              <w:t>iews</w:t>
            </w:r>
          </w:p>
        </w:tc>
        <w:tc>
          <w:tcPr>
            <w:tcW w:w="1170" w:type="dxa"/>
            <w:shd w:val="clear" w:color="auto" w:fill="008272"/>
            <w:hideMark/>
          </w:tcPr>
          <w:p w14:paraId="105A8BEA" w14:textId="77777777" w:rsidR="00024E96" w:rsidRPr="002A5B4D" w:rsidRDefault="00024E96" w:rsidP="00CD56D0">
            <w:pPr>
              <w:pStyle w:val="TableText"/>
              <w:keepLines/>
              <w:widowControl w:val="0"/>
              <w:rPr>
                <w:color w:val="FFFFFF" w:themeColor="background1"/>
              </w:rPr>
            </w:pPr>
            <w:r w:rsidRPr="002A5B4D">
              <w:rPr>
                <w:color w:val="FFFFFF" w:themeColor="background1"/>
              </w:rPr>
              <w:t>Partitions</w:t>
            </w:r>
          </w:p>
        </w:tc>
        <w:tc>
          <w:tcPr>
            <w:tcW w:w="1487" w:type="dxa"/>
            <w:shd w:val="clear" w:color="auto" w:fill="008272"/>
            <w:hideMark/>
          </w:tcPr>
          <w:p w14:paraId="7CB647D3" w14:textId="33A8500C" w:rsidR="00024E96" w:rsidRPr="002A5B4D" w:rsidRDefault="00024E96" w:rsidP="00CD56D0">
            <w:pPr>
              <w:pStyle w:val="TableText"/>
              <w:keepLines/>
              <w:widowControl w:val="0"/>
              <w:rPr>
                <w:color w:val="FFFFFF" w:themeColor="background1"/>
              </w:rPr>
            </w:pPr>
            <w:r w:rsidRPr="002A5B4D">
              <w:rPr>
                <w:color w:val="FFFFFF" w:themeColor="background1"/>
              </w:rPr>
              <w:t>Custom</w:t>
            </w:r>
            <w:r w:rsidR="003F594A" w:rsidRPr="002A5B4D">
              <w:rPr>
                <w:color w:val="FFFFFF" w:themeColor="background1"/>
              </w:rPr>
              <w:t xml:space="preserve"> </w:t>
            </w:r>
            <w:r w:rsidR="001E4561" w:rsidRPr="002A5B4D">
              <w:rPr>
                <w:color w:val="FFFFFF" w:themeColor="background1"/>
              </w:rPr>
              <w:t>d</w:t>
            </w:r>
            <w:r w:rsidR="00BF54C5" w:rsidRPr="002A5B4D">
              <w:rPr>
                <w:color w:val="FFFFFF" w:themeColor="background1"/>
              </w:rPr>
              <w:t xml:space="preserve">ata </w:t>
            </w:r>
            <w:r w:rsidR="001E4561" w:rsidRPr="002A5B4D">
              <w:rPr>
                <w:color w:val="FFFFFF" w:themeColor="background1"/>
              </w:rPr>
              <w:t>and</w:t>
            </w:r>
            <w:r w:rsidR="003F594A" w:rsidRPr="002A5B4D">
              <w:rPr>
                <w:color w:val="FFFFFF" w:themeColor="background1"/>
              </w:rPr>
              <w:t xml:space="preserve"> </w:t>
            </w:r>
            <w:r w:rsidR="001E4561" w:rsidRPr="002A5B4D">
              <w:rPr>
                <w:color w:val="FFFFFF" w:themeColor="background1"/>
              </w:rPr>
              <w:t>c</w:t>
            </w:r>
            <w:r w:rsidR="003F594A" w:rsidRPr="002A5B4D">
              <w:rPr>
                <w:color w:val="FFFFFF" w:themeColor="background1"/>
              </w:rPr>
              <w:t>ollection</w:t>
            </w:r>
            <w:r w:rsidRPr="002A5B4D">
              <w:rPr>
                <w:color w:val="FFFFFF" w:themeColor="background1"/>
              </w:rPr>
              <w:t xml:space="preserve"> </w:t>
            </w:r>
            <w:r w:rsidR="001E4561" w:rsidRPr="002A5B4D">
              <w:rPr>
                <w:color w:val="FFFFFF" w:themeColor="background1"/>
              </w:rPr>
              <w:t>t</w:t>
            </w:r>
            <w:r w:rsidRPr="002A5B4D">
              <w:rPr>
                <w:color w:val="FFFFFF" w:themeColor="background1"/>
              </w:rPr>
              <w:t xml:space="preserve">ypes </w:t>
            </w:r>
          </w:p>
        </w:tc>
        <w:tc>
          <w:tcPr>
            <w:tcW w:w="1663" w:type="dxa"/>
            <w:shd w:val="clear" w:color="auto" w:fill="008272"/>
            <w:hideMark/>
          </w:tcPr>
          <w:p w14:paraId="77EE7637" w14:textId="5B13A929" w:rsidR="00024E96" w:rsidRPr="002A5B4D" w:rsidRDefault="00024E96" w:rsidP="00CD56D0">
            <w:pPr>
              <w:pStyle w:val="TableText"/>
              <w:keepLines/>
              <w:widowControl w:val="0"/>
              <w:rPr>
                <w:color w:val="FFFFFF" w:themeColor="background1"/>
              </w:rPr>
            </w:pPr>
            <w:r w:rsidRPr="002A5B4D">
              <w:rPr>
                <w:color w:val="FFFFFF" w:themeColor="background1"/>
              </w:rPr>
              <w:t xml:space="preserve">Objects (Proc / </w:t>
            </w:r>
            <w:r w:rsidR="001E4561" w:rsidRPr="002A5B4D">
              <w:rPr>
                <w:color w:val="FFFFFF" w:themeColor="background1"/>
              </w:rPr>
              <w:t>t</w:t>
            </w:r>
            <w:r w:rsidRPr="002A5B4D">
              <w:rPr>
                <w:color w:val="FFFFFF" w:themeColor="background1"/>
              </w:rPr>
              <w:t>rigger/UDF)</w:t>
            </w:r>
          </w:p>
        </w:tc>
        <w:tc>
          <w:tcPr>
            <w:tcW w:w="1350" w:type="dxa"/>
            <w:shd w:val="clear" w:color="auto" w:fill="008272"/>
            <w:hideMark/>
          </w:tcPr>
          <w:p w14:paraId="123A12E5" w14:textId="77777777" w:rsidR="00024E96" w:rsidRPr="002A5B4D" w:rsidRDefault="00024E96" w:rsidP="00CD56D0">
            <w:pPr>
              <w:pStyle w:val="TableText"/>
              <w:keepLines/>
              <w:widowControl w:val="0"/>
              <w:rPr>
                <w:color w:val="FFFFFF" w:themeColor="background1"/>
              </w:rPr>
            </w:pPr>
            <w:r w:rsidRPr="002A5B4D">
              <w:rPr>
                <w:color w:val="FFFFFF" w:themeColor="background1"/>
              </w:rPr>
              <w:t>Collections</w:t>
            </w:r>
          </w:p>
        </w:tc>
        <w:tc>
          <w:tcPr>
            <w:tcW w:w="1435" w:type="dxa"/>
            <w:shd w:val="clear" w:color="auto" w:fill="008272"/>
            <w:hideMark/>
          </w:tcPr>
          <w:p w14:paraId="58F398DB" w14:textId="77777777" w:rsidR="00024E96" w:rsidRPr="002A5B4D" w:rsidRDefault="00024E96" w:rsidP="00CD56D0">
            <w:pPr>
              <w:pStyle w:val="TableText"/>
              <w:keepLines/>
              <w:widowControl w:val="0"/>
              <w:rPr>
                <w:color w:val="FFFFFF" w:themeColor="background1"/>
              </w:rPr>
            </w:pPr>
            <w:r w:rsidRPr="002A5B4D">
              <w:rPr>
                <w:color w:val="FFFFFF" w:themeColor="background1"/>
              </w:rPr>
              <w:t>Packages</w:t>
            </w:r>
          </w:p>
        </w:tc>
      </w:tr>
      <w:tr w:rsidR="00024E96" w:rsidRPr="0022194B" w14:paraId="6FFD311F" w14:textId="77777777">
        <w:trPr>
          <w:trHeight w:val="300"/>
        </w:trPr>
        <w:tc>
          <w:tcPr>
            <w:tcW w:w="1077" w:type="dxa"/>
            <w:hideMark/>
          </w:tcPr>
          <w:p w14:paraId="5B611144" w14:textId="77777777" w:rsidR="00024E96" w:rsidRPr="0022194B" w:rsidRDefault="00024E96" w:rsidP="00CD56D0">
            <w:pPr>
              <w:pStyle w:val="TableText"/>
              <w:widowControl w:val="0"/>
              <w:rPr>
                <w:b/>
                <w:bCs/>
              </w:rPr>
            </w:pPr>
            <w:r w:rsidRPr="0022194B">
              <w:rPr>
                <w:b/>
                <w:bCs/>
              </w:rPr>
              <w:t>Simple</w:t>
            </w:r>
          </w:p>
        </w:tc>
        <w:tc>
          <w:tcPr>
            <w:tcW w:w="1168" w:type="dxa"/>
            <w:hideMark/>
          </w:tcPr>
          <w:p w14:paraId="35E03884" w14:textId="77777777" w:rsidR="00024E96" w:rsidRPr="0022194B" w:rsidRDefault="00024E96" w:rsidP="00CD56D0">
            <w:pPr>
              <w:pStyle w:val="TableText"/>
              <w:widowControl w:val="0"/>
            </w:pPr>
            <w:r w:rsidRPr="0022194B">
              <w:t>&lt;500</w:t>
            </w:r>
          </w:p>
        </w:tc>
        <w:tc>
          <w:tcPr>
            <w:tcW w:w="1170" w:type="dxa"/>
            <w:hideMark/>
          </w:tcPr>
          <w:p w14:paraId="75E4FF7C" w14:textId="77777777" w:rsidR="00024E96" w:rsidRPr="0022194B" w:rsidRDefault="00024E96" w:rsidP="00CD56D0">
            <w:pPr>
              <w:pStyle w:val="TableText"/>
              <w:widowControl w:val="0"/>
            </w:pPr>
            <w:r w:rsidRPr="0022194B">
              <w:t>No</w:t>
            </w:r>
          </w:p>
        </w:tc>
        <w:tc>
          <w:tcPr>
            <w:tcW w:w="1487" w:type="dxa"/>
            <w:hideMark/>
          </w:tcPr>
          <w:p w14:paraId="6D2A2896" w14:textId="77777777" w:rsidR="00024E96" w:rsidRPr="0022194B" w:rsidRDefault="00024E96" w:rsidP="00CD56D0">
            <w:pPr>
              <w:pStyle w:val="TableText"/>
              <w:widowControl w:val="0"/>
            </w:pPr>
            <w:r w:rsidRPr="0022194B">
              <w:t>10</w:t>
            </w:r>
          </w:p>
        </w:tc>
        <w:tc>
          <w:tcPr>
            <w:tcW w:w="1663" w:type="dxa"/>
            <w:hideMark/>
          </w:tcPr>
          <w:p w14:paraId="0563FC1B" w14:textId="77777777" w:rsidR="00024E96" w:rsidRPr="0022194B" w:rsidRDefault="00024E96" w:rsidP="00CD56D0">
            <w:pPr>
              <w:pStyle w:val="TableText"/>
              <w:widowControl w:val="0"/>
            </w:pPr>
            <w:r w:rsidRPr="0022194B">
              <w:t>&lt;100</w:t>
            </w:r>
          </w:p>
        </w:tc>
        <w:tc>
          <w:tcPr>
            <w:tcW w:w="1350" w:type="dxa"/>
            <w:hideMark/>
          </w:tcPr>
          <w:p w14:paraId="67CB43CA" w14:textId="77777777" w:rsidR="00024E96" w:rsidRPr="0022194B" w:rsidRDefault="00024E96" w:rsidP="00CD56D0">
            <w:pPr>
              <w:pStyle w:val="TableText"/>
              <w:widowControl w:val="0"/>
            </w:pPr>
            <w:r w:rsidRPr="0022194B">
              <w:t>&lt;10</w:t>
            </w:r>
          </w:p>
        </w:tc>
        <w:tc>
          <w:tcPr>
            <w:tcW w:w="1435" w:type="dxa"/>
            <w:hideMark/>
          </w:tcPr>
          <w:p w14:paraId="7BF48E1F" w14:textId="77777777" w:rsidR="00024E96" w:rsidRPr="0022194B" w:rsidRDefault="00024E96" w:rsidP="00CD56D0">
            <w:pPr>
              <w:pStyle w:val="TableText"/>
              <w:widowControl w:val="0"/>
            </w:pPr>
            <w:r w:rsidRPr="0022194B">
              <w:t>&lt;10</w:t>
            </w:r>
          </w:p>
        </w:tc>
      </w:tr>
      <w:tr w:rsidR="00024E96" w:rsidRPr="0022194B" w14:paraId="3FE91F3E" w14:textId="77777777">
        <w:trPr>
          <w:trHeight w:val="300"/>
        </w:trPr>
        <w:tc>
          <w:tcPr>
            <w:tcW w:w="1077" w:type="dxa"/>
            <w:hideMark/>
          </w:tcPr>
          <w:p w14:paraId="5F5267D3" w14:textId="77777777" w:rsidR="00024E96" w:rsidRPr="0022194B" w:rsidRDefault="00024E96" w:rsidP="00CD56D0">
            <w:pPr>
              <w:pStyle w:val="TableText"/>
              <w:widowControl w:val="0"/>
              <w:rPr>
                <w:b/>
                <w:bCs/>
              </w:rPr>
            </w:pPr>
            <w:r w:rsidRPr="0022194B">
              <w:rPr>
                <w:b/>
                <w:bCs/>
              </w:rPr>
              <w:t>Medium</w:t>
            </w:r>
          </w:p>
        </w:tc>
        <w:tc>
          <w:tcPr>
            <w:tcW w:w="1168" w:type="dxa"/>
            <w:hideMark/>
          </w:tcPr>
          <w:p w14:paraId="7765E357" w14:textId="77777777" w:rsidR="00024E96" w:rsidRPr="0022194B" w:rsidRDefault="00024E96" w:rsidP="00CD56D0">
            <w:pPr>
              <w:pStyle w:val="TableText"/>
              <w:widowControl w:val="0"/>
            </w:pPr>
            <w:r w:rsidRPr="0022194B">
              <w:t>501-1000</w:t>
            </w:r>
          </w:p>
        </w:tc>
        <w:tc>
          <w:tcPr>
            <w:tcW w:w="1170" w:type="dxa"/>
            <w:hideMark/>
          </w:tcPr>
          <w:p w14:paraId="1ACF6AB5" w14:textId="77777777" w:rsidR="00024E96" w:rsidRPr="0022194B" w:rsidRDefault="00024E96" w:rsidP="00CD56D0">
            <w:pPr>
              <w:pStyle w:val="TableText"/>
              <w:widowControl w:val="0"/>
            </w:pPr>
            <w:r w:rsidRPr="0022194B">
              <w:t>Yes</w:t>
            </w:r>
          </w:p>
        </w:tc>
        <w:tc>
          <w:tcPr>
            <w:tcW w:w="1487" w:type="dxa"/>
            <w:hideMark/>
          </w:tcPr>
          <w:p w14:paraId="223D5D06" w14:textId="77777777" w:rsidR="00024E96" w:rsidRPr="0022194B" w:rsidRDefault="00024E96" w:rsidP="00CD56D0">
            <w:pPr>
              <w:pStyle w:val="TableText"/>
              <w:widowControl w:val="0"/>
            </w:pPr>
            <w:r w:rsidRPr="0022194B">
              <w:t>20</w:t>
            </w:r>
          </w:p>
        </w:tc>
        <w:tc>
          <w:tcPr>
            <w:tcW w:w="1663" w:type="dxa"/>
            <w:hideMark/>
          </w:tcPr>
          <w:p w14:paraId="27267CA8" w14:textId="77777777" w:rsidR="00024E96" w:rsidRPr="0022194B" w:rsidRDefault="00024E96" w:rsidP="00CD56D0">
            <w:pPr>
              <w:pStyle w:val="TableText"/>
              <w:widowControl w:val="0"/>
            </w:pPr>
            <w:r w:rsidRPr="0022194B">
              <w:t>101-300</w:t>
            </w:r>
          </w:p>
        </w:tc>
        <w:tc>
          <w:tcPr>
            <w:tcW w:w="1350" w:type="dxa"/>
            <w:hideMark/>
          </w:tcPr>
          <w:p w14:paraId="0A890BD5" w14:textId="77777777" w:rsidR="00024E96" w:rsidRPr="0022194B" w:rsidRDefault="00024E96" w:rsidP="00CD56D0">
            <w:pPr>
              <w:pStyle w:val="TableText"/>
              <w:widowControl w:val="0"/>
            </w:pPr>
            <w:r w:rsidRPr="0022194B">
              <w:t>11-30</w:t>
            </w:r>
          </w:p>
        </w:tc>
        <w:tc>
          <w:tcPr>
            <w:tcW w:w="1435" w:type="dxa"/>
            <w:hideMark/>
          </w:tcPr>
          <w:p w14:paraId="469792D7" w14:textId="77777777" w:rsidR="00024E96" w:rsidRPr="0022194B" w:rsidRDefault="00024E96" w:rsidP="00CD56D0">
            <w:pPr>
              <w:pStyle w:val="TableText"/>
              <w:widowControl w:val="0"/>
            </w:pPr>
            <w:r w:rsidRPr="0022194B">
              <w:t>11-50</w:t>
            </w:r>
          </w:p>
        </w:tc>
      </w:tr>
      <w:tr w:rsidR="00024E96" w:rsidRPr="0022194B" w14:paraId="4CB949A1" w14:textId="77777777">
        <w:trPr>
          <w:trHeight w:val="300"/>
        </w:trPr>
        <w:tc>
          <w:tcPr>
            <w:tcW w:w="1077" w:type="dxa"/>
            <w:hideMark/>
          </w:tcPr>
          <w:p w14:paraId="6D605EE5" w14:textId="77777777" w:rsidR="00024E96" w:rsidRPr="0022194B" w:rsidRDefault="00024E96" w:rsidP="00CD56D0">
            <w:pPr>
              <w:pStyle w:val="TableText"/>
              <w:widowControl w:val="0"/>
              <w:rPr>
                <w:b/>
                <w:bCs/>
              </w:rPr>
            </w:pPr>
            <w:r w:rsidRPr="0022194B">
              <w:rPr>
                <w:b/>
                <w:bCs/>
              </w:rPr>
              <w:t>Complex</w:t>
            </w:r>
          </w:p>
        </w:tc>
        <w:tc>
          <w:tcPr>
            <w:tcW w:w="1168" w:type="dxa"/>
            <w:hideMark/>
          </w:tcPr>
          <w:p w14:paraId="25255B13" w14:textId="77777777" w:rsidR="00024E96" w:rsidRPr="0022194B" w:rsidRDefault="00024E96" w:rsidP="00CD56D0">
            <w:pPr>
              <w:pStyle w:val="TableText"/>
              <w:widowControl w:val="0"/>
            </w:pPr>
            <w:r w:rsidRPr="0022194B">
              <w:t>1001-2000</w:t>
            </w:r>
          </w:p>
        </w:tc>
        <w:tc>
          <w:tcPr>
            <w:tcW w:w="1170" w:type="dxa"/>
            <w:hideMark/>
          </w:tcPr>
          <w:p w14:paraId="2523A053" w14:textId="77777777" w:rsidR="00024E96" w:rsidRPr="0022194B" w:rsidRDefault="00024E96" w:rsidP="00CD56D0">
            <w:pPr>
              <w:pStyle w:val="TableText"/>
              <w:widowControl w:val="0"/>
            </w:pPr>
            <w:r w:rsidRPr="0022194B">
              <w:t>Yes</w:t>
            </w:r>
          </w:p>
        </w:tc>
        <w:tc>
          <w:tcPr>
            <w:tcW w:w="1487" w:type="dxa"/>
            <w:hideMark/>
          </w:tcPr>
          <w:p w14:paraId="62CA615F" w14:textId="77777777" w:rsidR="00024E96" w:rsidRPr="0022194B" w:rsidRDefault="00024E96" w:rsidP="00CD56D0">
            <w:pPr>
              <w:pStyle w:val="TableText"/>
              <w:widowControl w:val="0"/>
            </w:pPr>
            <w:r w:rsidRPr="0022194B">
              <w:t>40</w:t>
            </w:r>
          </w:p>
        </w:tc>
        <w:tc>
          <w:tcPr>
            <w:tcW w:w="1663" w:type="dxa"/>
            <w:hideMark/>
          </w:tcPr>
          <w:p w14:paraId="090675D2" w14:textId="77777777" w:rsidR="00024E96" w:rsidRPr="0022194B" w:rsidRDefault="00024E96" w:rsidP="00CD56D0">
            <w:pPr>
              <w:pStyle w:val="TableText"/>
              <w:widowControl w:val="0"/>
            </w:pPr>
            <w:r w:rsidRPr="0022194B">
              <w:t>301-500</w:t>
            </w:r>
          </w:p>
        </w:tc>
        <w:tc>
          <w:tcPr>
            <w:tcW w:w="1350" w:type="dxa"/>
            <w:hideMark/>
          </w:tcPr>
          <w:p w14:paraId="57E2B9E0" w14:textId="77777777" w:rsidR="00024E96" w:rsidRPr="0022194B" w:rsidRDefault="00024E96" w:rsidP="00CD56D0">
            <w:pPr>
              <w:pStyle w:val="TableText"/>
              <w:widowControl w:val="0"/>
            </w:pPr>
            <w:r w:rsidRPr="0022194B">
              <w:t>31-50</w:t>
            </w:r>
          </w:p>
        </w:tc>
        <w:tc>
          <w:tcPr>
            <w:tcW w:w="1435" w:type="dxa"/>
            <w:hideMark/>
          </w:tcPr>
          <w:p w14:paraId="3001B63F" w14:textId="77777777" w:rsidR="00024E96" w:rsidRPr="0022194B" w:rsidRDefault="00024E96" w:rsidP="00CD56D0">
            <w:pPr>
              <w:pStyle w:val="TableText"/>
              <w:widowControl w:val="0"/>
            </w:pPr>
            <w:r w:rsidRPr="0022194B">
              <w:t>51-100</w:t>
            </w:r>
          </w:p>
        </w:tc>
      </w:tr>
    </w:tbl>
    <w:p w14:paraId="76597049" w14:textId="4CC231AD" w:rsidR="00024E96" w:rsidRPr="008D018F" w:rsidRDefault="00024E96" w:rsidP="00024E96">
      <w:pPr>
        <w:pStyle w:val="TableText"/>
        <w:rPr>
          <w:rFonts w:eastAsiaTheme="minorHAnsi"/>
        </w:rPr>
      </w:pPr>
      <w:r>
        <w:rPr>
          <w:rFonts w:eastAsiaTheme="minorHAnsi"/>
        </w:rPr>
        <w:t xml:space="preserve">The </w:t>
      </w:r>
      <w:r w:rsidR="00C904EF">
        <w:rPr>
          <w:rFonts w:eastAsiaTheme="minorHAnsi"/>
        </w:rPr>
        <w:t xml:space="preserve">DMS </w:t>
      </w:r>
      <w:r w:rsidR="001E4561">
        <w:rPr>
          <w:rFonts w:eastAsiaTheme="minorHAnsi"/>
        </w:rPr>
        <w:t xml:space="preserve">scope </w:t>
      </w:r>
      <w:r>
        <w:rPr>
          <w:rFonts w:eastAsiaTheme="minorHAnsi"/>
        </w:rPr>
        <w:t xml:space="preserve">is </w:t>
      </w:r>
      <w:r w:rsidR="00F017A4">
        <w:rPr>
          <w:rFonts w:eastAsiaTheme="minorHAnsi"/>
        </w:rPr>
        <w:t xml:space="preserve">listed in </w:t>
      </w:r>
      <w:r>
        <w:rPr>
          <w:rFonts w:eastAsiaTheme="minorHAnsi"/>
        </w:rPr>
        <w:t>the following</w:t>
      </w:r>
      <w:r w:rsidR="00F017A4">
        <w:rPr>
          <w:rFonts w:eastAsiaTheme="minorHAnsi"/>
        </w:rPr>
        <w:t xml:space="preserve"> table.</w:t>
      </w:r>
    </w:p>
    <w:tbl>
      <w:tblPr>
        <w:tblStyle w:val="TableGrid"/>
        <w:tblW w:w="9355" w:type="dxa"/>
        <w:tblInd w:w="-2" w:type="dxa"/>
        <w:tblLook w:val="04A0" w:firstRow="1" w:lastRow="0" w:firstColumn="1" w:lastColumn="0" w:noHBand="0" w:noVBand="1"/>
      </w:tblPr>
      <w:tblGrid>
        <w:gridCol w:w="3685"/>
        <w:gridCol w:w="5670"/>
      </w:tblGrid>
      <w:tr w:rsidR="00ED7737" w:rsidRPr="00ED6EED" w14:paraId="694FB8B7" w14:textId="77777777" w:rsidTr="002A5B4D">
        <w:trPr>
          <w:tblHeader/>
        </w:trPr>
        <w:tc>
          <w:tcPr>
            <w:tcW w:w="3685" w:type="dxa"/>
            <w:shd w:val="clear" w:color="auto" w:fill="008272"/>
          </w:tcPr>
          <w:p w14:paraId="5567D0E7" w14:textId="77777777" w:rsidR="00ED7737" w:rsidRPr="00ED6EED" w:rsidRDefault="00ED7737">
            <w:pPr>
              <w:pStyle w:val="Table-Header"/>
            </w:pPr>
            <w:r>
              <w:t>Activity</w:t>
            </w:r>
          </w:p>
        </w:tc>
        <w:tc>
          <w:tcPr>
            <w:tcW w:w="5670" w:type="dxa"/>
            <w:shd w:val="clear" w:color="auto" w:fill="008272"/>
          </w:tcPr>
          <w:p w14:paraId="0AC60237" w14:textId="50F898DB" w:rsidR="00ED7737" w:rsidRPr="00ED6EED" w:rsidRDefault="0064017D">
            <w:pPr>
              <w:pStyle w:val="Table-Header"/>
            </w:pPr>
            <w:r>
              <w:t xml:space="preserve">Oracle </w:t>
            </w:r>
            <w:r w:rsidR="002302E9">
              <w:t>d</w:t>
            </w:r>
            <w:r w:rsidR="00ED7737">
              <w:t>atabase</w:t>
            </w:r>
            <w:r w:rsidR="00ED7737" w:rsidRPr="00ED6EED">
              <w:t xml:space="preserve"> </w:t>
            </w:r>
            <w:r w:rsidR="00ED7737">
              <w:t>c</w:t>
            </w:r>
            <w:r w:rsidR="00ED7737" w:rsidRPr="00ED6EED">
              <w:t>ount</w:t>
            </w:r>
          </w:p>
        </w:tc>
      </w:tr>
      <w:tr w:rsidR="0064017D" w:rsidRPr="00ED6EED" w14:paraId="37E170C7" w14:textId="77777777" w:rsidTr="00ED7737">
        <w:tc>
          <w:tcPr>
            <w:tcW w:w="3685" w:type="dxa"/>
          </w:tcPr>
          <w:p w14:paraId="326E4249" w14:textId="7E537F3F" w:rsidR="0064017D" w:rsidRPr="002A5B4D" w:rsidRDefault="0064017D" w:rsidP="0064017D">
            <w:r w:rsidRPr="002A5B4D">
              <w:t xml:space="preserve">Simple </w:t>
            </w:r>
          </w:p>
        </w:tc>
        <w:tc>
          <w:tcPr>
            <w:tcW w:w="5670" w:type="dxa"/>
          </w:tcPr>
          <w:p w14:paraId="4AF1C362" w14:textId="38706836" w:rsidR="0064017D" w:rsidRPr="00ED6EED" w:rsidRDefault="0064017D" w:rsidP="0064017D">
            <w:pPr>
              <w:rPr>
                <w:i/>
                <w:iCs/>
                <w:color w:val="FF00FF"/>
              </w:rPr>
            </w:pPr>
            <w:r w:rsidRPr="00ED6EED">
              <w:rPr>
                <w:i/>
                <w:iCs/>
                <w:color w:val="FF00FF"/>
              </w:rPr>
              <w:t>[</w:t>
            </w:r>
            <w:r>
              <w:rPr>
                <w:i/>
                <w:iCs/>
                <w:color w:val="FF00FF"/>
              </w:rPr>
              <w:t>Simple</w:t>
            </w:r>
            <w:r w:rsidRPr="00ED6EED">
              <w:rPr>
                <w:i/>
                <w:iCs/>
                <w:color w:val="FF00FF"/>
              </w:rPr>
              <w:t xml:space="preserve"> </w:t>
            </w:r>
            <w:r w:rsidR="00EC2A98">
              <w:rPr>
                <w:i/>
                <w:iCs/>
                <w:color w:val="FF00FF"/>
              </w:rPr>
              <w:t>Databases</w:t>
            </w:r>
            <w:r w:rsidRPr="00ED6EED">
              <w:rPr>
                <w:i/>
                <w:iCs/>
                <w:color w:val="FF00FF"/>
              </w:rPr>
              <w:t>]</w:t>
            </w:r>
          </w:p>
        </w:tc>
      </w:tr>
      <w:tr w:rsidR="0064017D" w:rsidRPr="00ED6EED" w14:paraId="190BB203" w14:textId="77777777" w:rsidTr="00ED7737">
        <w:tc>
          <w:tcPr>
            <w:tcW w:w="3685" w:type="dxa"/>
          </w:tcPr>
          <w:p w14:paraId="5EB04487" w14:textId="59D6A48D" w:rsidR="0064017D" w:rsidRPr="002A5B4D" w:rsidRDefault="0064017D" w:rsidP="0064017D">
            <w:r w:rsidRPr="002A5B4D">
              <w:t xml:space="preserve">Medium </w:t>
            </w:r>
          </w:p>
        </w:tc>
        <w:tc>
          <w:tcPr>
            <w:tcW w:w="5670" w:type="dxa"/>
          </w:tcPr>
          <w:p w14:paraId="2B41DEC3" w14:textId="2546A3A6" w:rsidR="0064017D" w:rsidRPr="00ED6EED" w:rsidRDefault="0064017D" w:rsidP="0064017D">
            <w:pPr>
              <w:rPr>
                <w:i/>
                <w:iCs/>
                <w:color w:val="FF00FF"/>
              </w:rPr>
            </w:pPr>
            <w:r w:rsidRPr="00ED6EED">
              <w:rPr>
                <w:i/>
                <w:iCs/>
                <w:color w:val="FF00FF"/>
              </w:rPr>
              <w:t>[</w:t>
            </w:r>
            <w:r>
              <w:rPr>
                <w:i/>
                <w:iCs/>
                <w:color w:val="FF00FF"/>
              </w:rPr>
              <w:t>Medium</w:t>
            </w:r>
            <w:r w:rsidRPr="00ED6EED">
              <w:rPr>
                <w:i/>
                <w:iCs/>
                <w:color w:val="FF00FF"/>
              </w:rPr>
              <w:t xml:space="preserve"> </w:t>
            </w:r>
            <w:r w:rsidR="00EC2A98">
              <w:rPr>
                <w:i/>
                <w:iCs/>
                <w:color w:val="FF00FF"/>
              </w:rPr>
              <w:t>Databases</w:t>
            </w:r>
            <w:r w:rsidRPr="00ED6EED">
              <w:rPr>
                <w:i/>
                <w:iCs/>
                <w:color w:val="FF00FF"/>
              </w:rPr>
              <w:t>]</w:t>
            </w:r>
          </w:p>
        </w:tc>
      </w:tr>
      <w:tr w:rsidR="0064017D" w:rsidRPr="00ED6EED" w14:paraId="3591E4F4" w14:textId="77777777" w:rsidTr="00ED7737">
        <w:tc>
          <w:tcPr>
            <w:tcW w:w="3685" w:type="dxa"/>
          </w:tcPr>
          <w:p w14:paraId="70B8E864" w14:textId="62E19554" w:rsidR="0064017D" w:rsidRPr="002A5B4D" w:rsidRDefault="0064017D" w:rsidP="0064017D">
            <w:r w:rsidRPr="002A5B4D">
              <w:t>Complex</w:t>
            </w:r>
          </w:p>
        </w:tc>
        <w:tc>
          <w:tcPr>
            <w:tcW w:w="5670" w:type="dxa"/>
          </w:tcPr>
          <w:p w14:paraId="00B8333A" w14:textId="7D1BC671" w:rsidR="0064017D" w:rsidRPr="00ED6EED" w:rsidRDefault="0064017D" w:rsidP="0064017D">
            <w:pPr>
              <w:rPr>
                <w:i/>
                <w:iCs/>
                <w:color w:val="FF00FF"/>
              </w:rPr>
            </w:pPr>
            <w:r>
              <w:rPr>
                <w:i/>
                <w:iCs/>
                <w:color w:val="FF00FF"/>
              </w:rPr>
              <w:t xml:space="preserve">[Complex </w:t>
            </w:r>
            <w:r w:rsidR="00EC2A98">
              <w:rPr>
                <w:i/>
                <w:iCs/>
                <w:color w:val="FF00FF"/>
              </w:rPr>
              <w:t>Databases</w:t>
            </w:r>
            <w:r>
              <w:rPr>
                <w:i/>
                <w:iCs/>
                <w:color w:val="FF00FF"/>
              </w:rPr>
              <w:t>]</w:t>
            </w:r>
          </w:p>
        </w:tc>
      </w:tr>
      <w:tr w:rsidR="00ED7737" w:rsidRPr="00ED6EED" w14:paraId="175DE8C5" w14:textId="77777777" w:rsidTr="00ED7737">
        <w:tc>
          <w:tcPr>
            <w:tcW w:w="3685" w:type="dxa"/>
          </w:tcPr>
          <w:p w14:paraId="5D1189C9" w14:textId="39DD2E8F" w:rsidR="00ED7737" w:rsidRDefault="00ED7737">
            <w:pPr>
              <w:rPr>
                <w:b/>
                <w:bCs/>
              </w:rPr>
            </w:pPr>
            <w:r>
              <w:rPr>
                <w:b/>
                <w:bCs/>
              </w:rPr>
              <w:t xml:space="preserve">Total </w:t>
            </w:r>
          </w:p>
        </w:tc>
        <w:tc>
          <w:tcPr>
            <w:tcW w:w="5670" w:type="dxa"/>
          </w:tcPr>
          <w:p w14:paraId="04DFC38F" w14:textId="0D7FAB30" w:rsidR="00ED7737" w:rsidRPr="00EC2A98" w:rsidRDefault="0064017D">
            <w:pPr>
              <w:rPr>
                <w:b/>
                <w:bCs/>
                <w:i/>
                <w:iCs/>
                <w:color w:val="FF00FF"/>
              </w:rPr>
            </w:pPr>
            <w:r w:rsidRPr="00EC2A98">
              <w:rPr>
                <w:b/>
                <w:bCs/>
                <w:i/>
                <w:iCs/>
                <w:color w:val="FF00FF"/>
              </w:rPr>
              <w:t>[</w:t>
            </w:r>
            <w:r w:rsidR="00EC2A98" w:rsidRPr="00EC2A98">
              <w:rPr>
                <w:b/>
                <w:bCs/>
                <w:i/>
                <w:iCs/>
                <w:color w:val="FF00FF"/>
              </w:rPr>
              <w:t>Number of Oracle Databases</w:t>
            </w:r>
            <w:r w:rsidRPr="00EC2A98">
              <w:rPr>
                <w:b/>
                <w:bCs/>
                <w:i/>
                <w:iCs/>
                <w:color w:val="FF00FF"/>
              </w:rPr>
              <w:t>]</w:t>
            </w:r>
          </w:p>
        </w:tc>
      </w:tr>
    </w:tbl>
    <w:p w14:paraId="7D0DD66E" w14:textId="4753FC84" w:rsidR="00CB4949" w:rsidRPr="002A5B4D" w:rsidRDefault="00F423DC" w:rsidP="002A5B4D">
      <w:pPr>
        <w:spacing w:before="240"/>
      </w:pPr>
      <w:r w:rsidRPr="002A5B4D">
        <w:rPr>
          <w:b/>
          <w:bCs/>
          <w:sz w:val="22"/>
        </w:rPr>
        <w:t>Quality and Reliability Services (QRS)</w:t>
      </w:r>
    </w:p>
    <w:p w14:paraId="2D4F990B" w14:textId="62088CC9" w:rsidR="00F423DC" w:rsidRDefault="00F423DC" w:rsidP="00024E96">
      <w:r w:rsidRPr="00F423DC">
        <w:t>Provide resources and support to deliver quality, testing, and system reliability validation and health monitoring services in support of the migration and modernization activities for migrated applications.</w:t>
      </w:r>
    </w:p>
    <w:p w14:paraId="3E64251C" w14:textId="280E001F" w:rsidR="00E77F5A" w:rsidRDefault="00E77F5A" w:rsidP="00E77F5A">
      <w:r>
        <w:t>The QRS service has been sized as follows.</w:t>
      </w:r>
    </w:p>
    <w:tbl>
      <w:tblPr>
        <w:tblStyle w:val="TableGrid"/>
        <w:tblW w:w="9355" w:type="dxa"/>
        <w:tblLook w:val="04A0" w:firstRow="1" w:lastRow="0" w:firstColumn="1" w:lastColumn="0" w:noHBand="0" w:noVBand="1"/>
      </w:tblPr>
      <w:tblGrid>
        <w:gridCol w:w="3116"/>
        <w:gridCol w:w="6239"/>
      </w:tblGrid>
      <w:tr w:rsidR="00E77F5A" w:rsidRPr="00ED6EED" w14:paraId="38912B31" w14:textId="77777777" w:rsidTr="002A5B4D">
        <w:trPr>
          <w:tblHeader/>
        </w:trPr>
        <w:tc>
          <w:tcPr>
            <w:tcW w:w="3116" w:type="dxa"/>
            <w:shd w:val="clear" w:color="auto" w:fill="008272"/>
          </w:tcPr>
          <w:p w14:paraId="22F08960" w14:textId="77777777" w:rsidR="00E77F5A" w:rsidRPr="00ED6EED" w:rsidRDefault="00E77F5A">
            <w:pPr>
              <w:pStyle w:val="Table-Header"/>
            </w:pPr>
            <w:r>
              <w:t>Activity</w:t>
            </w:r>
          </w:p>
        </w:tc>
        <w:tc>
          <w:tcPr>
            <w:tcW w:w="6239" w:type="dxa"/>
            <w:shd w:val="clear" w:color="auto" w:fill="008272"/>
          </w:tcPr>
          <w:p w14:paraId="00D2F86D" w14:textId="77777777" w:rsidR="00E77F5A" w:rsidRPr="00ED6EED" w:rsidRDefault="00E77F5A">
            <w:pPr>
              <w:pStyle w:val="Table-Header"/>
            </w:pPr>
            <w:r>
              <w:t>Estimated scope</w:t>
            </w:r>
          </w:p>
        </w:tc>
      </w:tr>
      <w:tr w:rsidR="00E77F5A" w:rsidRPr="00ED6EED" w14:paraId="3878D08F" w14:textId="77777777">
        <w:tc>
          <w:tcPr>
            <w:tcW w:w="3116" w:type="dxa"/>
          </w:tcPr>
          <w:p w14:paraId="3432B61E" w14:textId="77777777" w:rsidR="00E77F5A" w:rsidRPr="00ED6EED" w:rsidRDefault="00E77F5A">
            <w:r>
              <w:t>Migration validation</w:t>
            </w:r>
          </w:p>
        </w:tc>
        <w:tc>
          <w:tcPr>
            <w:tcW w:w="6239" w:type="dxa"/>
          </w:tcPr>
          <w:p w14:paraId="18816E80" w14:textId="77777777" w:rsidR="00E77F5A" w:rsidRPr="00ED6EED" w:rsidRDefault="00E77F5A">
            <w:r w:rsidRPr="0078575B">
              <w:rPr>
                <w:rStyle w:val="PinkText-Style2Char"/>
              </w:rPr>
              <w:t xml:space="preserve">[Number of </w:t>
            </w:r>
            <w:r>
              <w:rPr>
                <w:rStyle w:val="PinkText-Style2Char"/>
              </w:rPr>
              <w:t>rehosted applications requiring Migration Validation + Number of refactored applications requiring Migration Validation</w:t>
            </w:r>
            <w:r w:rsidRPr="0078575B">
              <w:rPr>
                <w:rStyle w:val="PinkText-Style2Char"/>
              </w:rPr>
              <w:t xml:space="preserve"> from OSE] </w:t>
            </w:r>
            <w:r w:rsidRPr="00FC0E8C">
              <w:rPr>
                <w:rStyle w:val="OptionalChar"/>
              </w:rPr>
              <w:t>applications</w:t>
            </w:r>
          </w:p>
        </w:tc>
      </w:tr>
      <w:tr w:rsidR="00E77F5A" w:rsidRPr="00ED6EED" w14:paraId="35EEEE45" w14:textId="77777777">
        <w:tc>
          <w:tcPr>
            <w:tcW w:w="3116" w:type="dxa"/>
          </w:tcPr>
          <w:p w14:paraId="0DE5D04C" w14:textId="77777777" w:rsidR="00E77F5A" w:rsidRDefault="00E77F5A">
            <w:pPr>
              <w:pStyle w:val="Instructional"/>
            </w:pPr>
            <w:r>
              <w:lastRenderedPageBreak/>
              <w:t>Only one performance option can be used. Choose based on the Performance Validation setting in OSE.</w:t>
            </w:r>
          </w:p>
          <w:p w14:paraId="4474BEFD" w14:textId="77777777" w:rsidR="00E77F5A" w:rsidRPr="00ED6EED" w:rsidRDefault="00E77F5A">
            <w:pPr>
              <w:pStyle w:val="Optional"/>
            </w:pPr>
            <w:r>
              <w:t xml:space="preserve">Performance advisory services </w:t>
            </w:r>
          </w:p>
        </w:tc>
        <w:tc>
          <w:tcPr>
            <w:tcW w:w="6239" w:type="dxa"/>
          </w:tcPr>
          <w:p w14:paraId="4DCFBF69" w14:textId="77777777" w:rsidR="00E77F5A" w:rsidRPr="00ED6EED" w:rsidRDefault="00E77F5A">
            <w:r w:rsidRPr="0078575B">
              <w:rPr>
                <w:rStyle w:val="PinkText-Style2Char"/>
              </w:rPr>
              <w:t xml:space="preserve">[Number of </w:t>
            </w:r>
            <w:r>
              <w:rPr>
                <w:rStyle w:val="PinkText-Style2Char"/>
              </w:rPr>
              <w:t>Key Applications requiring Performance Validation if set to Advisory Services Only</w:t>
            </w:r>
            <w:r w:rsidRPr="0078575B">
              <w:rPr>
                <w:rStyle w:val="PinkText-Style2Char"/>
              </w:rPr>
              <w:t xml:space="preserve">] </w:t>
            </w:r>
            <w:r w:rsidRPr="005E716B">
              <w:rPr>
                <w:rStyle w:val="OptionalChar"/>
              </w:rPr>
              <w:t>applications</w:t>
            </w:r>
          </w:p>
        </w:tc>
      </w:tr>
      <w:tr w:rsidR="00E77F5A" w:rsidRPr="00ED6EED" w14:paraId="46702B87" w14:textId="77777777">
        <w:tc>
          <w:tcPr>
            <w:tcW w:w="3116" w:type="dxa"/>
          </w:tcPr>
          <w:p w14:paraId="2A379FB7" w14:textId="77777777" w:rsidR="00E77F5A" w:rsidRDefault="00E77F5A">
            <w:pPr>
              <w:pStyle w:val="Optional"/>
            </w:pPr>
            <w:r>
              <w:t>Performance validation</w:t>
            </w:r>
          </w:p>
        </w:tc>
        <w:tc>
          <w:tcPr>
            <w:tcW w:w="6239" w:type="dxa"/>
          </w:tcPr>
          <w:p w14:paraId="32F6F05F" w14:textId="77777777" w:rsidR="00E77F5A" w:rsidRPr="00ED6EED" w:rsidRDefault="00E77F5A">
            <w:pPr>
              <w:rPr>
                <w:i/>
                <w:iCs/>
                <w:color w:val="FF00FF"/>
              </w:rPr>
            </w:pPr>
            <w:r w:rsidRPr="0078575B">
              <w:rPr>
                <w:rStyle w:val="PinkText-Style2Char"/>
              </w:rPr>
              <w:t xml:space="preserve">[Number of </w:t>
            </w:r>
            <w:r>
              <w:rPr>
                <w:rStyle w:val="PinkText-Style2Char"/>
              </w:rPr>
              <w:t>Key Applications requiring Performance Validation if set to Full Testing</w:t>
            </w:r>
            <w:r w:rsidRPr="0078575B">
              <w:rPr>
                <w:rStyle w:val="PinkText-Style2Char"/>
              </w:rPr>
              <w:t xml:space="preserve">] </w:t>
            </w:r>
            <w:r w:rsidRPr="005E716B">
              <w:rPr>
                <w:rStyle w:val="OptionalChar"/>
              </w:rPr>
              <w:t>applications</w:t>
            </w:r>
          </w:p>
        </w:tc>
      </w:tr>
      <w:tr w:rsidR="00E77F5A" w:rsidRPr="00ED6EED" w14:paraId="04CAC2C6" w14:textId="77777777">
        <w:tc>
          <w:tcPr>
            <w:tcW w:w="3116" w:type="dxa"/>
          </w:tcPr>
          <w:p w14:paraId="5842AAAA" w14:textId="77777777" w:rsidR="00E77F5A" w:rsidRDefault="00E77F5A">
            <w:r w:rsidRPr="00ED6EED">
              <w:t xml:space="preserve">Enhanced </w:t>
            </w:r>
            <w:r>
              <w:t>a</w:t>
            </w:r>
            <w:r w:rsidRPr="00ED6EED">
              <w:t xml:space="preserve">pplication </w:t>
            </w:r>
            <w:r>
              <w:t>s</w:t>
            </w:r>
            <w:r w:rsidRPr="00ED6EED">
              <w:t>upport</w:t>
            </w:r>
          </w:p>
        </w:tc>
        <w:tc>
          <w:tcPr>
            <w:tcW w:w="6239" w:type="dxa"/>
          </w:tcPr>
          <w:p w14:paraId="109A26AF" w14:textId="77777777" w:rsidR="00E77F5A" w:rsidRPr="00ED6EED" w:rsidRDefault="00E77F5A">
            <w:pPr>
              <w:rPr>
                <w:i/>
                <w:iCs/>
                <w:color w:val="FF00FF"/>
              </w:rPr>
            </w:pPr>
            <w:r w:rsidRPr="0078575B">
              <w:rPr>
                <w:rStyle w:val="PinkText-Style2Char"/>
              </w:rPr>
              <w:t xml:space="preserve">[Number of </w:t>
            </w:r>
            <w:r>
              <w:rPr>
                <w:rStyle w:val="PinkText-Style2Char"/>
              </w:rPr>
              <w:t>Key Applications requiring</w:t>
            </w:r>
            <w:r w:rsidRPr="0078575B">
              <w:rPr>
                <w:rStyle w:val="PinkText-Style2Char"/>
              </w:rPr>
              <w:t xml:space="preserve"> </w:t>
            </w:r>
            <w:r>
              <w:rPr>
                <w:rStyle w:val="PinkText-Style2Char"/>
              </w:rPr>
              <w:t xml:space="preserve">EAS Advisory Services </w:t>
            </w:r>
            <w:r w:rsidRPr="0078575B">
              <w:rPr>
                <w:rStyle w:val="PinkText-Style2Char"/>
              </w:rPr>
              <w:t xml:space="preserve">from OSE] </w:t>
            </w:r>
            <w:r w:rsidRPr="006F3AC5">
              <w:rPr>
                <w:rStyle w:val="OptionalChar"/>
              </w:rPr>
              <w:t>applications</w:t>
            </w:r>
          </w:p>
        </w:tc>
      </w:tr>
    </w:tbl>
    <w:p w14:paraId="03AD094F" w14:textId="7C0B3C2D" w:rsidR="00CB4949" w:rsidRPr="002A5B4D" w:rsidRDefault="00024E96" w:rsidP="002A5B4D">
      <w:pPr>
        <w:spacing w:before="240" w:after="60"/>
        <w:rPr>
          <w:b/>
          <w:bCs/>
          <w:sz w:val="22"/>
        </w:rPr>
      </w:pPr>
      <w:r w:rsidRPr="002A5B4D">
        <w:rPr>
          <w:b/>
          <w:bCs/>
          <w:sz w:val="22"/>
        </w:rPr>
        <w:t>Modernization Support Services (MSS)</w:t>
      </w:r>
    </w:p>
    <w:p w14:paraId="449FC363" w14:textId="51AECB6B" w:rsidR="00024E96" w:rsidRPr="008D018F" w:rsidRDefault="00024E96" w:rsidP="002A5B4D">
      <w:pPr>
        <w:spacing w:before="0"/>
      </w:pPr>
      <w:r>
        <w:t>The goal of MSS is to p</w:t>
      </w:r>
      <w:r w:rsidRPr="008D018F">
        <w:t xml:space="preserve">rovide architecture reviews, create </w:t>
      </w:r>
      <w:r w:rsidR="00C42B46">
        <w:t xml:space="preserve">IaC </w:t>
      </w:r>
      <w:r w:rsidRPr="008D018F">
        <w:t xml:space="preserve">deployment resources, </w:t>
      </w:r>
      <w:r>
        <w:t xml:space="preserve">and </w:t>
      </w:r>
      <w:r w:rsidRPr="008D018F">
        <w:t>facilitate IaaS management services in support of both Microsoft and Customer-led migrations.</w:t>
      </w:r>
    </w:p>
    <w:p w14:paraId="625B7CE9" w14:textId="39BE9F3D" w:rsidR="00CB4949" w:rsidRPr="002A5B4D" w:rsidRDefault="00024E96" w:rsidP="002A5B4D">
      <w:pPr>
        <w:spacing w:before="240" w:after="60"/>
        <w:rPr>
          <w:b/>
          <w:bCs/>
          <w:sz w:val="22"/>
        </w:rPr>
      </w:pPr>
      <w:r w:rsidRPr="002A5B4D">
        <w:rPr>
          <w:b/>
          <w:bCs/>
          <w:sz w:val="22"/>
        </w:rPr>
        <w:t>Post-Migration Support</w:t>
      </w:r>
      <w:r w:rsidR="00CB4949" w:rsidRPr="00A65BEB">
        <w:rPr>
          <w:b/>
          <w:bCs/>
          <w:sz w:val="22"/>
        </w:rPr>
        <w:t xml:space="preserve"> </w:t>
      </w:r>
    </w:p>
    <w:p w14:paraId="5ECCBED6" w14:textId="49683D77" w:rsidR="00024E96" w:rsidRPr="008D018F" w:rsidRDefault="00024E96" w:rsidP="002A5B4D">
      <w:pPr>
        <w:spacing w:before="0"/>
        <w:rPr>
          <w:rFonts w:eastAsiaTheme="minorHAnsi"/>
        </w:rPr>
      </w:pPr>
      <w:r w:rsidRPr="008D018F">
        <w:rPr>
          <w:rFonts w:eastAsiaTheme="minorHAnsi"/>
        </w:rPr>
        <w:t>All migration scope includes post-migration support by the migration factory for 10 business days. Post-migration support starts at</w:t>
      </w:r>
      <w:r>
        <w:rPr>
          <w:rFonts w:eastAsiaTheme="minorHAnsi"/>
        </w:rPr>
        <w:t xml:space="preserve"> </w:t>
      </w:r>
      <w:r w:rsidRPr="008D018F">
        <w:rPr>
          <w:rFonts w:eastAsiaTheme="minorHAnsi"/>
        </w:rPr>
        <w:t>MAT handoff and is signaled by submission of the MAT acceptance form to the Customer. Post-migration support covers the following MAT, cutover, and post-cutover scenarios.</w:t>
      </w:r>
    </w:p>
    <w:p w14:paraId="03377AF0" w14:textId="60B5EDEC" w:rsidR="00024E96" w:rsidRPr="008D018F" w:rsidRDefault="00024E96" w:rsidP="002A5B4D">
      <w:pPr>
        <w:pStyle w:val="TableText"/>
        <w:numPr>
          <w:ilvl w:val="0"/>
          <w:numId w:val="74"/>
        </w:numPr>
        <w:spacing w:before="60" w:after="60" w:line="260" w:lineRule="atLeast"/>
        <w:ind w:left="360" w:hanging="360"/>
      </w:pPr>
      <w:r w:rsidRPr="000B048E">
        <w:rPr>
          <w:rFonts w:eastAsiaTheme="minorHAnsi"/>
          <w:b/>
          <w:bCs/>
        </w:rPr>
        <w:t>During MAT</w:t>
      </w:r>
      <w:r w:rsidR="000B048E">
        <w:t xml:space="preserve">: </w:t>
      </w:r>
      <w:r w:rsidRPr="008D018F">
        <w:t>Help the Customer resolve migration-related issues</w:t>
      </w:r>
      <w:r w:rsidR="00103B29">
        <w:t>.</w:t>
      </w:r>
    </w:p>
    <w:p w14:paraId="0273ECC8" w14:textId="40B74D33" w:rsidR="00024E96" w:rsidRPr="00A030A6" w:rsidRDefault="00024E96" w:rsidP="002A5B4D">
      <w:pPr>
        <w:pStyle w:val="TableText"/>
        <w:numPr>
          <w:ilvl w:val="0"/>
          <w:numId w:val="66"/>
        </w:numPr>
        <w:spacing w:before="60" w:after="60" w:line="260" w:lineRule="atLeast"/>
        <w:ind w:left="360"/>
        <w:rPr>
          <w:rFonts w:eastAsiaTheme="minorHAnsi"/>
          <w:b/>
          <w:bCs/>
        </w:rPr>
      </w:pPr>
      <w:r w:rsidRPr="00A030A6">
        <w:rPr>
          <w:rFonts w:eastAsiaTheme="minorHAnsi"/>
          <w:b/>
          <w:bCs/>
        </w:rPr>
        <w:t>Following MAT acceptance of production environments</w:t>
      </w:r>
      <w:r w:rsidR="000B048E">
        <w:rPr>
          <w:rFonts w:eastAsiaTheme="minorHAnsi"/>
          <w:b/>
          <w:bCs/>
        </w:rPr>
        <w:t>:</w:t>
      </w:r>
    </w:p>
    <w:p w14:paraId="344F72DA" w14:textId="180A35D4" w:rsidR="00024E96" w:rsidRPr="008D018F" w:rsidRDefault="00024E96" w:rsidP="002A5B4D">
      <w:pPr>
        <w:pStyle w:val="TableBullet1MS"/>
        <w:numPr>
          <w:ilvl w:val="0"/>
          <w:numId w:val="67"/>
        </w:numPr>
        <w:spacing w:before="60" w:after="60" w:line="260" w:lineRule="atLeast"/>
        <w:ind w:left="720" w:hanging="360"/>
      </w:pPr>
      <w:r w:rsidRPr="008D018F">
        <w:t>Provide guidance to the Customer during post-MAT cutover, if required</w:t>
      </w:r>
      <w:r w:rsidR="003D1FC5">
        <w:t>.</w:t>
      </w:r>
    </w:p>
    <w:p w14:paraId="66F5D687" w14:textId="6089D798" w:rsidR="00024E96" w:rsidRPr="008D018F" w:rsidRDefault="00024E96" w:rsidP="002A5B4D">
      <w:pPr>
        <w:pStyle w:val="TableBullet1MS"/>
        <w:numPr>
          <w:ilvl w:val="0"/>
          <w:numId w:val="67"/>
        </w:numPr>
        <w:spacing w:before="60" w:after="60" w:line="260" w:lineRule="atLeast"/>
        <w:ind w:left="720" w:hanging="360"/>
      </w:pPr>
      <w:r w:rsidRPr="008D018F">
        <w:t>Provide guidance to the Customer that addresses migration-related problems reported to Microsoft after MAT acceptance</w:t>
      </w:r>
      <w:r w:rsidR="003D1FC5">
        <w:t>.</w:t>
      </w:r>
    </w:p>
    <w:p w14:paraId="6047AD19" w14:textId="3233FEDB" w:rsidR="00024E96" w:rsidRPr="008D018F" w:rsidRDefault="00024E96" w:rsidP="002A5B4D">
      <w:pPr>
        <w:pStyle w:val="TableText"/>
        <w:numPr>
          <w:ilvl w:val="0"/>
          <w:numId w:val="73"/>
        </w:numPr>
        <w:spacing w:before="60" w:after="60" w:line="260" w:lineRule="atLeast"/>
        <w:ind w:left="360" w:hanging="360"/>
      </w:pPr>
      <w:r w:rsidRPr="000B048E">
        <w:rPr>
          <w:rFonts w:eastAsiaTheme="minorHAnsi"/>
          <w:b/>
          <w:bCs/>
        </w:rPr>
        <w:t>Following MAT acceptance of nonproduction environments</w:t>
      </w:r>
      <w:r w:rsidR="000B048E">
        <w:t xml:space="preserve">: </w:t>
      </w:r>
      <w:r w:rsidRPr="008D018F">
        <w:t>Support the Customer in order to resolve migration-related problems reported to Microsoft after MAT acceptance</w:t>
      </w:r>
      <w:r w:rsidR="00103B29">
        <w:t>.</w:t>
      </w:r>
    </w:p>
    <w:p w14:paraId="38C8839B" w14:textId="635D1010" w:rsidR="00024E96" w:rsidRPr="008D018F" w:rsidRDefault="00024E96" w:rsidP="002A5B4D">
      <w:pPr>
        <w:pStyle w:val="TableText"/>
        <w:numPr>
          <w:ilvl w:val="0"/>
          <w:numId w:val="70"/>
        </w:numPr>
        <w:spacing w:before="60" w:after="60" w:line="260" w:lineRule="atLeast"/>
        <w:ind w:left="360"/>
        <w:rPr>
          <w:rFonts w:eastAsiaTheme="minorHAnsi"/>
        </w:rPr>
      </w:pPr>
      <w:r w:rsidRPr="002A5B4D">
        <w:rPr>
          <w:rFonts w:eastAsiaTheme="minorHAnsi"/>
          <w:b/>
          <w:bCs/>
        </w:rPr>
        <w:t>Following post-migration support</w:t>
      </w:r>
      <w:r w:rsidR="000B048E">
        <w:rPr>
          <w:rFonts w:eastAsiaTheme="minorHAnsi"/>
          <w:b/>
          <w:bCs/>
        </w:rPr>
        <w:t xml:space="preserve">: </w:t>
      </w:r>
      <w:r w:rsidRPr="008D018F">
        <w:rPr>
          <w:rFonts w:eastAsiaTheme="minorHAnsi"/>
        </w:rPr>
        <w:t xml:space="preserve"> </w:t>
      </w:r>
      <w:r w:rsidR="000B048E">
        <w:rPr>
          <w:rFonts w:eastAsiaTheme="minorHAnsi"/>
        </w:rPr>
        <w:t>T</w:t>
      </w:r>
      <w:r w:rsidRPr="008D018F">
        <w:rPr>
          <w:rFonts w:eastAsiaTheme="minorHAnsi"/>
        </w:rPr>
        <w:t xml:space="preserve">he Customer will be solely responsible for resolving any problems not reported during post-migration support. </w:t>
      </w:r>
      <w:r w:rsidR="00103B29">
        <w:rPr>
          <w:rFonts w:eastAsiaTheme="minorHAnsi"/>
        </w:rPr>
        <w:t xml:space="preserve">The </w:t>
      </w:r>
      <w:r w:rsidRPr="008D018F">
        <w:rPr>
          <w:rFonts w:eastAsiaTheme="minorHAnsi"/>
        </w:rPr>
        <w:t>Customer can choose to fund extended post</w:t>
      </w:r>
      <w:r w:rsidR="009D4C3F">
        <w:rPr>
          <w:rFonts w:eastAsiaTheme="minorHAnsi"/>
        </w:rPr>
        <w:t>-migration</w:t>
      </w:r>
      <w:r w:rsidRPr="008D018F">
        <w:rPr>
          <w:rFonts w:eastAsiaTheme="minorHAnsi"/>
        </w:rPr>
        <w:t xml:space="preserve"> support for applications which meet specific criteria from a dedicated Microsoft team using </w:t>
      </w:r>
      <w:r w:rsidR="003D1FC5">
        <w:rPr>
          <w:rFonts w:eastAsiaTheme="minorHAnsi"/>
        </w:rPr>
        <w:t>“f</w:t>
      </w:r>
      <w:r w:rsidRPr="008D018F">
        <w:rPr>
          <w:rFonts w:eastAsiaTheme="minorHAnsi"/>
        </w:rPr>
        <w:t xml:space="preserve">lexible </w:t>
      </w:r>
      <w:r w:rsidR="003D1FC5">
        <w:rPr>
          <w:rFonts w:eastAsiaTheme="minorHAnsi"/>
        </w:rPr>
        <w:t>h</w:t>
      </w:r>
      <w:r w:rsidRPr="008D018F">
        <w:rPr>
          <w:rFonts w:eastAsiaTheme="minorHAnsi"/>
        </w:rPr>
        <w:t xml:space="preserve">ours </w:t>
      </w:r>
      <w:r w:rsidR="003D1FC5">
        <w:rPr>
          <w:rFonts w:eastAsiaTheme="minorHAnsi"/>
        </w:rPr>
        <w:t>a</w:t>
      </w:r>
      <w:r w:rsidRPr="008D018F">
        <w:rPr>
          <w:rFonts w:eastAsiaTheme="minorHAnsi"/>
        </w:rPr>
        <w:t>llocation.</w:t>
      </w:r>
      <w:r w:rsidR="003D1FC5">
        <w:rPr>
          <w:rFonts w:eastAsiaTheme="minorHAnsi"/>
        </w:rPr>
        <w:t>”</w:t>
      </w:r>
    </w:p>
    <w:p w14:paraId="2D76C08A" w14:textId="19DD2723" w:rsidR="00024E96" w:rsidRPr="000B048E" w:rsidRDefault="00024E96" w:rsidP="002A5B4D">
      <w:pPr>
        <w:pStyle w:val="TableText"/>
        <w:numPr>
          <w:ilvl w:val="0"/>
          <w:numId w:val="71"/>
        </w:numPr>
        <w:spacing w:before="60" w:after="60" w:line="260" w:lineRule="atLeast"/>
        <w:ind w:left="360"/>
        <w:rPr>
          <w:rFonts w:eastAsiaTheme="minorHAnsi"/>
        </w:rPr>
      </w:pPr>
      <w:r w:rsidRPr="000B048E">
        <w:rPr>
          <w:rFonts w:eastAsiaTheme="minorHAnsi"/>
          <w:b/>
          <w:bCs/>
        </w:rPr>
        <w:t xml:space="preserve">Hypercare </w:t>
      </w:r>
      <w:r w:rsidR="00103B29">
        <w:rPr>
          <w:rFonts w:eastAsiaTheme="minorHAnsi"/>
          <w:b/>
          <w:bCs/>
        </w:rPr>
        <w:t>s</w:t>
      </w:r>
      <w:r w:rsidRPr="000B048E">
        <w:rPr>
          <w:rFonts w:eastAsiaTheme="minorHAnsi"/>
          <w:b/>
          <w:bCs/>
        </w:rPr>
        <w:t xml:space="preserve">upport for </w:t>
      </w:r>
      <w:r w:rsidR="00103B29">
        <w:rPr>
          <w:rFonts w:eastAsiaTheme="minorHAnsi"/>
          <w:b/>
          <w:bCs/>
        </w:rPr>
        <w:t>s</w:t>
      </w:r>
      <w:r w:rsidRPr="000B048E">
        <w:rPr>
          <w:rFonts w:eastAsiaTheme="minorHAnsi"/>
          <w:b/>
          <w:bCs/>
        </w:rPr>
        <w:t xml:space="preserve">erver </w:t>
      </w:r>
      <w:r w:rsidR="00103B29">
        <w:rPr>
          <w:rFonts w:eastAsiaTheme="minorHAnsi"/>
          <w:b/>
          <w:bCs/>
        </w:rPr>
        <w:t>m</w:t>
      </w:r>
      <w:r w:rsidRPr="000B048E">
        <w:rPr>
          <w:rFonts w:eastAsiaTheme="minorHAnsi"/>
          <w:b/>
          <w:bCs/>
        </w:rPr>
        <w:t>igration</w:t>
      </w:r>
      <w:r w:rsidR="000B048E">
        <w:rPr>
          <w:rFonts w:eastAsiaTheme="minorHAnsi"/>
        </w:rPr>
        <w:t xml:space="preserve">: </w:t>
      </w:r>
      <w:r w:rsidRPr="000B048E">
        <w:rPr>
          <w:rFonts w:eastAsiaTheme="minorHAnsi"/>
        </w:rPr>
        <w:t>Provide 30 days of virtual machine monitoring support after post-migration support ends.</w:t>
      </w:r>
    </w:p>
    <w:p w14:paraId="03A941B8" w14:textId="7814775B" w:rsidR="00024E96" w:rsidRDefault="00024E96" w:rsidP="002A5B4D">
      <w:pPr>
        <w:pStyle w:val="TableText"/>
        <w:numPr>
          <w:ilvl w:val="0"/>
          <w:numId w:val="72"/>
        </w:numPr>
        <w:spacing w:before="60" w:after="60" w:line="260" w:lineRule="atLeast"/>
        <w:ind w:left="360"/>
      </w:pPr>
      <w:r w:rsidRPr="000B048E">
        <w:rPr>
          <w:rFonts w:eastAsiaTheme="minorHAnsi"/>
          <w:b/>
          <w:bCs/>
        </w:rPr>
        <w:t xml:space="preserve">Flexible </w:t>
      </w:r>
      <w:r w:rsidR="00103B29">
        <w:rPr>
          <w:rFonts w:eastAsiaTheme="minorHAnsi"/>
          <w:b/>
          <w:bCs/>
        </w:rPr>
        <w:t>h</w:t>
      </w:r>
      <w:r w:rsidRPr="000B048E">
        <w:rPr>
          <w:rFonts w:eastAsiaTheme="minorHAnsi"/>
          <w:b/>
          <w:bCs/>
        </w:rPr>
        <w:t xml:space="preserve">ours </w:t>
      </w:r>
      <w:r w:rsidR="002D741B">
        <w:rPr>
          <w:rFonts w:eastAsiaTheme="minorHAnsi"/>
          <w:b/>
          <w:bCs/>
        </w:rPr>
        <w:t>a</w:t>
      </w:r>
      <w:r w:rsidRPr="000B048E">
        <w:rPr>
          <w:rFonts w:eastAsiaTheme="minorHAnsi"/>
          <w:b/>
          <w:bCs/>
        </w:rPr>
        <w:t>llocation</w:t>
      </w:r>
      <w:r w:rsidR="000B048E">
        <w:t xml:space="preserve">: </w:t>
      </w:r>
      <w:r w:rsidRPr="008D018F">
        <w:t xml:space="preserve">As opportunities are identified to further drive Azure consumption toward Customer targets, Microsoft and the Customer will jointly review and approve hours from the flexible hours allocation pool of hours. These flexible hours can be applied to tasks that will drive workloads to Azure. </w:t>
      </w:r>
      <w:r w:rsidR="00A8373E" w:rsidRPr="00FF1877">
        <w:rPr>
          <w:rStyle w:val="InstructionalChar"/>
        </w:rPr>
        <w:t xml:space="preserve">[Flexible Factory Hours] </w:t>
      </w:r>
      <w:r w:rsidR="00A8373E" w:rsidRPr="008D018F">
        <w:t>flexible hours</w:t>
      </w:r>
      <w:r w:rsidR="00A8373E">
        <w:t xml:space="preserve"> have been added to the program</w:t>
      </w:r>
      <w:r w:rsidR="002D741B">
        <w:t>.</w:t>
      </w:r>
    </w:p>
    <w:p w14:paraId="0D385758" w14:textId="586E2398" w:rsidR="00FB506C" w:rsidRPr="00630B0C" w:rsidRDefault="00FB506C" w:rsidP="002A5B4D">
      <w:pPr>
        <w:pStyle w:val="Heading3"/>
        <w:numPr>
          <w:ilvl w:val="3"/>
          <w:numId w:val="10"/>
        </w:numPr>
        <w:ind w:left="990" w:hanging="990"/>
      </w:pPr>
      <w:r w:rsidRPr="00630B0C">
        <w:t xml:space="preserve">Product </w:t>
      </w:r>
      <w:r w:rsidR="00D338AF">
        <w:t>definition</w:t>
      </w:r>
      <w:r w:rsidR="005A355A">
        <w:t>s</w:t>
      </w:r>
    </w:p>
    <w:p w14:paraId="457B7DB2" w14:textId="77777777" w:rsidR="00FB506C" w:rsidRPr="008D018F" w:rsidRDefault="00FB506C" w:rsidP="00FB506C">
      <w:pPr>
        <w:spacing w:before="0" w:after="160"/>
      </w:pPr>
      <w:r w:rsidRPr="008D018F">
        <w:t xml:space="preserve">The </w:t>
      </w:r>
      <w:r>
        <w:t>program</w:t>
      </w:r>
      <w:r w:rsidRPr="008D018F">
        <w:t xml:space="preserve"> will deliver the products defined below based on the prioritized backlog:</w:t>
      </w:r>
    </w:p>
    <w:p w14:paraId="2D91EE61" w14:textId="68932730" w:rsidR="00FB506C" w:rsidRPr="008D018F" w:rsidRDefault="00FB506C" w:rsidP="002A5B4D">
      <w:pPr>
        <w:pStyle w:val="Bulletlist"/>
        <w:spacing w:before="60" w:after="60" w:line="260" w:lineRule="atLeast"/>
        <w:contextualSpacing w:val="0"/>
      </w:pPr>
      <w:r w:rsidRPr="008D018F">
        <w:t xml:space="preserve">ALZ is a product and the Customer’s </w:t>
      </w:r>
      <w:r w:rsidR="00A10FF4">
        <w:t xml:space="preserve">OKRs </w:t>
      </w:r>
      <w:r w:rsidRPr="008D018F">
        <w:t>will be defined during product baseline planning.</w:t>
      </w:r>
    </w:p>
    <w:p w14:paraId="73EBB16E" w14:textId="7CA2999E" w:rsidR="00773570" w:rsidRPr="00F707A2" w:rsidRDefault="00773570" w:rsidP="002A5B4D">
      <w:pPr>
        <w:pStyle w:val="Bulletlist"/>
        <w:spacing w:before="60" w:after="60" w:line="260" w:lineRule="atLeast"/>
        <w:contextualSpacing w:val="0"/>
      </w:pPr>
      <w:r>
        <w:lastRenderedPageBreak/>
        <w:t xml:space="preserve">WLZ-AKS </w:t>
      </w:r>
      <w:r w:rsidRPr="008D018F">
        <w:t xml:space="preserve">is a product and </w:t>
      </w:r>
      <w:r>
        <w:t>the Customer’s OKRs</w:t>
      </w:r>
      <w:r w:rsidRPr="00951D70">
        <w:t xml:space="preserve"> </w:t>
      </w:r>
      <w:r w:rsidR="00EA2215">
        <w:t xml:space="preserve">will be defined </w:t>
      </w:r>
      <w:r w:rsidRPr="00951D70">
        <w:t>during product baseline planning.</w:t>
      </w:r>
    </w:p>
    <w:p w14:paraId="5272DB79" w14:textId="77777777" w:rsidR="00FB506C" w:rsidRPr="008D018F" w:rsidRDefault="00FB506C" w:rsidP="002A5B4D">
      <w:pPr>
        <w:pStyle w:val="Bulletlist"/>
        <w:spacing w:before="60" w:after="60" w:line="260" w:lineRule="atLeast"/>
        <w:contextualSpacing w:val="0"/>
      </w:pPr>
      <w:r w:rsidRPr="008D018F">
        <w:t>AMS and all servers and applications that move through it are a product and follow a shared set of OKRs with specific application OKRs handled only on an exception basis. OKRs will be defined during the Prepare phase.</w:t>
      </w:r>
    </w:p>
    <w:p w14:paraId="1B5AA1CD" w14:textId="77777777" w:rsidR="00FB506C" w:rsidRPr="008D018F" w:rsidRDefault="00FB506C" w:rsidP="002A5B4D">
      <w:pPr>
        <w:pStyle w:val="Bulletlist"/>
        <w:spacing w:before="60" w:after="60" w:line="260" w:lineRule="atLeast"/>
        <w:contextualSpacing w:val="0"/>
      </w:pPr>
      <w:r w:rsidRPr="008D018F">
        <w:t>ARS and all applications that move through it are a product and follow a shared set of OKRs with specific application OKRs handled only on an exception basis. OKRs will be defined during the Prepare phase.</w:t>
      </w:r>
    </w:p>
    <w:p w14:paraId="45FF920E" w14:textId="77777777" w:rsidR="00EA2215" w:rsidRDefault="00EA2215" w:rsidP="002A5B4D">
      <w:pPr>
        <w:pStyle w:val="Bulletlist"/>
        <w:spacing w:before="60" w:after="60" w:line="260" w:lineRule="atLeast"/>
        <w:contextualSpacing w:val="0"/>
      </w:pPr>
      <w:r w:rsidRPr="00326C95">
        <w:t>ATS treats each application as a separate product with distinct OKRs defined during each application’s individual product baseline planning.</w:t>
      </w:r>
    </w:p>
    <w:p w14:paraId="00875D8F" w14:textId="77777777" w:rsidR="002F1EEF" w:rsidRPr="00326C95" w:rsidRDefault="002F1EEF" w:rsidP="002A5B4D">
      <w:pPr>
        <w:pStyle w:val="Bulletlist"/>
        <w:spacing w:before="60" w:after="60" w:line="260" w:lineRule="atLeast"/>
        <w:contextualSpacing w:val="0"/>
      </w:pPr>
      <w:r>
        <w:t>CMS</w:t>
      </w:r>
      <w:r w:rsidRPr="00215618">
        <w:t xml:space="preserve"> and all applications that move through it follow a shared set of OKRs with specific application OKRs han</w:t>
      </w:r>
      <w:r w:rsidRPr="00FB01F6">
        <w:t xml:space="preserve">dled </w:t>
      </w:r>
      <w:r w:rsidRPr="00904346">
        <w:t>only on an exception basis. OKRs will be defined during the Prepare phase.</w:t>
      </w:r>
    </w:p>
    <w:p w14:paraId="7EFDFE13" w14:textId="11C0904A" w:rsidR="00FB506C" w:rsidRPr="008D018F" w:rsidRDefault="00FB506C" w:rsidP="002A5B4D">
      <w:pPr>
        <w:pStyle w:val="Bulletlist"/>
        <w:spacing w:before="60" w:after="60" w:line="260" w:lineRule="atLeast"/>
        <w:contextualSpacing w:val="0"/>
      </w:pPr>
      <w:r w:rsidRPr="008D018F">
        <w:t>DMS and all databases that move through it are a product and follow a shared set of OKRs with specific database OKRs handled only on an exception basis. OKRs will be defined during the Prepare phase. Dependencies with applications moving through AMS</w:t>
      </w:r>
      <w:r w:rsidR="000933FD">
        <w:t xml:space="preserve">, </w:t>
      </w:r>
      <w:r w:rsidRPr="008D018F">
        <w:t>ARS</w:t>
      </w:r>
      <w:r w:rsidR="000933FD">
        <w:t>, and CMS</w:t>
      </w:r>
      <w:r w:rsidRPr="008D018F">
        <w:t xml:space="preserve"> may exist.</w:t>
      </w:r>
    </w:p>
    <w:p w14:paraId="65030F5E" w14:textId="187AEF39" w:rsidR="00ED1C2A" w:rsidRPr="00ED1C2A" w:rsidRDefault="00ED1C2A" w:rsidP="000D26FB">
      <w:pPr>
        <w:pStyle w:val="Heading3"/>
      </w:pPr>
      <w:r w:rsidRPr="00ED1C2A">
        <w:t xml:space="preserve">Velocity and application pipeline planning </w:t>
      </w:r>
    </w:p>
    <w:p w14:paraId="25E094F4" w14:textId="70533826" w:rsidR="003874A9" w:rsidRPr="00630B0C" w:rsidRDefault="003874A9" w:rsidP="003874A9">
      <w:pPr>
        <w:keepNext/>
        <w:keepLines/>
        <w:outlineLvl w:val="3"/>
        <w:rPr>
          <w:rFonts w:eastAsia="DengXian Light" w:cs="Times New Roman"/>
          <w:b/>
          <w:sz w:val="24"/>
          <w:szCs w:val="24"/>
        </w:rPr>
      </w:pPr>
      <w:r>
        <w:rPr>
          <w:rFonts w:eastAsia="DengXian Light" w:cs="Times New Roman"/>
          <w:b/>
          <w:sz w:val="24"/>
          <w:szCs w:val="24"/>
        </w:rPr>
        <w:t xml:space="preserve">Velocity </w:t>
      </w:r>
      <w:r w:rsidR="000D26FB">
        <w:rPr>
          <w:rFonts w:eastAsia="DengXian Light" w:cs="Times New Roman"/>
          <w:b/>
          <w:sz w:val="24"/>
          <w:szCs w:val="24"/>
        </w:rPr>
        <w:t>p</w:t>
      </w:r>
      <w:r>
        <w:rPr>
          <w:rFonts w:eastAsia="DengXian Light" w:cs="Times New Roman"/>
          <w:b/>
          <w:sz w:val="24"/>
          <w:szCs w:val="24"/>
        </w:rPr>
        <w:t>lanning</w:t>
      </w:r>
    </w:p>
    <w:p w14:paraId="705B4C30" w14:textId="7A411647" w:rsidR="00800858" w:rsidRDefault="00800858" w:rsidP="00F63C17">
      <w:r w:rsidRPr="00F707A2">
        <w:t>During the Prepare phase</w:t>
      </w:r>
      <w:r w:rsidR="00EA1DC2" w:rsidRPr="00F707A2">
        <w:t>,</w:t>
      </w:r>
      <w:r w:rsidRPr="00F707A2">
        <w:t xml:space="preserve"> Microsoft and </w:t>
      </w:r>
      <w:r w:rsidR="005E4F09">
        <w:t xml:space="preserve">the </w:t>
      </w:r>
      <w:r w:rsidRPr="00F707A2">
        <w:t xml:space="preserve">Customer will build a view of the aggregate number of applications </w:t>
      </w:r>
      <w:r w:rsidR="009D71CA" w:rsidRPr="00F707A2">
        <w:t xml:space="preserve">and databases </w:t>
      </w:r>
      <w:r w:rsidRPr="00F707A2">
        <w:t>planned to be migrated or modernized over each sprint remaining in the engagement. The view represents the baseline velocity plan for the rates of migration and modernization of the applications</w:t>
      </w:r>
      <w:r w:rsidR="008D79A4" w:rsidRPr="00F707A2">
        <w:t xml:space="preserve"> and databases</w:t>
      </w:r>
      <w:r w:rsidRPr="00F707A2">
        <w:t>; it does not identify specific applications</w:t>
      </w:r>
      <w:r w:rsidR="008D79A4" w:rsidRPr="00F707A2">
        <w:t xml:space="preserve"> or databases</w:t>
      </w:r>
      <w:r w:rsidR="00986E9B">
        <w:t>—</w:t>
      </w:r>
      <w:r w:rsidRPr="00F707A2">
        <w:t xml:space="preserve">only an aggregate count. Microsoft and </w:t>
      </w:r>
      <w:r w:rsidR="005E4F09">
        <w:t xml:space="preserve">the </w:t>
      </w:r>
      <w:r w:rsidRPr="00F707A2">
        <w:t xml:space="preserve">Customer will use this information to review and adjust capacity and duration as needed. During the Pilot and Migrate phases, the velocity plan will be updated and reviewed with the prioritized </w:t>
      </w:r>
      <w:r w:rsidR="00953AAA" w:rsidRPr="00F707A2">
        <w:t>backlog</w:t>
      </w:r>
      <w:r w:rsidR="00393E5F" w:rsidRPr="00F707A2">
        <w:t>,</w:t>
      </w:r>
      <w:r w:rsidR="00953AAA" w:rsidRPr="00F707A2">
        <w:t xml:space="preserve"> initially</w:t>
      </w:r>
      <w:r w:rsidRPr="00F707A2">
        <w:t xml:space="preserve"> after every application</w:t>
      </w:r>
      <w:r w:rsidR="009447E8" w:rsidRPr="00F707A2">
        <w:t xml:space="preserve"> and database</w:t>
      </w:r>
      <w:r w:rsidRPr="00F707A2">
        <w:t xml:space="preserve"> move</w:t>
      </w:r>
      <w:r w:rsidR="00FF36AF" w:rsidRPr="00F707A2">
        <w:t>,</w:t>
      </w:r>
      <w:r w:rsidRPr="00F707A2">
        <w:t xml:space="preserve"> and as the engagement progresses, monthly to adjust resourcing or duration as needed. If the resourcing or duration adjustment requires a formal change request, the </w:t>
      </w:r>
      <w:r w:rsidR="00BD0631" w:rsidRPr="00F707A2">
        <w:t>engagement</w:t>
      </w:r>
      <w:r w:rsidR="007D00C4" w:rsidRPr="00F707A2">
        <w:t>’s</w:t>
      </w:r>
      <w:r w:rsidRPr="00F707A2">
        <w:t xml:space="preserve"> change management process as described in the </w:t>
      </w:r>
      <w:r w:rsidR="00D76EA1" w:rsidRPr="00F707A2">
        <w:t xml:space="preserve">EDA </w:t>
      </w:r>
      <w:r w:rsidRPr="00F707A2">
        <w:t>will be followed.</w:t>
      </w:r>
    </w:p>
    <w:p w14:paraId="5CD8C686" w14:textId="77777777" w:rsidR="003204CA" w:rsidRPr="00230078" w:rsidRDefault="003204CA" w:rsidP="00230078">
      <w:pPr>
        <w:keepNext/>
        <w:keepLines/>
        <w:outlineLvl w:val="3"/>
        <w:rPr>
          <w:rFonts w:eastAsia="DengXian Light" w:cs="Times New Roman"/>
          <w:b/>
          <w:sz w:val="24"/>
          <w:szCs w:val="24"/>
        </w:rPr>
      </w:pPr>
      <w:r w:rsidRPr="00230078">
        <w:rPr>
          <w:rFonts w:eastAsia="DengXian Light" w:cs="Times New Roman"/>
          <w:b/>
          <w:sz w:val="24"/>
          <w:szCs w:val="24"/>
        </w:rPr>
        <w:t>Application pipeline planning</w:t>
      </w:r>
    </w:p>
    <w:p w14:paraId="0344F8C5" w14:textId="439DF03B" w:rsidR="003204CA" w:rsidRDefault="003204CA" w:rsidP="003204CA">
      <w:r>
        <w:t xml:space="preserve">Microsoft and the Customer </w:t>
      </w:r>
      <w:r w:rsidRPr="00844152">
        <w:t>will conduct</w:t>
      </w:r>
      <w:r>
        <w:t xml:space="preserve"> </w:t>
      </w:r>
      <w:r w:rsidRPr="00844152">
        <w:t>application pipeline planning</w:t>
      </w:r>
      <w:r>
        <w:t xml:space="preserve"> </w:t>
      </w:r>
      <w:r w:rsidRPr="00844152">
        <w:t>during mutually agreed</w:t>
      </w:r>
      <w:r w:rsidR="009D4C3F">
        <w:t>-</w:t>
      </w:r>
      <w:r w:rsidRPr="00844152">
        <w:t>upon time frame</w:t>
      </w:r>
      <w:r>
        <w:t>s,</w:t>
      </w:r>
      <w:r w:rsidRPr="00844152">
        <w:t xml:space="preserve"> to </w:t>
      </w:r>
      <w:r>
        <w:t>develop</w:t>
      </w:r>
      <w:r w:rsidRPr="00844152">
        <w:t xml:space="preserve"> the </w:t>
      </w:r>
      <w:r>
        <w:t xml:space="preserve">pipeline </w:t>
      </w:r>
      <w:r w:rsidRPr="00844152">
        <w:t>for</w:t>
      </w:r>
      <w:r w:rsidR="00E54884">
        <w:t xml:space="preserve"> the progra</w:t>
      </w:r>
      <w:r w:rsidR="007E4233">
        <w:t>m. The program is broken into</w:t>
      </w:r>
      <w:r w:rsidR="005D53A1">
        <w:t xml:space="preserve"> </w:t>
      </w:r>
      <w:r w:rsidR="00F255E3">
        <w:t xml:space="preserve">a </w:t>
      </w:r>
      <w:r w:rsidR="005D53A1">
        <w:t xml:space="preserve">multiple </w:t>
      </w:r>
      <w:r w:rsidR="00990166">
        <w:t xml:space="preserve">series of </w:t>
      </w:r>
      <w:r w:rsidR="005D53A1">
        <w:t xml:space="preserve">migration </w:t>
      </w:r>
      <w:r w:rsidR="00990166">
        <w:t xml:space="preserve">sprints </w:t>
      </w:r>
      <w:r w:rsidR="00E54884">
        <w:t xml:space="preserve">called </w:t>
      </w:r>
      <w:r>
        <w:t>migration</w:t>
      </w:r>
      <w:r w:rsidRPr="00844152">
        <w:t xml:space="preserve"> </w:t>
      </w:r>
      <w:r>
        <w:t>w</w:t>
      </w:r>
      <w:r w:rsidRPr="00844152">
        <w:t>ave</w:t>
      </w:r>
      <w:r w:rsidR="006C29A0">
        <w:t>s</w:t>
      </w:r>
      <w:r w:rsidRPr="00844152">
        <w:t>.</w:t>
      </w:r>
      <w:r w:rsidR="006C29A0">
        <w:t xml:space="preserve"> The number of migration waves will be </w:t>
      </w:r>
      <w:r w:rsidR="00923016">
        <w:t xml:space="preserve">mutually agreed to during the Prepare phase. </w:t>
      </w:r>
    </w:p>
    <w:p w14:paraId="08085B3C" w14:textId="0401E4AE" w:rsidR="003204CA" w:rsidRDefault="003204CA" w:rsidP="003204CA">
      <w:r>
        <w:t>The Customer</w:t>
      </w:r>
      <w:r w:rsidRPr="00844152">
        <w:t xml:space="preserve"> will be responsible </w:t>
      </w:r>
      <w:r>
        <w:t xml:space="preserve">for the </w:t>
      </w:r>
      <w:r w:rsidRPr="00844152">
        <w:t>identif</w:t>
      </w:r>
      <w:r>
        <w:t>ication of the pipeline of applications</w:t>
      </w:r>
      <w:r w:rsidRPr="00844152">
        <w:t>.</w:t>
      </w:r>
      <w:r>
        <w:t xml:space="preserve"> </w:t>
      </w:r>
      <w:r w:rsidR="00DE72D8">
        <w:t xml:space="preserve">Starting in the Pilot phase, the </w:t>
      </w:r>
      <w:r w:rsidR="00DE72D8" w:rsidRPr="00CB5459">
        <w:t xml:space="preserve">Customer </w:t>
      </w:r>
      <w:r w:rsidR="00DE72D8">
        <w:t xml:space="preserve">agrees to maintain a monthly </w:t>
      </w:r>
      <w:r w:rsidR="00DE72D8" w:rsidRPr="00C50FF8">
        <w:t>minimum</w:t>
      </w:r>
      <w:r w:rsidR="00DE72D8">
        <w:t xml:space="preserve"> threshold of </w:t>
      </w:r>
      <w:r w:rsidR="00DE72D8" w:rsidRPr="008502CE">
        <w:rPr>
          <w:rStyle w:val="InstructionalChar"/>
        </w:rPr>
        <w:t>&lt;Intake Velocity in OSE&gt;</w:t>
      </w:r>
      <w:r w:rsidR="00DE72D8">
        <w:t xml:space="preserve"> applications and their associated databases for the intake assessment backlog. This threshold will be reviewed on a weekly basis.</w:t>
      </w:r>
      <w:r w:rsidR="00E01C28">
        <w:t xml:space="preserve"> </w:t>
      </w:r>
      <w:r>
        <w:t>The Customer</w:t>
      </w:r>
      <w:r w:rsidRPr="00844152">
        <w:t xml:space="preserve"> will also </w:t>
      </w:r>
      <w:r>
        <w:t xml:space="preserve">provide to Microsoft, the </w:t>
      </w:r>
      <w:r w:rsidRPr="00844152">
        <w:t>prioritiz</w:t>
      </w:r>
      <w:r>
        <w:t>ation of the applications</w:t>
      </w:r>
      <w:r w:rsidRPr="00844152">
        <w:t xml:space="preserve"> </w:t>
      </w:r>
      <w:r>
        <w:t>included in the pipeline</w:t>
      </w:r>
      <w:r w:rsidRPr="00844152">
        <w:t xml:space="preserve">. </w:t>
      </w:r>
      <w:r>
        <w:t>The pipeline will provide key preliminary information about the applicable applications, such as contacts for Customer application owners and any known interfacing applications.</w:t>
      </w:r>
    </w:p>
    <w:p w14:paraId="43A0D315" w14:textId="7C833F20" w:rsidR="003204CA" w:rsidRDefault="003204CA" w:rsidP="003204CA">
      <w:r>
        <w:t xml:space="preserve">For the applications included in the pipeline, Microsoft will then start the creation of the migration plan, which will include </w:t>
      </w:r>
      <w:r w:rsidRPr="00D0709B">
        <w:t xml:space="preserve">understanding application affinity or which </w:t>
      </w:r>
      <w:r>
        <w:t xml:space="preserve">applications </w:t>
      </w:r>
      <w:r w:rsidRPr="00D0709B">
        <w:t xml:space="preserve">must </w:t>
      </w:r>
      <w:r>
        <w:t>migrate</w:t>
      </w:r>
      <w:r w:rsidRPr="00D0709B">
        <w:t xml:space="preserve"> together and defin</w:t>
      </w:r>
      <w:r>
        <w:t>ing</w:t>
      </w:r>
      <w:r w:rsidRPr="00D0709B">
        <w:t xml:space="preserve"> those bundles. </w:t>
      </w:r>
      <w:r>
        <w:t>Microsoft</w:t>
      </w:r>
      <w:r w:rsidRPr="00D0709B">
        <w:t xml:space="preserve"> will engage </w:t>
      </w:r>
      <w:r>
        <w:t xml:space="preserve">Customer </w:t>
      </w:r>
      <w:r w:rsidRPr="00D0709B">
        <w:t xml:space="preserve">business owners to align the migration plan </w:t>
      </w:r>
      <w:r>
        <w:t xml:space="preserve">in </w:t>
      </w:r>
      <w:r>
        <w:lastRenderedPageBreak/>
        <w:t>accordance with business owner</w:t>
      </w:r>
      <w:r w:rsidRPr="00D0709B">
        <w:t xml:space="preserve"> inputs </w:t>
      </w:r>
      <w:r>
        <w:t>regarding</w:t>
      </w:r>
      <w:r w:rsidRPr="00D0709B">
        <w:t xml:space="preserve"> application complexity and criticality, business disruption impact, business owner/application owner availability, and legal/regulatory impacts.</w:t>
      </w:r>
      <w:r>
        <w:t xml:space="preserve"> Micro</w:t>
      </w:r>
      <w:r w:rsidRPr="00846D92">
        <w:t xml:space="preserve">soft’s </w:t>
      </w:r>
      <w:r>
        <w:t>migration process</w:t>
      </w:r>
      <w:r w:rsidRPr="00846D92">
        <w:t xml:space="preserve"> will include</w:t>
      </w:r>
      <w:r w:rsidRPr="009E7481">
        <w:t xml:space="preserve"> defining migration bundles (move groups), sequencing the bundles, and aligning bundles according to the planned </w:t>
      </w:r>
      <w:r>
        <w:t>m</w:t>
      </w:r>
      <w:r w:rsidRPr="009E7481">
        <w:t xml:space="preserve">igration </w:t>
      </w:r>
      <w:r>
        <w:t>w</w:t>
      </w:r>
      <w:r w:rsidRPr="009E7481">
        <w:t>ave schedule.</w:t>
      </w:r>
    </w:p>
    <w:p w14:paraId="0BCEA5A3" w14:textId="77777777" w:rsidR="003204CA" w:rsidRDefault="003204CA" w:rsidP="003204CA">
      <w:r>
        <w:t>Once the pipeline planning is complete and approved by the Customer, it will be incorporated into the migration wave plan.</w:t>
      </w:r>
    </w:p>
    <w:p w14:paraId="7F622D94" w14:textId="7C1CFA6B" w:rsidR="00470EA7" w:rsidRDefault="003306D7" w:rsidP="000D26FB">
      <w:pPr>
        <w:pStyle w:val="Heading3"/>
      </w:pPr>
      <w:bookmarkStart w:id="3" w:name="_Ref73525370"/>
      <w:bookmarkStart w:id="4" w:name="_Ref74571105"/>
      <w:bookmarkStart w:id="5" w:name="_Ref74571114"/>
      <w:r>
        <w:t>Program</w:t>
      </w:r>
      <w:r w:rsidR="0FD1F39C">
        <w:t xml:space="preserve"> size and timeline</w:t>
      </w:r>
      <w:bookmarkEnd w:id="3"/>
      <w:bookmarkEnd w:id="4"/>
      <w:bookmarkEnd w:id="5"/>
    </w:p>
    <w:p w14:paraId="54D59EEC" w14:textId="5C801B80" w:rsidR="00D854D9" w:rsidRPr="00D854D9" w:rsidRDefault="00C10D0F" w:rsidP="00D854D9">
      <w:pPr>
        <w:pStyle w:val="Instructional"/>
      </w:pPr>
      <w:r>
        <w:t>If you need to include a staffing plan</w:t>
      </w:r>
      <w:r w:rsidR="001929F3">
        <w:t xml:space="preserve"> (text in </w:t>
      </w:r>
      <w:r w:rsidR="009318F9">
        <w:t>blue)</w:t>
      </w:r>
      <w:r>
        <w:t xml:space="preserve">, please refer to guidance in the Deal Shaping &amp; Pricing Guide </w:t>
      </w:r>
      <w:r w:rsidR="001929F3">
        <w:t>for suggestions on how to create the plan.</w:t>
      </w:r>
    </w:p>
    <w:p w14:paraId="747B70B6" w14:textId="32FCE732" w:rsidR="00470EA7" w:rsidRPr="00622AE0" w:rsidRDefault="00470EA7" w:rsidP="00470EA7">
      <w:pPr>
        <w:rPr>
          <w:rStyle w:val="OptionalChar"/>
        </w:rPr>
      </w:pPr>
      <w:r>
        <w:t xml:space="preserve">The </w:t>
      </w:r>
      <w:r w:rsidR="007428AE">
        <w:t xml:space="preserve">maximum </w:t>
      </w:r>
      <w:r w:rsidR="002529CE">
        <w:t xml:space="preserve">resource </w:t>
      </w:r>
      <w:r>
        <w:t xml:space="preserve">capacity </w:t>
      </w:r>
      <w:r w:rsidR="003B7100">
        <w:t xml:space="preserve">and months available </w:t>
      </w:r>
      <w:r>
        <w:t>by phase</w:t>
      </w:r>
      <w:r w:rsidR="00240E72">
        <w:t xml:space="preserve"> </w:t>
      </w:r>
      <w:r w:rsidR="00C83092">
        <w:t>are</w:t>
      </w:r>
      <w:r>
        <w:t xml:space="preserve"> shown in the following table</w:t>
      </w:r>
      <w:r w:rsidR="008D116B">
        <w:t>.</w:t>
      </w:r>
      <w:r w:rsidR="000A22CF">
        <w:t xml:space="preserve"> Feature </w:t>
      </w:r>
      <w:r w:rsidR="006902BC">
        <w:t>teams</w:t>
      </w:r>
      <w:r w:rsidR="000A22CF">
        <w:t xml:space="preserve"> will be staffed</w:t>
      </w:r>
      <w:r w:rsidR="000B397C">
        <w:t xml:space="preserve"> </w:t>
      </w:r>
      <w:r w:rsidR="005B248B">
        <w:t>within</w:t>
      </w:r>
      <w:r w:rsidR="000B397C">
        <w:t xml:space="preserve"> these </w:t>
      </w:r>
      <w:r w:rsidR="005B248B">
        <w:t>limits.</w:t>
      </w:r>
      <w:r w:rsidR="00DF5FBA">
        <w:t xml:space="preserve"> </w:t>
      </w:r>
      <w:r w:rsidR="00DF5FBA" w:rsidRPr="00622AE0">
        <w:rPr>
          <w:rStyle w:val="OptionalChar"/>
        </w:rPr>
        <w:t xml:space="preserve">For details, please </w:t>
      </w:r>
      <w:r w:rsidR="00134114" w:rsidRPr="00622AE0">
        <w:rPr>
          <w:rStyle w:val="OptionalChar"/>
        </w:rPr>
        <w:t>review</w:t>
      </w:r>
      <w:r w:rsidR="00DF5FBA" w:rsidRPr="00622AE0">
        <w:rPr>
          <w:rStyle w:val="OptionalChar"/>
        </w:rPr>
        <w:t xml:space="preserve"> the staffing plan</w:t>
      </w:r>
      <w:r w:rsidR="00234B83" w:rsidRPr="00622AE0">
        <w:rPr>
          <w:rStyle w:val="OptionalChar"/>
        </w:rPr>
        <w:t xml:space="preserve"> that is referenced in the </w:t>
      </w:r>
      <w:r w:rsidR="00234B83" w:rsidRPr="00EF40BA">
        <w:rPr>
          <w:rStyle w:val="OptionalChar"/>
          <w:i/>
          <w:iCs/>
        </w:rPr>
        <w:t>Attachments</w:t>
      </w:r>
      <w:r w:rsidR="00234B83" w:rsidRPr="00622AE0">
        <w:rPr>
          <w:rStyle w:val="OptionalChar"/>
        </w:rPr>
        <w:t xml:space="preserve"> section.</w:t>
      </w:r>
    </w:p>
    <w:p w14:paraId="3E9FF053" w14:textId="77777777" w:rsidR="00470EA7" w:rsidRDefault="00470EA7" w:rsidP="00470EA7">
      <w:pPr>
        <w:pStyle w:val="Instructional"/>
      </w:pPr>
      <w:r>
        <w:t>Update the tables below with information from OSE / CompassOne.</w:t>
      </w:r>
    </w:p>
    <w:tbl>
      <w:tblPr>
        <w:tblStyle w:val="TableGrid"/>
        <w:tblW w:w="926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20" w:firstRow="1" w:lastRow="0" w:firstColumn="0" w:lastColumn="0" w:noHBand="0" w:noVBand="1"/>
      </w:tblPr>
      <w:tblGrid>
        <w:gridCol w:w="3055"/>
        <w:gridCol w:w="1372"/>
        <w:gridCol w:w="4838"/>
      </w:tblGrid>
      <w:tr w:rsidR="00E64845" w:rsidRPr="00F91A08" w14:paraId="036F3B84" w14:textId="77777777" w:rsidTr="006B1C63">
        <w:trPr>
          <w:tblHeader/>
        </w:trPr>
        <w:tc>
          <w:tcPr>
            <w:tcW w:w="3055" w:type="dxa"/>
            <w:shd w:val="clear" w:color="auto" w:fill="008272"/>
          </w:tcPr>
          <w:p w14:paraId="7A75891F" w14:textId="2B3E2868" w:rsidR="00E64845" w:rsidRPr="00F91A08" w:rsidRDefault="00E64845" w:rsidP="00BE094D">
            <w:pPr>
              <w:pStyle w:val="Table-Header"/>
            </w:pPr>
            <w:r>
              <w:t xml:space="preserve">Engagement </w:t>
            </w:r>
            <w:r w:rsidR="00F81211">
              <w:t>p</w:t>
            </w:r>
            <w:r>
              <w:t>hase</w:t>
            </w:r>
          </w:p>
        </w:tc>
        <w:tc>
          <w:tcPr>
            <w:tcW w:w="1372" w:type="dxa"/>
            <w:shd w:val="clear" w:color="auto" w:fill="008272"/>
          </w:tcPr>
          <w:p w14:paraId="0A1A623A" w14:textId="0AA0DCF3" w:rsidR="00E64845" w:rsidRPr="00F91A08" w:rsidRDefault="003E67A9" w:rsidP="001B0A33">
            <w:pPr>
              <w:pStyle w:val="Table-Header"/>
            </w:pPr>
            <w:r>
              <w:t>Duration (</w:t>
            </w:r>
            <w:r w:rsidR="00F63C17">
              <w:t>m</w:t>
            </w:r>
            <w:r w:rsidR="00E64845">
              <w:t>onths</w:t>
            </w:r>
            <w:r>
              <w:t>)</w:t>
            </w:r>
          </w:p>
        </w:tc>
        <w:tc>
          <w:tcPr>
            <w:tcW w:w="4838" w:type="dxa"/>
            <w:shd w:val="clear" w:color="auto" w:fill="008272"/>
          </w:tcPr>
          <w:p w14:paraId="24B65F35" w14:textId="77777777" w:rsidR="00E64845" w:rsidRPr="00F91A08" w:rsidRDefault="00E64845" w:rsidP="00BE094D">
            <w:pPr>
              <w:pStyle w:val="Table-Header"/>
            </w:pPr>
            <w:r>
              <w:t>Resources</w:t>
            </w:r>
          </w:p>
        </w:tc>
      </w:tr>
      <w:tr w:rsidR="00E64845" w:rsidRPr="00F91A08" w14:paraId="5200106D" w14:textId="77777777" w:rsidTr="006B1C63">
        <w:tc>
          <w:tcPr>
            <w:tcW w:w="3055" w:type="dxa"/>
            <w:shd w:val="clear" w:color="auto" w:fill="auto"/>
          </w:tcPr>
          <w:p w14:paraId="5D4AE076" w14:textId="77777777" w:rsidR="00E64845" w:rsidRPr="00F91A08" w:rsidRDefault="00E64845" w:rsidP="00BE094D">
            <w:pPr>
              <w:pStyle w:val="TableText"/>
            </w:pPr>
            <w:r>
              <w:t>Prepare</w:t>
            </w:r>
          </w:p>
        </w:tc>
        <w:tc>
          <w:tcPr>
            <w:tcW w:w="1372" w:type="dxa"/>
            <w:shd w:val="clear" w:color="auto" w:fill="auto"/>
          </w:tcPr>
          <w:p w14:paraId="1C9200D6" w14:textId="77777777" w:rsidR="00E64845" w:rsidRPr="00F91A08" w:rsidRDefault="00E64845" w:rsidP="001B0A33">
            <w:pPr>
              <w:pStyle w:val="Optional"/>
            </w:pPr>
            <w:r>
              <w:t>3</w:t>
            </w:r>
          </w:p>
        </w:tc>
        <w:tc>
          <w:tcPr>
            <w:tcW w:w="4838" w:type="dxa"/>
            <w:shd w:val="clear" w:color="auto" w:fill="auto"/>
          </w:tcPr>
          <w:p w14:paraId="59CE14C8" w14:textId="4F85ACD4" w:rsidR="00E64845" w:rsidRPr="00F91A08" w:rsidRDefault="00E606A5" w:rsidP="006B1C63">
            <w:pPr>
              <w:pStyle w:val="Optional"/>
            </w:pPr>
            <w:r>
              <w:t>Up to 35</w:t>
            </w:r>
            <w:r w:rsidR="00443426">
              <w:t xml:space="preserve"> resources</w:t>
            </w:r>
          </w:p>
        </w:tc>
      </w:tr>
      <w:tr w:rsidR="00E64845" w:rsidRPr="00F91A08" w14:paraId="78ECE14E" w14:textId="77777777" w:rsidTr="006B1C63">
        <w:tc>
          <w:tcPr>
            <w:tcW w:w="3055" w:type="dxa"/>
            <w:shd w:val="clear" w:color="auto" w:fill="auto"/>
          </w:tcPr>
          <w:p w14:paraId="67830248" w14:textId="77777777" w:rsidR="00E64845" w:rsidRPr="00F91A08" w:rsidRDefault="00E64845" w:rsidP="00BE094D">
            <w:pPr>
              <w:pStyle w:val="TableText"/>
            </w:pPr>
            <w:r>
              <w:t>Pilot</w:t>
            </w:r>
          </w:p>
        </w:tc>
        <w:tc>
          <w:tcPr>
            <w:tcW w:w="1372" w:type="dxa"/>
            <w:shd w:val="clear" w:color="auto" w:fill="auto"/>
          </w:tcPr>
          <w:p w14:paraId="27FB7872" w14:textId="77777777" w:rsidR="00E64845" w:rsidRPr="00F91A08" w:rsidRDefault="00E64845" w:rsidP="001B0A33">
            <w:pPr>
              <w:pStyle w:val="Optional"/>
            </w:pPr>
            <w:r>
              <w:t>2</w:t>
            </w:r>
          </w:p>
        </w:tc>
        <w:tc>
          <w:tcPr>
            <w:tcW w:w="4838" w:type="dxa"/>
            <w:shd w:val="clear" w:color="auto" w:fill="auto"/>
          </w:tcPr>
          <w:p w14:paraId="79EFA07D" w14:textId="05BD1AA4" w:rsidR="00E64845" w:rsidRPr="00F91A08" w:rsidRDefault="00443426" w:rsidP="006B1C63">
            <w:pPr>
              <w:pStyle w:val="Optional"/>
            </w:pPr>
            <w:r>
              <w:t>Up to</w:t>
            </w:r>
            <w:r w:rsidR="003F62D6">
              <w:t xml:space="preserve"> 43 resources</w:t>
            </w:r>
            <w:r>
              <w:t xml:space="preserve"> </w:t>
            </w:r>
          </w:p>
        </w:tc>
      </w:tr>
      <w:tr w:rsidR="00E64845" w:rsidRPr="00F91A08" w14:paraId="6BE995D0" w14:textId="77777777" w:rsidTr="006B1C63">
        <w:tc>
          <w:tcPr>
            <w:tcW w:w="3055" w:type="dxa"/>
            <w:shd w:val="clear" w:color="auto" w:fill="auto"/>
          </w:tcPr>
          <w:p w14:paraId="328C5DF4" w14:textId="77777777" w:rsidR="00E64845" w:rsidRPr="00F91A08" w:rsidRDefault="00E64845" w:rsidP="00BE094D">
            <w:pPr>
              <w:pStyle w:val="TableText"/>
            </w:pPr>
            <w:r>
              <w:t>Migrate</w:t>
            </w:r>
          </w:p>
        </w:tc>
        <w:tc>
          <w:tcPr>
            <w:tcW w:w="1372" w:type="dxa"/>
            <w:shd w:val="clear" w:color="auto" w:fill="auto"/>
          </w:tcPr>
          <w:p w14:paraId="4DFD33C7" w14:textId="77777777" w:rsidR="00E64845" w:rsidRPr="00F91A08" w:rsidRDefault="00E64845" w:rsidP="001B0A33">
            <w:pPr>
              <w:pStyle w:val="Optional"/>
            </w:pPr>
            <w:r>
              <w:t>20</w:t>
            </w:r>
          </w:p>
        </w:tc>
        <w:tc>
          <w:tcPr>
            <w:tcW w:w="4838" w:type="dxa"/>
            <w:shd w:val="clear" w:color="auto" w:fill="auto"/>
          </w:tcPr>
          <w:p w14:paraId="09826F04" w14:textId="73B310EC" w:rsidR="00E64845" w:rsidRPr="00F91A08" w:rsidRDefault="003F62D6" w:rsidP="006B1C63">
            <w:pPr>
              <w:pStyle w:val="Optional"/>
            </w:pPr>
            <w:r>
              <w:t xml:space="preserve">Up to </w:t>
            </w:r>
            <w:r w:rsidR="00287DFD">
              <w:t>56 resources</w:t>
            </w:r>
          </w:p>
        </w:tc>
      </w:tr>
      <w:tr w:rsidR="00CF1B77" w:rsidRPr="00F91A08" w14:paraId="0E824AF7" w14:textId="77777777" w:rsidTr="006B1C63">
        <w:tc>
          <w:tcPr>
            <w:tcW w:w="3055" w:type="dxa"/>
            <w:shd w:val="clear" w:color="auto" w:fill="auto"/>
          </w:tcPr>
          <w:p w14:paraId="0A5EF9E6" w14:textId="7775A1C6" w:rsidR="00CF1B77" w:rsidRDefault="00CF1B77" w:rsidP="00BE094D">
            <w:pPr>
              <w:pStyle w:val="TableText"/>
            </w:pPr>
            <w:r>
              <w:t xml:space="preserve">Hypercare </w:t>
            </w:r>
            <w:r w:rsidR="005F0340">
              <w:t>s</w:t>
            </w:r>
            <w:r>
              <w:t xml:space="preserve">upport </w:t>
            </w:r>
            <w:r w:rsidR="005F0340">
              <w:t>e</w:t>
            </w:r>
            <w:r>
              <w:t xml:space="preserve">nd </w:t>
            </w:r>
            <w:r w:rsidR="005F0340">
              <w:t>m</w:t>
            </w:r>
            <w:r>
              <w:t>onth</w:t>
            </w:r>
          </w:p>
        </w:tc>
        <w:tc>
          <w:tcPr>
            <w:tcW w:w="1372" w:type="dxa"/>
            <w:shd w:val="clear" w:color="auto" w:fill="auto"/>
          </w:tcPr>
          <w:p w14:paraId="78A5995C" w14:textId="01D339AD" w:rsidR="00CF1B77" w:rsidRDefault="006270FE" w:rsidP="001B0A33">
            <w:pPr>
              <w:pStyle w:val="Optional"/>
            </w:pPr>
            <w:r>
              <w:t>1</w:t>
            </w:r>
          </w:p>
        </w:tc>
        <w:tc>
          <w:tcPr>
            <w:tcW w:w="4838" w:type="dxa"/>
            <w:shd w:val="clear" w:color="auto" w:fill="auto"/>
          </w:tcPr>
          <w:p w14:paraId="03F95018" w14:textId="77777777" w:rsidR="00CF1B77" w:rsidRDefault="00CF1B77" w:rsidP="006B1C63">
            <w:pPr>
              <w:pStyle w:val="Optional"/>
            </w:pPr>
          </w:p>
        </w:tc>
      </w:tr>
      <w:tr w:rsidR="00E64845" w:rsidRPr="00F91A08" w14:paraId="3B813E11" w14:textId="77777777" w:rsidTr="006B1C63">
        <w:tc>
          <w:tcPr>
            <w:tcW w:w="3055" w:type="dxa"/>
            <w:shd w:val="clear" w:color="auto" w:fill="auto"/>
          </w:tcPr>
          <w:p w14:paraId="7B253097" w14:textId="77777777" w:rsidR="00E64845" w:rsidRPr="002A5B4D" w:rsidRDefault="00E64845" w:rsidP="00BE094D">
            <w:pPr>
              <w:pStyle w:val="TableText"/>
              <w:rPr>
                <w:b/>
                <w:bCs/>
              </w:rPr>
            </w:pPr>
            <w:r w:rsidRPr="002A5B4D">
              <w:rPr>
                <w:b/>
                <w:bCs/>
              </w:rPr>
              <w:t>Total</w:t>
            </w:r>
          </w:p>
        </w:tc>
        <w:tc>
          <w:tcPr>
            <w:tcW w:w="1372" w:type="dxa"/>
            <w:shd w:val="clear" w:color="auto" w:fill="auto"/>
          </w:tcPr>
          <w:p w14:paraId="5CC5FD93" w14:textId="383B036B" w:rsidR="00E64845" w:rsidRPr="00F91A08" w:rsidRDefault="00E64845" w:rsidP="001B0A33">
            <w:pPr>
              <w:pStyle w:val="Optional"/>
            </w:pPr>
            <w:r>
              <w:t>2</w:t>
            </w:r>
            <w:r w:rsidR="006270FE">
              <w:t>6</w:t>
            </w:r>
          </w:p>
        </w:tc>
        <w:tc>
          <w:tcPr>
            <w:tcW w:w="4838" w:type="dxa"/>
            <w:shd w:val="clear" w:color="auto" w:fill="auto"/>
          </w:tcPr>
          <w:p w14:paraId="6DA058F2" w14:textId="77777777" w:rsidR="00E64845" w:rsidRPr="00F91A08" w:rsidRDefault="00E64845" w:rsidP="00BE094D">
            <w:pPr>
              <w:pStyle w:val="Optional"/>
              <w:jc w:val="right"/>
            </w:pPr>
          </w:p>
        </w:tc>
      </w:tr>
    </w:tbl>
    <w:p w14:paraId="5B90F3D9" w14:textId="6916EC82" w:rsidR="004A4542" w:rsidRDefault="004A4542" w:rsidP="004A4542">
      <w:r>
        <w:t xml:space="preserve">The maximum defined capacity of </w:t>
      </w:r>
      <w:r w:rsidR="00D37EE0" w:rsidRPr="006B1C63">
        <w:rPr>
          <w:rStyle w:val="InstructionalChar"/>
        </w:rPr>
        <w:t>&lt;</w:t>
      </w:r>
      <w:r w:rsidR="00226561">
        <w:rPr>
          <w:rStyle w:val="InstructionalChar"/>
        </w:rPr>
        <w:t xml:space="preserve">total </w:t>
      </w:r>
      <w:r w:rsidR="00226561" w:rsidRPr="006B1C63">
        <w:rPr>
          <w:rStyle w:val="InstructionalChar"/>
        </w:rPr>
        <w:t>hours</w:t>
      </w:r>
      <w:r w:rsidR="00D37EE0" w:rsidRPr="006B1C63">
        <w:rPr>
          <w:rStyle w:val="InstructionalChar"/>
        </w:rPr>
        <w:t xml:space="preserve"> from OSE&gt;</w:t>
      </w:r>
      <w:r>
        <w:t xml:space="preserve"> hours </w:t>
      </w:r>
      <w:r w:rsidRPr="005D2D16">
        <w:t xml:space="preserve">can be flexibly handled </w:t>
      </w:r>
      <w:r w:rsidR="00CE6435">
        <w:t>based on</w:t>
      </w:r>
      <w:r w:rsidRPr="005D2D16">
        <w:t xml:space="preserve"> </w:t>
      </w:r>
      <w:r w:rsidR="00CE6435">
        <w:t xml:space="preserve">the </w:t>
      </w:r>
      <w:r w:rsidRPr="005D2D16">
        <w:t xml:space="preserve">prioritized backlog </w:t>
      </w:r>
      <w:r>
        <w:t xml:space="preserve">across </w:t>
      </w:r>
      <w:r w:rsidRPr="005D2D16">
        <w:t xml:space="preserve">the individual </w:t>
      </w:r>
      <w:r w:rsidR="003E79A1">
        <w:t>services</w:t>
      </w:r>
      <w:r w:rsidRPr="005D2D16">
        <w:t xml:space="preserve"> </w:t>
      </w:r>
      <w:r w:rsidR="00E22CE2">
        <w:t>and</w:t>
      </w:r>
      <w:r w:rsidRPr="005D2D16">
        <w:t xml:space="preserve"> can also be moved between </w:t>
      </w:r>
      <w:r>
        <w:t>phases</w:t>
      </w:r>
      <w:r w:rsidRPr="005D2D16">
        <w:t>, provided that the maximum defined capacity is not exceeded.</w:t>
      </w:r>
    </w:p>
    <w:p w14:paraId="60E2A9DB" w14:textId="5F5BDD50" w:rsidR="00470EA7" w:rsidRDefault="00470EA7" w:rsidP="00470EA7">
      <w:r>
        <w:t>Along with the resource</w:t>
      </w:r>
      <w:r w:rsidR="00573DDD">
        <w:t>s</w:t>
      </w:r>
      <w:r w:rsidR="003D156E">
        <w:t xml:space="preserve"> noted above</w:t>
      </w:r>
      <w:r>
        <w:t xml:space="preserve">, the feature teams also use factory capacity </w:t>
      </w:r>
      <w:r w:rsidR="007B003C">
        <w:t>to handle planning and migration activities</w:t>
      </w:r>
      <w:r w:rsidR="00E07CAA">
        <w:t xml:space="preserve">. The total application and database factory fees are located in the </w:t>
      </w:r>
      <w:r w:rsidR="00E07CAA" w:rsidRPr="002A5B4D">
        <w:rPr>
          <w:i/>
          <w:iCs/>
        </w:rPr>
        <w:t>Fees</w:t>
      </w:r>
      <w:r w:rsidR="00E07CAA">
        <w:t xml:space="preserve"> section</w:t>
      </w:r>
      <w:r w:rsidR="00EE57E4">
        <w:t xml:space="preserve"> </w:t>
      </w:r>
      <w:r w:rsidR="006D0D6A">
        <w:t>of this WO</w:t>
      </w:r>
      <w:r w:rsidR="00F25A36">
        <w:t xml:space="preserve">. </w:t>
      </w:r>
    </w:p>
    <w:p w14:paraId="046D66B7" w14:textId="4643150E" w:rsidR="00470EA7" w:rsidRDefault="00470EA7" w:rsidP="00470EA7">
      <w:r>
        <w:t xml:space="preserve">The timeline for this engagement is relative to the engagement start date. </w:t>
      </w:r>
      <w:r w:rsidR="009D028A">
        <w:t xml:space="preserve">The start date for the engagement will be based on a mutually </w:t>
      </w:r>
      <w:r w:rsidR="00D91BDD">
        <w:t>agreed</w:t>
      </w:r>
      <w:r w:rsidR="00DD1D1B">
        <w:t>-upon</w:t>
      </w:r>
      <w:r w:rsidR="00D91BDD">
        <w:t xml:space="preserve"> timeline when </w:t>
      </w:r>
      <w:r w:rsidR="00F64A15">
        <w:t xml:space="preserve">key project startup prerequisites are completed. </w:t>
      </w:r>
      <w:r>
        <w:t xml:space="preserve">All dates and durations provided are estimates only. The specific timeline will be finalized during </w:t>
      </w:r>
      <w:r w:rsidR="003E79A1">
        <w:t>p</w:t>
      </w:r>
      <w:r>
        <w:t xml:space="preserve">roduct </w:t>
      </w:r>
      <w:r w:rsidR="003E79A1">
        <w:t>b</w:t>
      </w:r>
      <w:r>
        <w:t xml:space="preserve">aseline </w:t>
      </w:r>
      <w:r w:rsidR="003E79A1">
        <w:t>p</w:t>
      </w:r>
      <w:r>
        <w:t>lanning and will be updated as part of core engagement planning activities.</w:t>
      </w:r>
    </w:p>
    <w:p w14:paraId="740A3E83" w14:textId="7C28E139" w:rsidR="00470EA7" w:rsidRDefault="00470EA7" w:rsidP="00470EA7">
      <w:r>
        <w:t xml:space="preserve">We will provide the Microsoft team described in the </w:t>
      </w:r>
      <w:r w:rsidR="00D76EA1">
        <w:t>EDA</w:t>
      </w:r>
      <w:r w:rsidR="00A06BD6">
        <w:t>,</w:t>
      </w:r>
      <w:r w:rsidR="00D76EA1">
        <w:t xml:space="preserve"> </w:t>
      </w:r>
      <w:r w:rsidRPr="00F707A2">
        <w:rPr>
          <w:i/>
          <w:iCs/>
        </w:rPr>
        <w:t>Engagement organization</w:t>
      </w:r>
      <w:r>
        <w:t xml:space="preserve"> section</w:t>
      </w:r>
      <w:r w:rsidR="00191701">
        <w:t>,</w:t>
      </w:r>
      <w:r>
        <w:t xml:space="preserve"> for a period not to exceed </w:t>
      </w:r>
      <w:r w:rsidR="00A04EA5" w:rsidRPr="006B1C63">
        <w:rPr>
          <w:rStyle w:val="InstructionalChar"/>
        </w:rPr>
        <w:t>&lt;</w:t>
      </w:r>
      <w:r w:rsidR="00A04EA5">
        <w:rPr>
          <w:rStyle w:val="InstructionalChar"/>
        </w:rPr>
        <w:t>total months</w:t>
      </w:r>
      <w:r w:rsidR="00A04EA5" w:rsidRPr="006B1C63">
        <w:rPr>
          <w:rStyle w:val="InstructionalChar"/>
        </w:rPr>
        <w:t xml:space="preserve"> from OSE&gt;</w:t>
      </w:r>
      <w:r w:rsidR="00A04EA5">
        <w:t xml:space="preserve"> </w:t>
      </w:r>
      <w:r>
        <w:t>or until the capacity defined above is consumed.</w:t>
      </w:r>
    </w:p>
    <w:p w14:paraId="480D2518" w14:textId="47553CE5" w:rsidR="00470EA7" w:rsidRPr="00D3117E" w:rsidRDefault="00470EA7" w:rsidP="00470EA7">
      <w:r>
        <w:t>The high-level timeline of the engagement is depicted in the following image</w:t>
      </w:r>
      <w:r w:rsidR="00D11EA7">
        <w:t>.</w:t>
      </w:r>
    </w:p>
    <w:p w14:paraId="48D9D884" w14:textId="7ECCD79D" w:rsidR="00BB38CE" w:rsidRPr="00F54E2A" w:rsidRDefault="00BB38CE" w:rsidP="00470EA7">
      <w:r>
        <w:rPr>
          <w:noProof/>
        </w:rPr>
        <w:lastRenderedPageBreak/>
        <w:drawing>
          <wp:inline distT="0" distB="0" distL="0" distR="0" wp14:anchorId="6D7F763A" wp14:editId="1CFEC022">
            <wp:extent cx="5943600" cy="2318385"/>
            <wp:effectExtent l="0" t="0" r="0" b="5715"/>
            <wp:docPr id="2" name="Picture 2" descr="igh-Level Engagement Timeline&#10;&#10;The image shows five horizontal lanes or rows that depict the relative start dates of each phase.&#10;The first row is engagement initiation which starts when the engagement starts.&#10;The second row is product baseline planning which starts after engagement initiation and completes before the next phase starts.&#10;The third row is the prepare phase of delivery sprints.  The row depicts 1 or more sprints each in succession.&#10;The fourth row is the Pilot Phase of delivery sprints.  The pilot phase begins when the prepare phase ends and has one or more sprints each in succession.&#10;The last row is the migrate phase of delivery sprints.  They migrate phase starts at the conclusion of the pilot phase and contains one or more sprints each in succession.&#10;Upon the completion of the migrate phase, the engagement 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5943600" cy="2318385"/>
                    </a:xfrm>
                    <a:prstGeom prst="rect">
                      <a:avLst/>
                    </a:prstGeom>
                  </pic:spPr>
                </pic:pic>
              </a:graphicData>
            </a:graphic>
          </wp:inline>
        </w:drawing>
      </w:r>
    </w:p>
    <w:p w14:paraId="5638F83A" w14:textId="3103E5F9" w:rsidR="00875AA8" w:rsidRPr="00F54E2A" w:rsidRDefault="00F37C1C" w:rsidP="00470EA7">
      <w:r w:rsidRPr="00F37C1C">
        <w:t xml:space="preserve">Note: Sprint </w:t>
      </w:r>
      <w:r w:rsidR="00F81211">
        <w:t xml:space="preserve">implementation </w:t>
      </w:r>
      <w:r w:rsidRPr="00F37C1C">
        <w:t xml:space="preserve">may be concurrent across these workstreams and will be addressed in the </w:t>
      </w:r>
      <w:r w:rsidR="00F5737C" w:rsidRPr="00F37C1C">
        <w:t>engagement</w:t>
      </w:r>
      <w:r w:rsidRPr="00F37C1C">
        <w:t xml:space="preserve"> communications plan for clarity</w:t>
      </w:r>
      <w:r w:rsidR="00D4476C">
        <w:t>.</w:t>
      </w:r>
    </w:p>
    <w:p w14:paraId="5D19A371" w14:textId="373D39F8" w:rsidR="00AE3838" w:rsidRDefault="003306D7" w:rsidP="000D26FB">
      <w:pPr>
        <w:pStyle w:val="Heading3"/>
      </w:pPr>
      <w:r>
        <w:t>Program</w:t>
      </w:r>
      <w:r w:rsidR="00AE3838" w:rsidRPr="00AE3838">
        <w:t xml:space="preserve"> completion</w:t>
      </w:r>
    </w:p>
    <w:p w14:paraId="6C8F2B64" w14:textId="0D979A25" w:rsidR="00AE3838" w:rsidRDefault="00AE3838" w:rsidP="00AE3838">
      <w:r>
        <w:t xml:space="preserve">Microsoft will provide </w:t>
      </w:r>
      <w:r w:rsidR="00F82B4B">
        <w:t>the services</w:t>
      </w:r>
      <w:r>
        <w:t xml:space="preserve"> </w:t>
      </w:r>
      <w:r w:rsidR="00DB3E0A">
        <w:t xml:space="preserve">described </w:t>
      </w:r>
      <w:r w:rsidR="004F7F87">
        <w:t xml:space="preserve">previously </w:t>
      </w:r>
      <w:r w:rsidR="00DB3E0A">
        <w:t xml:space="preserve">during </w:t>
      </w:r>
      <w:r w:rsidR="006C1D2D">
        <w:t xml:space="preserve">the period of performance </w:t>
      </w:r>
      <w:r>
        <w:t>defined in th</w:t>
      </w:r>
      <w:r w:rsidR="00DD77EF">
        <w:t>is</w:t>
      </w:r>
      <w:r>
        <w:t xml:space="preserve"> </w:t>
      </w:r>
      <w:r w:rsidR="004E0C4B">
        <w:t>Work Order</w:t>
      </w:r>
      <w:r w:rsidR="0095165C">
        <w:t xml:space="preserve"> (WO)</w:t>
      </w:r>
      <w:r>
        <w:t xml:space="preserve">. If additional </w:t>
      </w:r>
      <w:r w:rsidR="002076B3">
        <w:t>s</w:t>
      </w:r>
      <w:r>
        <w:t xml:space="preserve">ervices are required, the </w:t>
      </w:r>
      <w:r w:rsidR="00B11E2C">
        <w:t xml:space="preserve">engagement’s change </w:t>
      </w:r>
      <w:r>
        <w:t>management process</w:t>
      </w:r>
      <w:r w:rsidR="00F41713">
        <w:t xml:space="preserve"> described in the EDA </w:t>
      </w:r>
      <w:r>
        <w:t xml:space="preserve">will be followed, and the contract </w:t>
      </w:r>
      <w:r w:rsidR="00725762">
        <w:t xml:space="preserve">will be </w:t>
      </w:r>
      <w:r>
        <w:t xml:space="preserve">modified. </w:t>
      </w:r>
      <w:r w:rsidR="00370B9D">
        <w:t>The</w:t>
      </w:r>
      <w:r>
        <w:t xml:space="preserve"> engagement will be considered complete when at least one of the following conditions ha</w:t>
      </w:r>
      <w:r w:rsidR="00D11EA7">
        <w:t>ve</w:t>
      </w:r>
      <w:r>
        <w:t xml:space="preserve"> been met:</w:t>
      </w:r>
    </w:p>
    <w:p w14:paraId="1C9427EB" w14:textId="1118A56A" w:rsidR="00AE3838" w:rsidRDefault="00AE3838" w:rsidP="006B1C63">
      <w:pPr>
        <w:pStyle w:val="Bulletlist"/>
      </w:pPr>
      <w:r>
        <w:t xml:space="preserve">The </w:t>
      </w:r>
      <w:r w:rsidR="00E1559F">
        <w:t>available capacity has been consumed</w:t>
      </w:r>
      <w:r>
        <w:t>.</w:t>
      </w:r>
    </w:p>
    <w:p w14:paraId="7ACC2A73" w14:textId="77777777" w:rsidR="00AE3838" w:rsidRDefault="00AE3838" w:rsidP="006B1C63">
      <w:pPr>
        <w:pStyle w:val="Bulletlist"/>
      </w:pPr>
      <w:r>
        <w:t>All Microsoft activities and product backlog items have been completed.</w:t>
      </w:r>
    </w:p>
    <w:p w14:paraId="0A6A383A" w14:textId="270F07FC" w:rsidR="00AE3838" w:rsidRDefault="00AE3838" w:rsidP="00AE3838">
      <w:pPr>
        <w:pStyle w:val="Bulletlist"/>
      </w:pPr>
      <w:r>
        <w:t>The WO has been terminated.</w:t>
      </w:r>
    </w:p>
    <w:p w14:paraId="23A0BCAC" w14:textId="137AF73A" w:rsidR="00AE3838" w:rsidRPr="00566976" w:rsidRDefault="00AE3838" w:rsidP="00AE3838">
      <w:r>
        <w:t xml:space="preserve">Due to the nature of the Microsoft Agile Capacity Model, the final backlog items produced at the conclusion of </w:t>
      </w:r>
      <w:r w:rsidR="009355E3">
        <w:t>the</w:t>
      </w:r>
      <w:r>
        <w:t xml:space="preserve"> engagement may or may not include the completion of all items in the product backlog identified by the </w:t>
      </w:r>
      <w:r w:rsidR="006C30B9">
        <w:t>product manager</w:t>
      </w:r>
      <w:r>
        <w:t xml:space="preserve">. The Microsoft team will rely on the Customer </w:t>
      </w:r>
      <w:r w:rsidR="00F40337">
        <w:t>p</w:t>
      </w:r>
      <w:r>
        <w:t xml:space="preserve">roduct manager to determine priority in the product backlog so that the important backlog items </w:t>
      </w:r>
      <w:r w:rsidR="00F33378">
        <w:t xml:space="preserve">specified by the Customer </w:t>
      </w:r>
      <w:r>
        <w:t xml:space="preserve">can be completed during </w:t>
      </w:r>
      <w:r w:rsidR="00D4105A">
        <w:t>the</w:t>
      </w:r>
      <w:r>
        <w:t xml:space="preserve"> engagement.</w:t>
      </w:r>
    </w:p>
    <w:p w14:paraId="14D6D9ED" w14:textId="269A5D8B" w:rsidR="0002052E" w:rsidRDefault="0002052E" w:rsidP="000D26FB">
      <w:pPr>
        <w:pStyle w:val="Heading3"/>
      </w:pPr>
      <w:r>
        <w:t xml:space="preserve">Technology </w:t>
      </w:r>
      <w:r w:rsidR="002B5B35">
        <w:t xml:space="preserve">and </w:t>
      </w:r>
      <w:r w:rsidR="009468F5">
        <w:t xml:space="preserve">environment </w:t>
      </w:r>
      <w:r w:rsidR="009D0C87">
        <w:t>r</w:t>
      </w:r>
      <w:r w:rsidR="00F8512F">
        <w:t>equirements</w:t>
      </w:r>
    </w:p>
    <w:p w14:paraId="52701ECE" w14:textId="168BA17D" w:rsidR="00206B5D" w:rsidRPr="00206B5D" w:rsidRDefault="00206B5D" w:rsidP="00206B5D">
      <w:pPr>
        <w:keepNext/>
        <w:keepLines/>
        <w:outlineLvl w:val="3"/>
        <w:rPr>
          <w:rFonts w:eastAsia="DengXian Light" w:cs="Times New Roman"/>
          <w:b/>
          <w:sz w:val="24"/>
          <w:szCs w:val="24"/>
        </w:rPr>
      </w:pPr>
      <w:r w:rsidRPr="4C272DDE">
        <w:rPr>
          <w:rFonts w:eastAsia="DengXian Light" w:cs="Times New Roman"/>
          <w:b/>
          <w:sz w:val="24"/>
          <w:szCs w:val="24"/>
        </w:rPr>
        <w:t xml:space="preserve">Technology </w:t>
      </w:r>
      <w:r w:rsidR="00CC3EC7">
        <w:rPr>
          <w:rFonts w:eastAsia="DengXian Light" w:cs="Times New Roman"/>
          <w:b/>
          <w:sz w:val="24"/>
          <w:szCs w:val="24"/>
        </w:rPr>
        <w:t>r</w:t>
      </w:r>
      <w:r w:rsidRPr="4C272DDE">
        <w:rPr>
          <w:rFonts w:eastAsia="DengXian Light" w:cs="Times New Roman"/>
          <w:b/>
          <w:sz w:val="24"/>
          <w:szCs w:val="24"/>
        </w:rPr>
        <w:t>equirements</w:t>
      </w:r>
    </w:p>
    <w:p w14:paraId="11731A83" w14:textId="4173B8DF" w:rsidR="0002052E" w:rsidRPr="00F91A08" w:rsidRDefault="0002052E" w:rsidP="0002052E">
      <w:r w:rsidRPr="00F91A08">
        <w:t xml:space="preserve">The products and technology that are listed in the following table are required for the engagement. The Customer is responsible for obtaining all </w:t>
      </w:r>
      <w:r w:rsidR="008C50EB">
        <w:t xml:space="preserve">specified </w:t>
      </w:r>
      <w:r w:rsidRPr="00F91A08">
        <w:t>licenses, products, or subscriptions</w:t>
      </w:r>
      <w:r w:rsidR="005E308C">
        <w:t xml:space="preserve"> unless otherwise specified</w:t>
      </w:r>
      <w:r w:rsidRPr="00F91A08">
        <w:t>.</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20" w:firstRow="1" w:lastRow="0" w:firstColumn="0" w:lastColumn="0" w:noHBand="0" w:noVBand="1"/>
      </w:tblPr>
      <w:tblGrid>
        <w:gridCol w:w="2920"/>
        <w:gridCol w:w="3982"/>
        <w:gridCol w:w="2449"/>
      </w:tblGrid>
      <w:tr w:rsidR="0002052E" w:rsidRPr="00F91A08" w14:paraId="1E0D3258" w14:textId="77777777" w:rsidTr="00FD4A06">
        <w:trPr>
          <w:tblHeader/>
        </w:trPr>
        <w:tc>
          <w:tcPr>
            <w:tcW w:w="2920" w:type="dxa"/>
            <w:shd w:val="clear" w:color="auto" w:fill="008272"/>
          </w:tcPr>
          <w:p w14:paraId="07CCDD06" w14:textId="77777777" w:rsidR="0002052E" w:rsidRPr="00F91A08" w:rsidRDefault="0002052E" w:rsidP="003B391F">
            <w:pPr>
              <w:pStyle w:val="Table-Header"/>
            </w:pPr>
            <w:r w:rsidRPr="00F91A08">
              <w:t>Product and technology item</w:t>
            </w:r>
          </w:p>
        </w:tc>
        <w:tc>
          <w:tcPr>
            <w:tcW w:w="3982" w:type="dxa"/>
            <w:shd w:val="clear" w:color="auto" w:fill="008272"/>
          </w:tcPr>
          <w:p w14:paraId="5947E2F4" w14:textId="77777777" w:rsidR="0002052E" w:rsidRPr="00F91A08" w:rsidRDefault="0002052E" w:rsidP="003B391F">
            <w:pPr>
              <w:pStyle w:val="Table-Header"/>
            </w:pPr>
            <w:r>
              <w:t>Description</w:t>
            </w:r>
          </w:p>
        </w:tc>
        <w:tc>
          <w:tcPr>
            <w:tcW w:w="2449" w:type="dxa"/>
            <w:shd w:val="clear" w:color="auto" w:fill="008272"/>
          </w:tcPr>
          <w:p w14:paraId="35DA9830" w14:textId="08BFFBE7" w:rsidR="0002052E" w:rsidRPr="00F91A08" w:rsidRDefault="0002052E" w:rsidP="003B391F">
            <w:pPr>
              <w:pStyle w:val="Table-Header"/>
            </w:pPr>
            <w:r>
              <w:t xml:space="preserve">Ready </w:t>
            </w:r>
            <w:r w:rsidR="009824B7">
              <w:t>b</w:t>
            </w:r>
            <w:r>
              <w:t>y</w:t>
            </w:r>
          </w:p>
        </w:tc>
      </w:tr>
      <w:tr w:rsidR="0002052E" w:rsidRPr="00F91A08" w14:paraId="599E8B37" w14:textId="77777777" w:rsidTr="00FD4A06">
        <w:tc>
          <w:tcPr>
            <w:tcW w:w="2920" w:type="dxa"/>
            <w:shd w:val="clear" w:color="auto" w:fill="auto"/>
          </w:tcPr>
          <w:p w14:paraId="7B5129B0" w14:textId="77777777" w:rsidR="0002052E" w:rsidRPr="00F91A08" w:rsidRDefault="0002052E" w:rsidP="003B391F">
            <w:pPr>
              <w:pStyle w:val="TableText"/>
            </w:pPr>
            <w:r w:rsidRPr="00F91A08">
              <w:t>Microsoft Azure subscription</w:t>
            </w:r>
          </w:p>
        </w:tc>
        <w:tc>
          <w:tcPr>
            <w:tcW w:w="3982" w:type="dxa"/>
            <w:shd w:val="clear" w:color="auto" w:fill="auto"/>
          </w:tcPr>
          <w:p w14:paraId="73B94F54" w14:textId="77777777" w:rsidR="0002052E" w:rsidRPr="00F91A08" w:rsidRDefault="0002052E" w:rsidP="003B391F">
            <w:pPr>
              <w:pStyle w:val="TableText"/>
            </w:pPr>
            <w:r>
              <w:t>Target for the migration</w:t>
            </w:r>
          </w:p>
        </w:tc>
        <w:tc>
          <w:tcPr>
            <w:tcW w:w="2449" w:type="dxa"/>
            <w:shd w:val="clear" w:color="auto" w:fill="auto"/>
          </w:tcPr>
          <w:p w14:paraId="2725363D" w14:textId="5F423C04" w:rsidR="0002052E" w:rsidRPr="00F91A08" w:rsidRDefault="0002052E" w:rsidP="003B391F">
            <w:pPr>
              <w:pStyle w:val="TableText"/>
            </w:pPr>
            <w:r>
              <w:t>Start of engagement</w:t>
            </w:r>
          </w:p>
        </w:tc>
      </w:tr>
      <w:tr w:rsidR="0002052E" w:rsidRPr="00F91A08" w14:paraId="4ED9380B" w14:textId="77777777" w:rsidTr="00FD4A06">
        <w:tc>
          <w:tcPr>
            <w:tcW w:w="2920" w:type="dxa"/>
            <w:shd w:val="clear" w:color="auto" w:fill="auto"/>
          </w:tcPr>
          <w:p w14:paraId="324F9AA4" w14:textId="0A0A124D" w:rsidR="0002052E" w:rsidRPr="00F91A08" w:rsidRDefault="0002052E" w:rsidP="003B391F">
            <w:pPr>
              <w:pStyle w:val="TableText"/>
            </w:pPr>
            <w:r w:rsidRPr="00F91A08">
              <w:lastRenderedPageBreak/>
              <w:t>Microsoft Azure DevOps</w:t>
            </w:r>
            <w:r w:rsidR="005A4976">
              <w:t xml:space="preserve"> Services</w:t>
            </w:r>
          </w:p>
        </w:tc>
        <w:tc>
          <w:tcPr>
            <w:tcW w:w="3982" w:type="dxa"/>
            <w:shd w:val="clear" w:color="auto" w:fill="auto"/>
          </w:tcPr>
          <w:p w14:paraId="32EC615E" w14:textId="22092122" w:rsidR="0002052E" w:rsidRPr="00F91A08" w:rsidRDefault="0002052E" w:rsidP="003B391F">
            <w:pPr>
              <w:pStyle w:val="TableText"/>
            </w:pPr>
            <w:r w:rsidRPr="009A4201">
              <w:t xml:space="preserve">An </w:t>
            </w:r>
            <w:r w:rsidR="005A4976">
              <w:t xml:space="preserve">online </w:t>
            </w:r>
            <w:r w:rsidRPr="009A4201">
              <w:t xml:space="preserve">Azure DevOps </w:t>
            </w:r>
            <w:r w:rsidR="00D339B9">
              <w:t>s</w:t>
            </w:r>
            <w:r w:rsidR="00B243BA">
              <w:t>olution</w:t>
            </w:r>
            <w:r w:rsidRPr="009A4201">
              <w:t xml:space="preserve"> unique to the Customer that will be used to manage the Azure migration program.</w:t>
            </w:r>
          </w:p>
        </w:tc>
        <w:tc>
          <w:tcPr>
            <w:tcW w:w="2449" w:type="dxa"/>
            <w:shd w:val="clear" w:color="auto" w:fill="auto"/>
          </w:tcPr>
          <w:p w14:paraId="31601A2F" w14:textId="05BF055E" w:rsidR="0002052E" w:rsidRPr="00F91A08" w:rsidRDefault="0002052E" w:rsidP="003B391F">
            <w:pPr>
              <w:pStyle w:val="TableText"/>
            </w:pPr>
            <w:r w:rsidRPr="009D1F60">
              <w:t>Start of engagement</w:t>
            </w:r>
          </w:p>
        </w:tc>
      </w:tr>
      <w:tr w:rsidR="0002052E" w:rsidRPr="00F91A08" w14:paraId="0924AD96" w14:textId="77777777" w:rsidTr="00FD4A06">
        <w:tc>
          <w:tcPr>
            <w:tcW w:w="2920" w:type="dxa"/>
            <w:shd w:val="clear" w:color="auto" w:fill="auto"/>
          </w:tcPr>
          <w:p w14:paraId="7E47D5F5" w14:textId="77777777" w:rsidR="0002052E" w:rsidRPr="00F91A08" w:rsidRDefault="0002052E" w:rsidP="003B391F">
            <w:pPr>
              <w:pStyle w:val="TableText"/>
            </w:pPr>
            <w:r>
              <w:t>Microsoft Power BI Workspace</w:t>
            </w:r>
          </w:p>
        </w:tc>
        <w:tc>
          <w:tcPr>
            <w:tcW w:w="3982" w:type="dxa"/>
            <w:shd w:val="clear" w:color="auto" w:fill="auto"/>
          </w:tcPr>
          <w:p w14:paraId="24E821A6" w14:textId="2525F464" w:rsidR="0002052E" w:rsidRPr="00F91A08" w:rsidRDefault="004F7F87" w:rsidP="003B391F">
            <w:pPr>
              <w:pStyle w:val="TableText"/>
            </w:pPr>
            <w:r>
              <w:t>A r</w:t>
            </w:r>
            <w:r w:rsidR="0002052E" w:rsidRPr="00083092">
              <w:t xml:space="preserve">eporting </w:t>
            </w:r>
            <w:r w:rsidR="00D339B9">
              <w:t>s</w:t>
            </w:r>
            <w:r w:rsidR="00B243BA">
              <w:t>olution</w:t>
            </w:r>
            <w:r w:rsidR="0002052E" w:rsidRPr="00083092">
              <w:t xml:space="preserve"> with integration to the Azure DevOps </w:t>
            </w:r>
            <w:r w:rsidR="00D339B9">
              <w:t>s</w:t>
            </w:r>
            <w:r w:rsidR="00B243BA">
              <w:t>olution</w:t>
            </w:r>
            <w:r>
              <w:t>—</w:t>
            </w:r>
            <w:r w:rsidR="0002052E" w:rsidRPr="00083092">
              <w:t>used to manage the Azure migration program.</w:t>
            </w:r>
          </w:p>
        </w:tc>
        <w:tc>
          <w:tcPr>
            <w:tcW w:w="2449" w:type="dxa"/>
            <w:shd w:val="clear" w:color="auto" w:fill="auto"/>
          </w:tcPr>
          <w:p w14:paraId="785FAAB4" w14:textId="65F4D3EA" w:rsidR="0002052E" w:rsidRPr="00F91A08" w:rsidRDefault="0002052E" w:rsidP="003B391F">
            <w:pPr>
              <w:pStyle w:val="TableText"/>
            </w:pPr>
            <w:r w:rsidRPr="009D1F60">
              <w:t>Start of engagement</w:t>
            </w:r>
          </w:p>
        </w:tc>
      </w:tr>
      <w:tr w:rsidR="00A36E1D" w:rsidRPr="00F91A08" w14:paraId="651631EC" w14:textId="77777777" w:rsidTr="00FD4A06">
        <w:tc>
          <w:tcPr>
            <w:tcW w:w="2920" w:type="dxa"/>
            <w:shd w:val="clear" w:color="auto" w:fill="auto"/>
          </w:tcPr>
          <w:p w14:paraId="7E7F558A" w14:textId="54D8BF1F" w:rsidR="00A36E1D" w:rsidRPr="00F91A08" w:rsidRDefault="00A36E1D" w:rsidP="00A54F5B">
            <w:pPr>
              <w:pStyle w:val="TableText"/>
            </w:pPr>
            <w:r>
              <w:t>Azure Cloud Catalog</w:t>
            </w:r>
          </w:p>
        </w:tc>
        <w:tc>
          <w:tcPr>
            <w:tcW w:w="3982" w:type="dxa"/>
            <w:shd w:val="clear" w:color="auto" w:fill="auto"/>
          </w:tcPr>
          <w:p w14:paraId="76017901" w14:textId="482F887C" w:rsidR="00A36E1D" w:rsidRDefault="00DD221E" w:rsidP="00A54F5B">
            <w:pPr>
              <w:pStyle w:val="TableText"/>
            </w:pPr>
            <w:r w:rsidRPr="009A4201">
              <w:t xml:space="preserve">A hosted web service and database </w:t>
            </w:r>
            <w:r w:rsidR="00005D26">
              <w:t xml:space="preserve">in the </w:t>
            </w:r>
            <w:r w:rsidR="00F40074">
              <w:t>C</w:t>
            </w:r>
            <w:r w:rsidR="00005D26">
              <w:t xml:space="preserve">ustomer subscription </w:t>
            </w:r>
            <w:r w:rsidRPr="009A4201">
              <w:t>configured as a dedicated migration catalog</w:t>
            </w:r>
            <w:r w:rsidR="008C50EB">
              <w:t>.</w:t>
            </w:r>
          </w:p>
        </w:tc>
        <w:tc>
          <w:tcPr>
            <w:tcW w:w="2449" w:type="dxa"/>
            <w:shd w:val="clear" w:color="auto" w:fill="auto"/>
          </w:tcPr>
          <w:p w14:paraId="318C0E87" w14:textId="79B89424" w:rsidR="00A36E1D" w:rsidRPr="009D1F60" w:rsidRDefault="00D17CE5" w:rsidP="00A54F5B">
            <w:pPr>
              <w:pStyle w:val="TableText"/>
            </w:pPr>
            <w:r>
              <w:t>Microsoft</w:t>
            </w:r>
            <w:r w:rsidR="003D17AE">
              <w:t xml:space="preserve"> supplied, deployed during the </w:t>
            </w:r>
            <w:r w:rsidR="00F40074">
              <w:t>P</w:t>
            </w:r>
            <w:r w:rsidR="003D17AE">
              <w:t xml:space="preserve">repare phase </w:t>
            </w:r>
          </w:p>
        </w:tc>
      </w:tr>
      <w:tr w:rsidR="00005AC9" w:rsidRPr="00F91A08" w14:paraId="592E658F" w14:textId="77777777" w:rsidTr="00FD4A06">
        <w:tc>
          <w:tcPr>
            <w:tcW w:w="2920" w:type="dxa"/>
            <w:shd w:val="clear" w:color="auto" w:fill="auto"/>
          </w:tcPr>
          <w:p w14:paraId="24F28E8C" w14:textId="3BFE96E4" w:rsidR="00005AC9" w:rsidRDefault="00005AC9" w:rsidP="00005AC9">
            <w:pPr>
              <w:pStyle w:val="TableText"/>
            </w:pPr>
            <w:r w:rsidRPr="009A4201">
              <w:t>Azure Migration Toolkit</w:t>
            </w:r>
          </w:p>
        </w:tc>
        <w:tc>
          <w:tcPr>
            <w:tcW w:w="3982" w:type="dxa"/>
            <w:shd w:val="clear" w:color="auto" w:fill="auto"/>
          </w:tcPr>
          <w:p w14:paraId="08534FE1" w14:textId="2FC3FBEE" w:rsidR="00005AC9" w:rsidRPr="009A4201" w:rsidRDefault="00005AC9" w:rsidP="00005AC9">
            <w:pPr>
              <w:pStyle w:val="TableText"/>
            </w:pPr>
            <w:r w:rsidRPr="009A4201">
              <w:t xml:space="preserve">A </w:t>
            </w:r>
            <w:r w:rsidR="009B03EE">
              <w:t>Microsoft</w:t>
            </w:r>
            <w:r w:rsidRPr="009A4201">
              <w:t xml:space="preserve"> tool used to automate the installation of key discovery and assessment tools and perform an inventory of Linux server environments</w:t>
            </w:r>
            <w:r w:rsidR="00426391">
              <w:t>.</w:t>
            </w:r>
          </w:p>
        </w:tc>
        <w:tc>
          <w:tcPr>
            <w:tcW w:w="2449" w:type="dxa"/>
            <w:shd w:val="clear" w:color="auto" w:fill="auto"/>
          </w:tcPr>
          <w:p w14:paraId="7F2C14FF" w14:textId="076559F4" w:rsidR="00005AC9" w:rsidRDefault="004D2F55" w:rsidP="00005AC9">
            <w:pPr>
              <w:pStyle w:val="TableText"/>
            </w:pPr>
            <w:r>
              <w:t>Microsoft supplied, deployed during the Prepare phase</w:t>
            </w:r>
          </w:p>
        </w:tc>
      </w:tr>
      <w:tr w:rsidR="00005AC9" w:rsidRPr="00F91A08" w14:paraId="12591E4F" w14:textId="77777777" w:rsidTr="00FD4A06">
        <w:tc>
          <w:tcPr>
            <w:tcW w:w="2920" w:type="dxa"/>
            <w:shd w:val="clear" w:color="auto" w:fill="auto"/>
          </w:tcPr>
          <w:p w14:paraId="44AE5E02" w14:textId="2C13E9E4" w:rsidR="00005AC9" w:rsidRDefault="00005AC9" w:rsidP="00005AC9">
            <w:pPr>
              <w:pStyle w:val="TableText"/>
            </w:pPr>
            <w:r w:rsidRPr="009A4201">
              <w:t>Microsoft Data Transfer and Management tool</w:t>
            </w:r>
          </w:p>
        </w:tc>
        <w:tc>
          <w:tcPr>
            <w:tcW w:w="3982" w:type="dxa"/>
            <w:shd w:val="clear" w:color="auto" w:fill="auto"/>
          </w:tcPr>
          <w:p w14:paraId="705942AC" w14:textId="4A193CDB" w:rsidR="00005AC9" w:rsidRPr="009A4201" w:rsidRDefault="00005AC9" w:rsidP="00005AC9">
            <w:pPr>
              <w:pStyle w:val="TableText"/>
            </w:pPr>
            <w:r w:rsidRPr="009A4201">
              <w:t>A required Microsoft-hosted secure file transfer service that is used when transferring large files to Microsoft</w:t>
            </w:r>
            <w:r w:rsidR="00426391">
              <w:t>.</w:t>
            </w:r>
          </w:p>
        </w:tc>
        <w:tc>
          <w:tcPr>
            <w:tcW w:w="2449" w:type="dxa"/>
            <w:shd w:val="clear" w:color="auto" w:fill="auto"/>
          </w:tcPr>
          <w:p w14:paraId="2B5FB96C" w14:textId="1AEF186C" w:rsidR="00005AC9" w:rsidRDefault="004D2F55" w:rsidP="00005AC9">
            <w:pPr>
              <w:pStyle w:val="TableText"/>
            </w:pPr>
            <w:r>
              <w:t xml:space="preserve">Microsoft supplied, deployed during the </w:t>
            </w:r>
            <w:r w:rsidR="00F40074">
              <w:t>P</w:t>
            </w:r>
            <w:r>
              <w:t>repare phase</w:t>
            </w:r>
          </w:p>
        </w:tc>
      </w:tr>
      <w:tr w:rsidR="00005AC9" w:rsidRPr="00F91A08" w14:paraId="4B29BA1D" w14:textId="77777777" w:rsidTr="00FD4A06">
        <w:tc>
          <w:tcPr>
            <w:tcW w:w="2920" w:type="dxa"/>
            <w:shd w:val="clear" w:color="auto" w:fill="auto"/>
          </w:tcPr>
          <w:p w14:paraId="782CE948" w14:textId="1B48F8FE" w:rsidR="00005AC9" w:rsidRDefault="00005AC9" w:rsidP="00005AC9">
            <w:pPr>
              <w:pStyle w:val="TableText"/>
            </w:pPr>
            <w:r w:rsidRPr="009A4201">
              <w:t>Cloudockit</w:t>
            </w:r>
          </w:p>
        </w:tc>
        <w:tc>
          <w:tcPr>
            <w:tcW w:w="3982" w:type="dxa"/>
            <w:shd w:val="clear" w:color="auto" w:fill="auto"/>
          </w:tcPr>
          <w:p w14:paraId="6DFE6876" w14:textId="3C1D5873" w:rsidR="00005AC9" w:rsidRPr="009A4201" w:rsidRDefault="00005AC9" w:rsidP="00005AC9">
            <w:pPr>
              <w:pStyle w:val="TableText"/>
            </w:pPr>
            <w:r w:rsidRPr="009A4201">
              <w:t xml:space="preserve">An online service that generates </w:t>
            </w:r>
            <w:r w:rsidR="00CA436D">
              <w:t xml:space="preserve">the </w:t>
            </w:r>
            <w:r w:rsidRPr="009A4201">
              <w:t xml:space="preserve">documentation </w:t>
            </w:r>
            <w:r w:rsidR="00CA436D">
              <w:t>for</w:t>
            </w:r>
            <w:r w:rsidR="00D370FD">
              <w:t xml:space="preserve"> </w:t>
            </w:r>
            <w:r w:rsidRPr="009A4201">
              <w:t>Azure subscriptions. If required, this tool can be run from an on-premises server that has network access to the Azure subscription management endpoints.</w:t>
            </w:r>
          </w:p>
        </w:tc>
        <w:tc>
          <w:tcPr>
            <w:tcW w:w="2449" w:type="dxa"/>
            <w:shd w:val="clear" w:color="auto" w:fill="auto"/>
          </w:tcPr>
          <w:p w14:paraId="53FA7A11" w14:textId="516D72C4" w:rsidR="00005AC9" w:rsidRDefault="004D2F55" w:rsidP="00005AC9">
            <w:pPr>
              <w:pStyle w:val="TableText"/>
            </w:pPr>
            <w:r>
              <w:t xml:space="preserve">Microsoft supplied, deployed during the </w:t>
            </w:r>
            <w:r w:rsidR="00F40074">
              <w:t>P</w:t>
            </w:r>
            <w:r>
              <w:t>repare phase</w:t>
            </w:r>
          </w:p>
        </w:tc>
      </w:tr>
      <w:tr w:rsidR="0069702A" w:rsidRPr="00F91A08" w14:paraId="2F63ADBE" w14:textId="77777777" w:rsidTr="00FD4A06">
        <w:tc>
          <w:tcPr>
            <w:tcW w:w="2920" w:type="dxa"/>
            <w:shd w:val="clear" w:color="auto" w:fill="auto"/>
          </w:tcPr>
          <w:p w14:paraId="4419428F" w14:textId="7238794C" w:rsidR="0069702A" w:rsidRPr="009A4201" w:rsidRDefault="0069702A" w:rsidP="0069702A">
            <w:pPr>
              <w:pStyle w:val="TableText"/>
            </w:pPr>
            <w:r w:rsidRPr="009A4201">
              <w:t xml:space="preserve">SQL </w:t>
            </w:r>
            <w:r w:rsidR="00D01FFF">
              <w:t>Data Migration Assistant (</w:t>
            </w:r>
            <w:r w:rsidRPr="009A4201">
              <w:t>DMA</w:t>
            </w:r>
            <w:r w:rsidR="00D01FFF">
              <w:t>)</w:t>
            </w:r>
          </w:p>
        </w:tc>
        <w:tc>
          <w:tcPr>
            <w:tcW w:w="3982" w:type="dxa"/>
            <w:shd w:val="clear" w:color="auto" w:fill="auto"/>
          </w:tcPr>
          <w:p w14:paraId="181B43AA" w14:textId="0F5D416A" w:rsidR="0069702A" w:rsidRPr="009A4201" w:rsidRDefault="0069702A" w:rsidP="0069702A">
            <w:pPr>
              <w:pStyle w:val="TableText"/>
            </w:pPr>
            <w:r w:rsidRPr="009A4201">
              <w:t xml:space="preserve">A </w:t>
            </w:r>
            <w:r w:rsidR="009824B7">
              <w:t>no</w:t>
            </w:r>
            <w:r w:rsidR="00326C95">
              <w:t>-cost</w:t>
            </w:r>
            <w:r w:rsidR="009824B7">
              <w:t xml:space="preserve"> </w:t>
            </w:r>
            <w:r w:rsidRPr="009A4201">
              <w:t>tool used to collect SQL Server planning data</w:t>
            </w:r>
            <w:r w:rsidR="00426391">
              <w:t>.</w:t>
            </w:r>
          </w:p>
        </w:tc>
        <w:tc>
          <w:tcPr>
            <w:tcW w:w="2449" w:type="dxa"/>
            <w:shd w:val="clear" w:color="auto" w:fill="auto"/>
          </w:tcPr>
          <w:p w14:paraId="68FF90D2" w14:textId="2254C4F8" w:rsidR="0069702A" w:rsidRDefault="0069702A" w:rsidP="0069702A">
            <w:pPr>
              <w:pStyle w:val="TableText"/>
            </w:pPr>
            <w:r>
              <w:t xml:space="preserve">Microsoft supplied, deployed during the </w:t>
            </w:r>
            <w:r w:rsidR="00F40074">
              <w:t>P</w:t>
            </w:r>
            <w:r>
              <w:t>repare phase</w:t>
            </w:r>
          </w:p>
        </w:tc>
      </w:tr>
      <w:tr w:rsidR="0069702A" w:rsidRPr="00F91A08" w14:paraId="064E4BCC" w14:textId="77777777" w:rsidTr="00FD4A06">
        <w:tc>
          <w:tcPr>
            <w:tcW w:w="2920" w:type="dxa"/>
            <w:shd w:val="clear" w:color="auto" w:fill="auto"/>
          </w:tcPr>
          <w:p w14:paraId="5F240013" w14:textId="77777777" w:rsidR="0069702A" w:rsidRPr="00F91A08" w:rsidRDefault="0069702A" w:rsidP="0069702A">
            <w:pPr>
              <w:pStyle w:val="Optional"/>
            </w:pPr>
            <w:r w:rsidRPr="00F91A08">
              <w:t>GitHub</w:t>
            </w:r>
            <w:r>
              <w:t xml:space="preserve"> Enterprise</w:t>
            </w:r>
          </w:p>
        </w:tc>
        <w:tc>
          <w:tcPr>
            <w:tcW w:w="3982" w:type="dxa"/>
            <w:shd w:val="clear" w:color="auto" w:fill="auto"/>
          </w:tcPr>
          <w:p w14:paraId="0323B5AB" w14:textId="7BFDD579" w:rsidR="0069702A" w:rsidRPr="00F91A08" w:rsidRDefault="0069702A" w:rsidP="0069702A">
            <w:pPr>
              <w:pStyle w:val="Optional"/>
              <w:tabs>
                <w:tab w:val="left" w:pos="930"/>
              </w:tabs>
            </w:pPr>
            <w:r>
              <w:t xml:space="preserve">A DevOps </w:t>
            </w:r>
            <w:r w:rsidR="00D339B9">
              <w:t>s</w:t>
            </w:r>
            <w:r w:rsidR="00B243BA">
              <w:t>olution</w:t>
            </w:r>
            <w:r>
              <w:t xml:space="preserve"> used for work backlog management, code repositories, and to create build and release pipelines</w:t>
            </w:r>
            <w:r w:rsidR="008C50EB">
              <w:t>.</w:t>
            </w:r>
          </w:p>
        </w:tc>
        <w:tc>
          <w:tcPr>
            <w:tcW w:w="2449" w:type="dxa"/>
            <w:shd w:val="clear" w:color="auto" w:fill="auto"/>
          </w:tcPr>
          <w:p w14:paraId="0BFD0FA8" w14:textId="52B3BF1B" w:rsidR="0069702A" w:rsidRPr="00F91A08" w:rsidRDefault="0069702A" w:rsidP="0069702A">
            <w:pPr>
              <w:pStyle w:val="Optional"/>
            </w:pPr>
            <w:r w:rsidRPr="009D1F60">
              <w:t>Start of engagement</w:t>
            </w:r>
          </w:p>
        </w:tc>
      </w:tr>
      <w:tr w:rsidR="0069702A" w:rsidRPr="00F91A08" w14:paraId="2483C70F" w14:textId="77777777" w:rsidTr="00FD4A06">
        <w:tc>
          <w:tcPr>
            <w:tcW w:w="2920" w:type="dxa"/>
            <w:shd w:val="clear" w:color="auto" w:fill="auto"/>
          </w:tcPr>
          <w:p w14:paraId="04BE7837" w14:textId="77777777" w:rsidR="0069702A" w:rsidRDefault="0069702A" w:rsidP="0069702A">
            <w:r>
              <w:t>Active Directory Domain Services</w:t>
            </w:r>
          </w:p>
        </w:tc>
        <w:tc>
          <w:tcPr>
            <w:tcW w:w="3982" w:type="dxa"/>
            <w:shd w:val="clear" w:color="auto" w:fill="auto"/>
          </w:tcPr>
          <w:p w14:paraId="1A169986" w14:textId="4AA6B03A" w:rsidR="0069702A" w:rsidRPr="009A4201" w:rsidRDefault="0069702A" w:rsidP="0069702A">
            <w:pPr>
              <w:pStyle w:val="TableText"/>
            </w:pPr>
            <w:r>
              <w:t>Functional levels: 2008 - 2019</w:t>
            </w:r>
          </w:p>
        </w:tc>
        <w:tc>
          <w:tcPr>
            <w:tcW w:w="2449" w:type="dxa"/>
            <w:shd w:val="clear" w:color="auto" w:fill="auto"/>
          </w:tcPr>
          <w:p w14:paraId="700C5773" w14:textId="185943BC" w:rsidR="0069702A" w:rsidRPr="009D1F60" w:rsidRDefault="0069702A" w:rsidP="0069702A">
            <w:pPr>
              <w:pStyle w:val="TableText"/>
            </w:pPr>
            <w:r>
              <w:t>Start of engagement</w:t>
            </w:r>
          </w:p>
        </w:tc>
      </w:tr>
      <w:tr w:rsidR="0069702A" w14:paraId="24C58103" w14:textId="77777777" w:rsidTr="00FD4A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20" w:type="dxa"/>
            <w:tcBorders>
              <w:top w:val="single" w:sz="4" w:space="0" w:color="auto"/>
              <w:left w:val="single" w:sz="4" w:space="0" w:color="auto"/>
              <w:bottom w:val="single" w:sz="4" w:space="0" w:color="auto"/>
              <w:right w:val="single" w:sz="4" w:space="0" w:color="auto"/>
            </w:tcBorders>
          </w:tcPr>
          <w:p w14:paraId="6E785872" w14:textId="718109A8" w:rsidR="0069702A" w:rsidRDefault="0069702A" w:rsidP="0069702A">
            <w:r>
              <w:t>Azure Active Directory</w:t>
            </w:r>
          </w:p>
        </w:tc>
        <w:tc>
          <w:tcPr>
            <w:tcW w:w="3982" w:type="dxa"/>
            <w:tcBorders>
              <w:top w:val="single" w:sz="4" w:space="0" w:color="auto"/>
              <w:left w:val="single" w:sz="4" w:space="0" w:color="auto"/>
              <w:bottom w:val="single" w:sz="4" w:space="0" w:color="auto"/>
              <w:right w:val="single" w:sz="4" w:space="0" w:color="auto"/>
            </w:tcBorders>
          </w:tcPr>
          <w:p w14:paraId="19E610FE" w14:textId="07876A08" w:rsidR="0069702A" w:rsidRDefault="0069702A" w:rsidP="0069702A">
            <w:pPr>
              <w:pStyle w:val="Optional"/>
            </w:pPr>
            <w:r w:rsidRPr="00A54F5B">
              <w:rPr>
                <w:b w:val="0"/>
                <w:color w:val="auto"/>
              </w:rPr>
              <w:t>Premium/P2</w:t>
            </w:r>
          </w:p>
        </w:tc>
        <w:tc>
          <w:tcPr>
            <w:tcW w:w="2449" w:type="dxa"/>
            <w:tcBorders>
              <w:top w:val="single" w:sz="4" w:space="0" w:color="auto"/>
              <w:left w:val="single" w:sz="4" w:space="0" w:color="auto"/>
              <w:bottom w:val="single" w:sz="4" w:space="0" w:color="auto"/>
              <w:right w:val="single" w:sz="4" w:space="0" w:color="auto"/>
            </w:tcBorders>
          </w:tcPr>
          <w:p w14:paraId="2A269241" w14:textId="0E9B39B9" w:rsidR="0069702A" w:rsidRDefault="0069702A" w:rsidP="0069702A">
            <w:r>
              <w:t>Start of engagement</w:t>
            </w:r>
          </w:p>
        </w:tc>
      </w:tr>
      <w:tr w:rsidR="0069702A" w14:paraId="3375BC38" w14:textId="77777777" w:rsidTr="0B2767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9351" w:type="dxa"/>
            <w:gridSpan w:val="3"/>
            <w:tcBorders>
              <w:top w:val="single" w:sz="4" w:space="0" w:color="auto"/>
              <w:left w:val="single" w:sz="4" w:space="0" w:color="auto"/>
              <w:bottom w:val="single" w:sz="4" w:space="0" w:color="auto"/>
              <w:right w:val="single" w:sz="4" w:space="0" w:color="auto"/>
            </w:tcBorders>
          </w:tcPr>
          <w:p w14:paraId="797909B1" w14:textId="77777777" w:rsidR="0069702A" w:rsidRDefault="0069702A" w:rsidP="0069702A">
            <w:pPr>
              <w:pStyle w:val="Instructional"/>
            </w:pPr>
            <w:r>
              <w:t>Include the following rows if the Privileged Access Workstation for Cloud Services Management workstream is in scope. Note we require either EMS E5 and ATP, OR M365 E5</w:t>
            </w:r>
          </w:p>
        </w:tc>
      </w:tr>
      <w:tr w:rsidR="0069702A" w14:paraId="0C210AF2" w14:textId="77777777" w:rsidTr="00FD4A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20" w:type="dxa"/>
            <w:tcBorders>
              <w:top w:val="single" w:sz="4" w:space="0" w:color="auto"/>
              <w:left w:val="single" w:sz="4" w:space="0" w:color="auto"/>
              <w:bottom w:val="single" w:sz="4" w:space="0" w:color="auto"/>
              <w:right w:val="single" w:sz="4" w:space="0" w:color="auto"/>
            </w:tcBorders>
            <w:hideMark/>
          </w:tcPr>
          <w:p w14:paraId="46C27FFE" w14:textId="77777777" w:rsidR="0069702A" w:rsidRDefault="0069702A" w:rsidP="0069702A">
            <w:r>
              <w:lastRenderedPageBreak/>
              <w:t>Microsoft Enterprise Mobility and Security (EMS)</w:t>
            </w:r>
          </w:p>
        </w:tc>
        <w:tc>
          <w:tcPr>
            <w:tcW w:w="3982" w:type="dxa"/>
            <w:tcBorders>
              <w:top w:val="single" w:sz="4" w:space="0" w:color="auto"/>
              <w:left w:val="single" w:sz="4" w:space="0" w:color="auto"/>
              <w:bottom w:val="single" w:sz="4" w:space="0" w:color="auto"/>
              <w:right w:val="single" w:sz="4" w:space="0" w:color="auto"/>
            </w:tcBorders>
            <w:hideMark/>
          </w:tcPr>
          <w:p w14:paraId="2EB51056" w14:textId="2B48D78D" w:rsidR="0069702A" w:rsidRDefault="0069702A" w:rsidP="0069702A">
            <w:r>
              <w:t>E5</w:t>
            </w:r>
          </w:p>
        </w:tc>
        <w:tc>
          <w:tcPr>
            <w:tcW w:w="2449" w:type="dxa"/>
            <w:tcBorders>
              <w:top w:val="single" w:sz="4" w:space="0" w:color="auto"/>
              <w:left w:val="single" w:sz="4" w:space="0" w:color="auto"/>
              <w:bottom w:val="single" w:sz="4" w:space="0" w:color="auto"/>
              <w:right w:val="single" w:sz="4" w:space="0" w:color="auto"/>
            </w:tcBorders>
            <w:hideMark/>
          </w:tcPr>
          <w:p w14:paraId="73407DA5" w14:textId="1DB948F4" w:rsidR="0069702A" w:rsidRDefault="0069702A" w:rsidP="0069702A">
            <w:r>
              <w:t>Start of engagement</w:t>
            </w:r>
          </w:p>
        </w:tc>
      </w:tr>
      <w:tr w:rsidR="0069702A" w14:paraId="6EB626B7" w14:textId="77777777" w:rsidTr="00FD4A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20" w:type="dxa"/>
            <w:tcBorders>
              <w:top w:val="single" w:sz="4" w:space="0" w:color="auto"/>
              <w:left w:val="single" w:sz="4" w:space="0" w:color="auto"/>
              <w:bottom w:val="single" w:sz="4" w:space="0" w:color="auto"/>
              <w:right w:val="single" w:sz="4" w:space="0" w:color="auto"/>
            </w:tcBorders>
            <w:hideMark/>
          </w:tcPr>
          <w:p w14:paraId="6AAD9DE2" w14:textId="77777777" w:rsidR="0069702A" w:rsidRDefault="0069702A" w:rsidP="0069702A">
            <w:r>
              <w:t>Microsoft Defender ATP</w:t>
            </w:r>
          </w:p>
        </w:tc>
        <w:tc>
          <w:tcPr>
            <w:tcW w:w="3982" w:type="dxa"/>
            <w:tcBorders>
              <w:top w:val="single" w:sz="4" w:space="0" w:color="auto"/>
              <w:left w:val="single" w:sz="4" w:space="0" w:color="auto"/>
              <w:bottom w:val="single" w:sz="4" w:space="0" w:color="auto"/>
              <w:right w:val="single" w:sz="4" w:space="0" w:color="auto"/>
            </w:tcBorders>
            <w:hideMark/>
          </w:tcPr>
          <w:p w14:paraId="218EDB3E" w14:textId="438ED731" w:rsidR="0069702A" w:rsidRDefault="0069702A" w:rsidP="0069702A"/>
        </w:tc>
        <w:tc>
          <w:tcPr>
            <w:tcW w:w="2449" w:type="dxa"/>
            <w:tcBorders>
              <w:top w:val="single" w:sz="4" w:space="0" w:color="auto"/>
              <w:left w:val="single" w:sz="4" w:space="0" w:color="auto"/>
              <w:bottom w:val="single" w:sz="4" w:space="0" w:color="auto"/>
              <w:right w:val="single" w:sz="4" w:space="0" w:color="auto"/>
            </w:tcBorders>
            <w:hideMark/>
          </w:tcPr>
          <w:p w14:paraId="007DA1D5" w14:textId="24AF1CA3" w:rsidR="0069702A" w:rsidRDefault="0069702A" w:rsidP="0069702A">
            <w:r>
              <w:t>Start of engagement</w:t>
            </w:r>
          </w:p>
        </w:tc>
      </w:tr>
      <w:tr w:rsidR="0069702A" w14:paraId="3ED2430C" w14:textId="77777777" w:rsidTr="00FD4A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20" w:type="dxa"/>
            <w:tcBorders>
              <w:top w:val="single" w:sz="4" w:space="0" w:color="auto"/>
              <w:left w:val="single" w:sz="4" w:space="0" w:color="auto"/>
              <w:bottom w:val="single" w:sz="4" w:space="0" w:color="auto"/>
              <w:right w:val="single" w:sz="4" w:space="0" w:color="auto"/>
            </w:tcBorders>
            <w:hideMark/>
          </w:tcPr>
          <w:p w14:paraId="5CF83F7A" w14:textId="77777777" w:rsidR="0069702A" w:rsidRDefault="0069702A" w:rsidP="0069702A">
            <w:pPr>
              <w:pStyle w:val="Optional"/>
            </w:pPr>
            <w:r>
              <w:t>Microsoft 365</w:t>
            </w:r>
          </w:p>
        </w:tc>
        <w:tc>
          <w:tcPr>
            <w:tcW w:w="3982" w:type="dxa"/>
            <w:tcBorders>
              <w:top w:val="single" w:sz="4" w:space="0" w:color="auto"/>
              <w:left w:val="single" w:sz="4" w:space="0" w:color="auto"/>
              <w:bottom w:val="single" w:sz="4" w:space="0" w:color="auto"/>
              <w:right w:val="single" w:sz="4" w:space="0" w:color="auto"/>
            </w:tcBorders>
            <w:hideMark/>
          </w:tcPr>
          <w:p w14:paraId="3AA82095" w14:textId="77777777" w:rsidR="0069702A" w:rsidRDefault="0069702A" w:rsidP="0069702A">
            <w:pPr>
              <w:pStyle w:val="Optional"/>
            </w:pPr>
            <w:r>
              <w:t>E5</w:t>
            </w:r>
          </w:p>
        </w:tc>
        <w:tc>
          <w:tcPr>
            <w:tcW w:w="2449" w:type="dxa"/>
            <w:tcBorders>
              <w:top w:val="single" w:sz="4" w:space="0" w:color="auto"/>
              <w:left w:val="single" w:sz="4" w:space="0" w:color="auto"/>
              <w:bottom w:val="single" w:sz="4" w:space="0" w:color="auto"/>
              <w:right w:val="single" w:sz="4" w:space="0" w:color="auto"/>
            </w:tcBorders>
            <w:hideMark/>
          </w:tcPr>
          <w:p w14:paraId="5EF6D83B" w14:textId="76A93025" w:rsidR="0069702A" w:rsidRDefault="0069702A" w:rsidP="0069702A">
            <w:pPr>
              <w:pStyle w:val="Optional"/>
            </w:pPr>
            <w:r>
              <w:t>Start of engagement</w:t>
            </w:r>
          </w:p>
        </w:tc>
      </w:tr>
      <w:tr w:rsidR="0069702A" w14:paraId="2927ED39" w14:textId="77777777" w:rsidTr="0B2767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9351" w:type="dxa"/>
            <w:gridSpan w:val="3"/>
            <w:tcBorders>
              <w:top w:val="single" w:sz="4" w:space="0" w:color="auto"/>
              <w:left w:val="single" w:sz="4" w:space="0" w:color="auto"/>
              <w:bottom w:val="single" w:sz="4" w:space="0" w:color="auto"/>
              <w:right w:val="single" w:sz="4" w:space="0" w:color="auto"/>
            </w:tcBorders>
          </w:tcPr>
          <w:p w14:paraId="2363079E" w14:textId="77777777" w:rsidR="0069702A" w:rsidRDefault="0069702A" w:rsidP="0069702A">
            <w:pPr>
              <w:pStyle w:val="Instructional"/>
            </w:pPr>
            <w:r>
              <w:t>Include the following rows if Clean Source Deployment is in scope as part of PAW-CSM</w:t>
            </w:r>
          </w:p>
        </w:tc>
      </w:tr>
      <w:tr w:rsidR="0069702A" w14:paraId="2D250516" w14:textId="77777777" w:rsidTr="00FD4A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20" w:type="dxa"/>
            <w:tcBorders>
              <w:top w:val="single" w:sz="4" w:space="0" w:color="auto"/>
              <w:left w:val="single" w:sz="4" w:space="0" w:color="auto"/>
              <w:bottom w:val="single" w:sz="4" w:space="0" w:color="auto"/>
              <w:right w:val="single" w:sz="4" w:space="0" w:color="auto"/>
            </w:tcBorders>
            <w:hideMark/>
          </w:tcPr>
          <w:p w14:paraId="7BC47FB7" w14:textId="77777777" w:rsidR="0069702A" w:rsidRDefault="0069702A" w:rsidP="0069702A">
            <w:r>
              <w:t>Windows Server</w:t>
            </w:r>
          </w:p>
        </w:tc>
        <w:tc>
          <w:tcPr>
            <w:tcW w:w="3982" w:type="dxa"/>
            <w:tcBorders>
              <w:top w:val="single" w:sz="4" w:space="0" w:color="auto"/>
              <w:left w:val="single" w:sz="4" w:space="0" w:color="auto"/>
              <w:bottom w:val="single" w:sz="4" w:space="0" w:color="auto"/>
              <w:right w:val="single" w:sz="4" w:space="0" w:color="auto"/>
            </w:tcBorders>
            <w:hideMark/>
          </w:tcPr>
          <w:p w14:paraId="3C6491C8" w14:textId="77777777" w:rsidR="0069702A" w:rsidRDefault="0069702A" w:rsidP="0069702A">
            <w:r>
              <w:t>2019</w:t>
            </w:r>
          </w:p>
        </w:tc>
        <w:tc>
          <w:tcPr>
            <w:tcW w:w="2449" w:type="dxa"/>
            <w:tcBorders>
              <w:top w:val="single" w:sz="4" w:space="0" w:color="auto"/>
              <w:left w:val="single" w:sz="4" w:space="0" w:color="auto"/>
              <w:bottom w:val="single" w:sz="4" w:space="0" w:color="auto"/>
              <w:right w:val="single" w:sz="4" w:space="0" w:color="auto"/>
            </w:tcBorders>
            <w:hideMark/>
          </w:tcPr>
          <w:p w14:paraId="79397AB2" w14:textId="77777777" w:rsidR="0069702A" w:rsidRDefault="0069702A" w:rsidP="0069702A">
            <w:r>
              <w:t>Start of engagement</w:t>
            </w:r>
          </w:p>
        </w:tc>
      </w:tr>
      <w:tr w:rsidR="0069702A" w14:paraId="753C37AB" w14:textId="77777777" w:rsidTr="00FD4A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920" w:type="dxa"/>
            <w:tcBorders>
              <w:top w:val="single" w:sz="4" w:space="0" w:color="auto"/>
              <w:left w:val="single" w:sz="4" w:space="0" w:color="auto"/>
              <w:bottom w:val="single" w:sz="4" w:space="0" w:color="auto"/>
              <w:right w:val="single" w:sz="4" w:space="0" w:color="auto"/>
            </w:tcBorders>
            <w:hideMark/>
          </w:tcPr>
          <w:p w14:paraId="0040F1BE" w14:textId="77777777" w:rsidR="0069702A" w:rsidRDefault="0069702A" w:rsidP="0069702A">
            <w:r>
              <w:t>Windows 10</w:t>
            </w:r>
          </w:p>
        </w:tc>
        <w:tc>
          <w:tcPr>
            <w:tcW w:w="3982" w:type="dxa"/>
            <w:tcBorders>
              <w:top w:val="single" w:sz="4" w:space="0" w:color="auto"/>
              <w:left w:val="single" w:sz="4" w:space="0" w:color="auto"/>
              <w:bottom w:val="single" w:sz="4" w:space="0" w:color="auto"/>
              <w:right w:val="single" w:sz="4" w:space="0" w:color="auto"/>
            </w:tcBorders>
            <w:hideMark/>
          </w:tcPr>
          <w:p w14:paraId="5686A3D8" w14:textId="77777777" w:rsidR="0069702A" w:rsidRDefault="0069702A" w:rsidP="0069702A">
            <w:pPr>
              <w:pStyle w:val="Optional"/>
            </w:pPr>
            <w:r>
              <w:t>Enterprise x64</w:t>
            </w:r>
          </w:p>
          <w:p w14:paraId="06487A8D" w14:textId="77777777" w:rsidR="0069702A" w:rsidRDefault="0069702A" w:rsidP="0069702A">
            <w:pPr>
              <w:pStyle w:val="Optional"/>
            </w:pPr>
            <w:r>
              <w:t>Education x64</w:t>
            </w:r>
          </w:p>
        </w:tc>
        <w:tc>
          <w:tcPr>
            <w:tcW w:w="2449" w:type="dxa"/>
            <w:tcBorders>
              <w:top w:val="single" w:sz="4" w:space="0" w:color="auto"/>
              <w:left w:val="single" w:sz="4" w:space="0" w:color="auto"/>
              <w:bottom w:val="single" w:sz="4" w:space="0" w:color="auto"/>
              <w:right w:val="single" w:sz="4" w:space="0" w:color="auto"/>
            </w:tcBorders>
            <w:hideMark/>
          </w:tcPr>
          <w:p w14:paraId="2592365C" w14:textId="77777777" w:rsidR="0069702A" w:rsidRDefault="0069702A" w:rsidP="0069702A">
            <w:r>
              <w:t>Start of engagement</w:t>
            </w:r>
          </w:p>
        </w:tc>
      </w:tr>
      <w:tr w:rsidR="0069702A" w:rsidRPr="00F91A08" w14:paraId="3B1A4FA0" w14:textId="77777777" w:rsidTr="003B391F">
        <w:tc>
          <w:tcPr>
            <w:tcW w:w="9351" w:type="dxa"/>
            <w:gridSpan w:val="3"/>
            <w:shd w:val="clear" w:color="auto" w:fill="auto"/>
          </w:tcPr>
          <w:p w14:paraId="22308991" w14:textId="38F4AE92" w:rsidR="0069702A" w:rsidRPr="009D1F60" w:rsidRDefault="0069702A" w:rsidP="0069702A">
            <w:pPr>
              <w:pStyle w:val="Instructional"/>
            </w:pPr>
            <w:r>
              <w:t>Include the following rows if the Azure Migration Services are in scope (AMS)</w:t>
            </w:r>
          </w:p>
        </w:tc>
      </w:tr>
      <w:tr w:rsidR="0069702A" w:rsidRPr="00F91A08" w14:paraId="626F52A0" w14:textId="77777777" w:rsidTr="00FD4A06">
        <w:tc>
          <w:tcPr>
            <w:tcW w:w="2920" w:type="dxa"/>
            <w:shd w:val="clear" w:color="auto" w:fill="auto"/>
          </w:tcPr>
          <w:p w14:paraId="7B6D7FB1" w14:textId="77777777" w:rsidR="0069702A" w:rsidRPr="00DC0323" w:rsidRDefault="0069702A" w:rsidP="0069702A">
            <w:pPr>
              <w:pStyle w:val="TableText"/>
            </w:pPr>
            <w:r>
              <w:t>Azure Migrate</w:t>
            </w:r>
          </w:p>
        </w:tc>
        <w:tc>
          <w:tcPr>
            <w:tcW w:w="3982" w:type="dxa"/>
            <w:shd w:val="clear" w:color="auto" w:fill="auto"/>
          </w:tcPr>
          <w:p w14:paraId="32C8AFF3" w14:textId="0F92DF75" w:rsidR="0069702A" w:rsidRPr="00F91A08" w:rsidRDefault="0069702A" w:rsidP="0069702A">
            <w:pPr>
              <w:pStyle w:val="TableText"/>
            </w:pPr>
            <w:r w:rsidRPr="009A4201">
              <w:t>A Microsoft tool used for assessment and migration</w:t>
            </w:r>
            <w:r w:rsidR="00426391">
              <w:t>.</w:t>
            </w:r>
          </w:p>
        </w:tc>
        <w:tc>
          <w:tcPr>
            <w:tcW w:w="2449" w:type="dxa"/>
            <w:shd w:val="clear" w:color="auto" w:fill="auto"/>
          </w:tcPr>
          <w:p w14:paraId="5812C07D" w14:textId="1623AB2C" w:rsidR="0069702A" w:rsidRPr="00F91A08" w:rsidRDefault="0069702A" w:rsidP="0069702A">
            <w:pPr>
              <w:pStyle w:val="TableText"/>
            </w:pPr>
            <w:r w:rsidRPr="009D1F60">
              <w:t>Start of engagement</w:t>
            </w:r>
          </w:p>
        </w:tc>
      </w:tr>
      <w:tr w:rsidR="0069702A" w:rsidRPr="00F91A08" w14:paraId="28883609" w14:textId="77777777" w:rsidTr="00FD4A06">
        <w:tc>
          <w:tcPr>
            <w:tcW w:w="2920" w:type="dxa"/>
            <w:shd w:val="clear" w:color="auto" w:fill="auto"/>
          </w:tcPr>
          <w:p w14:paraId="63C1AE72" w14:textId="77777777" w:rsidR="0069702A" w:rsidRDefault="0069702A" w:rsidP="0069702A">
            <w:pPr>
              <w:pStyle w:val="TableText"/>
            </w:pPr>
            <w:r>
              <w:t>Service Map</w:t>
            </w:r>
          </w:p>
        </w:tc>
        <w:tc>
          <w:tcPr>
            <w:tcW w:w="3982" w:type="dxa"/>
            <w:shd w:val="clear" w:color="auto" w:fill="auto"/>
          </w:tcPr>
          <w:p w14:paraId="184E41F4" w14:textId="70FB5CB1" w:rsidR="0069702A" w:rsidRPr="00F91A08" w:rsidRDefault="0069702A" w:rsidP="0069702A">
            <w:pPr>
              <w:pStyle w:val="TableText"/>
            </w:pPr>
            <w:r w:rsidRPr="009A4201">
              <w:t>A service in Azure that automatically discovers application</w:t>
            </w:r>
            <w:r w:rsidRPr="009A4201" w:rsidDel="00936604">
              <w:t xml:space="preserve"> </w:t>
            </w:r>
            <w:r w:rsidRPr="009A4201">
              <w:t xml:space="preserve">components on Windows and Linux systems and maps the communication between </w:t>
            </w:r>
            <w:r w:rsidR="00914B21">
              <w:t>s</w:t>
            </w:r>
            <w:r w:rsidRPr="009A4201">
              <w:t>ervices; includes the Operations Management Suite Agent</w:t>
            </w:r>
            <w:r w:rsidR="008C50EB">
              <w:t xml:space="preserve">, </w:t>
            </w:r>
            <w:r w:rsidRPr="009A4201">
              <w:t>and the Microsoft Dependency Agent</w:t>
            </w:r>
            <w:r w:rsidR="00426391">
              <w:t>.</w:t>
            </w:r>
          </w:p>
        </w:tc>
        <w:tc>
          <w:tcPr>
            <w:tcW w:w="2449" w:type="dxa"/>
            <w:shd w:val="clear" w:color="auto" w:fill="auto"/>
          </w:tcPr>
          <w:p w14:paraId="0D44EEC2" w14:textId="1C1E100C" w:rsidR="0069702A" w:rsidRDefault="0069702A" w:rsidP="0069702A">
            <w:pPr>
              <w:pStyle w:val="TableText"/>
            </w:pPr>
            <w:r w:rsidRPr="009D1F60">
              <w:t>Start of engagement</w:t>
            </w:r>
          </w:p>
        </w:tc>
      </w:tr>
      <w:tr w:rsidR="0069702A" w:rsidRPr="00F91A08" w14:paraId="5489F6C0" w14:textId="77777777" w:rsidTr="00FD4A06">
        <w:tc>
          <w:tcPr>
            <w:tcW w:w="2920" w:type="dxa"/>
            <w:shd w:val="clear" w:color="auto" w:fill="auto"/>
          </w:tcPr>
          <w:p w14:paraId="0C8DBB88" w14:textId="77777777" w:rsidR="0069702A" w:rsidRDefault="0069702A" w:rsidP="0069702A">
            <w:pPr>
              <w:pStyle w:val="TableText"/>
            </w:pPr>
            <w:r>
              <w:t>Azure Site Recovery</w:t>
            </w:r>
          </w:p>
        </w:tc>
        <w:tc>
          <w:tcPr>
            <w:tcW w:w="3982" w:type="dxa"/>
            <w:shd w:val="clear" w:color="auto" w:fill="auto"/>
          </w:tcPr>
          <w:p w14:paraId="34601617" w14:textId="4CD70F7D" w:rsidR="0069702A" w:rsidRPr="00F91A08" w:rsidRDefault="00CA436D" w:rsidP="0069702A">
            <w:pPr>
              <w:pStyle w:val="TableText"/>
            </w:pPr>
            <w:r>
              <w:t>A m</w:t>
            </w:r>
            <w:r w:rsidR="0069702A" w:rsidRPr="009A4201">
              <w:t>igration and disaster recovery tool for Azure</w:t>
            </w:r>
            <w:r w:rsidR="008C50EB">
              <w:t xml:space="preserve">. The </w:t>
            </w:r>
            <w:r w:rsidR="0069702A" w:rsidRPr="009A4201">
              <w:t xml:space="preserve">source server operating system version must be supported by Azure Site Recovery as documented at </w:t>
            </w:r>
            <w:hyperlink r:id="rId25" w:anchor="before-you-start-deployment" w:history="1">
              <w:r w:rsidR="0069702A" w:rsidRPr="009A4201">
                <w:rPr>
                  <w:rStyle w:val="Hyperlink"/>
                </w:rPr>
                <w:t>https://azure.microsoft.com/en-us/documentation/articles/site-recovery-vmware-to-azure-classic/#before-you-start-deployment</w:t>
              </w:r>
            </w:hyperlink>
            <w:r w:rsidR="00426391">
              <w:rPr>
                <w:rStyle w:val="Hyperlink"/>
              </w:rPr>
              <w:t>.</w:t>
            </w:r>
          </w:p>
        </w:tc>
        <w:tc>
          <w:tcPr>
            <w:tcW w:w="2449" w:type="dxa"/>
            <w:shd w:val="clear" w:color="auto" w:fill="auto"/>
          </w:tcPr>
          <w:p w14:paraId="653C4758" w14:textId="12EDB5B4" w:rsidR="0069702A" w:rsidRDefault="0069702A" w:rsidP="0069702A">
            <w:pPr>
              <w:pStyle w:val="TableText"/>
            </w:pPr>
            <w:r w:rsidRPr="009D1F60">
              <w:t xml:space="preserve">Start of </w:t>
            </w:r>
            <w:r w:rsidR="00F40074">
              <w:t>P</w:t>
            </w:r>
            <w:r>
              <w:t>ilot phase</w:t>
            </w:r>
          </w:p>
        </w:tc>
      </w:tr>
      <w:tr w:rsidR="0069702A" w:rsidRPr="00F91A08" w14:paraId="1FD5A630" w14:textId="77777777" w:rsidTr="00FD4A06">
        <w:tc>
          <w:tcPr>
            <w:tcW w:w="2920" w:type="dxa"/>
            <w:shd w:val="clear" w:color="auto" w:fill="auto"/>
          </w:tcPr>
          <w:p w14:paraId="668A4D9F" w14:textId="3129D772" w:rsidR="0069702A" w:rsidRDefault="0069702A" w:rsidP="0069702A">
            <w:pPr>
              <w:pStyle w:val="TableText"/>
            </w:pPr>
            <w:r w:rsidRPr="009A4201">
              <w:t xml:space="preserve">Microsoft Assessment and Planning (MAP) Toolkit </w:t>
            </w:r>
          </w:p>
        </w:tc>
        <w:tc>
          <w:tcPr>
            <w:tcW w:w="3982" w:type="dxa"/>
            <w:shd w:val="clear" w:color="auto" w:fill="auto"/>
          </w:tcPr>
          <w:p w14:paraId="62D0B2AA" w14:textId="44606ACB" w:rsidR="0069702A" w:rsidRPr="009A4201" w:rsidRDefault="0069702A" w:rsidP="0069702A">
            <w:pPr>
              <w:pStyle w:val="TableText"/>
            </w:pPr>
            <w:r w:rsidRPr="009A4201">
              <w:t>A no-cost, agentless utility from Microsoft that is used to perform an inventory of Windows Server environments</w:t>
            </w:r>
            <w:r w:rsidR="00426391">
              <w:t>.</w:t>
            </w:r>
          </w:p>
        </w:tc>
        <w:tc>
          <w:tcPr>
            <w:tcW w:w="2449" w:type="dxa"/>
            <w:shd w:val="clear" w:color="auto" w:fill="auto"/>
          </w:tcPr>
          <w:p w14:paraId="7B62FECB" w14:textId="208860D3" w:rsidR="0069702A" w:rsidRPr="009D1F60" w:rsidRDefault="0069702A" w:rsidP="0069702A">
            <w:pPr>
              <w:pStyle w:val="TableText"/>
            </w:pPr>
            <w:r>
              <w:t xml:space="preserve">Microsoft supplied, deployed during the </w:t>
            </w:r>
            <w:r w:rsidR="00F40074">
              <w:t>P</w:t>
            </w:r>
            <w:r>
              <w:t>repare phase</w:t>
            </w:r>
          </w:p>
        </w:tc>
      </w:tr>
      <w:tr w:rsidR="0069702A" w:rsidRPr="00F91A08" w14:paraId="187FEFEE" w14:textId="77777777" w:rsidTr="00FD4A06">
        <w:tc>
          <w:tcPr>
            <w:tcW w:w="2920" w:type="dxa"/>
            <w:shd w:val="clear" w:color="auto" w:fill="auto"/>
          </w:tcPr>
          <w:p w14:paraId="0910B24A" w14:textId="5276D911" w:rsidR="0069702A" w:rsidRDefault="0069702A" w:rsidP="0069702A">
            <w:pPr>
              <w:pStyle w:val="TableText"/>
            </w:pPr>
            <w:r w:rsidRPr="009A4201">
              <w:t>RiverMeadow</w:t>
            </w:r>
          </w:p>
        </w:tc>
        <w:tc>
          <w:tcPr>
            <w:tcW w:w="3982" w:type="dxa"/>
            <w:shd w:val="clear" w:color="auto" w:fill="auto"/>
          </w:tcPr>
          <w:p w14:paraId="60946359" w14:textId="3C63D497" w:rsidR="0069702A" w:rsidRPr="009A4201" w:rsidRDefault="008C50EB" w:rsidP="0069702A">
            <w:pPr>
              <w:pStyle w:val="TableText"/>
            </w:pPr>
            <w:r>
              <w:t>A m</w:t>
            </w:r>
            <w:r w:rsidR="0069702A" w:rsidRPr="009A4201">
              <w:t xml:space="preserve">igration tool for Azure IaaS and </w:t>
            </w:r>
            <w:r w:rsidR="00CC793D">
              <w:t>AVS</w:t>
            </w:r>
            <w:r w:rsidR="0069702A" w:rsidRPr="009A4201">
              <w:t xml:space="preserve">. </w:t>
            </w:r>
            <w:r>
              <w:t>It s</w:t>
            </w:r>
            <w:r w:rsidR="0069702A" w:rsidRPr="009A4201">
              <w:t>upports automated operating system upgrade</w:t>
            </w:r>
            <w:r w:rsidR="00914B21">
              <w:t>s</w:t>
            </w:r>
            <w:r w:rsidR="0069702A" w:rsidRPr="009A4201">
              <w:t xml:space="preserve"> and post</w:t>
            </w:r>
            <w:r w:rsidR="009D4C3F">
              <w:rPr>
                <w:rFonts w:cs="Segoe UI"/>
              </w:rPr>
              <w:t>-</w:t>
            </w:r>
            <w:r w:rsidR="0069702A" w:rsidRPr="009A4201">
              <w:t xml:space="preserve">migration script implementation. </w:t>
            </w:r>
            <w:r w:rsidR="009B0A31">
              <w:t>It is u</w:t>
            </w:r>
            <w:r w:rsidR="0069702A" w:rsidRPr="009A4201">
              <w:t>sed as an alternative to native Microsoft tools</w:t>
            </w:r>
            <w:r w:rsidR="0028742F">
              <w:t>,</w:t>
            </w:r>
            <w:r w:rsidR="0069702A" w:rsidRPr="009A4201">
              <w:t xml:space="preserve"> based upon </w:t>
            </w:r>
            <w:r w:rsidR="00D26B31">
              <w:t>m</w:t>
            </w:r>
            <w:r w:rsidR="0069702A" w:rsidRPr="009A4201">
              <w:t xml:space="preserve">igration </w:t>
            </w:r>
            <w:r w:rsidR="00D26B31">
              <w:t>f</w:t>
            </w:r>
            <w:r w:rsidR="0069702A" w:rsidRPr="009A4201">
              <w:t>actory recommendations.</w:t>
            </w:r>
          </w:p>
        </w:tc>
        <w:tc>
          <w:tcPr>
            <w:tcW w:w="2449" w:type="dxa"/>
            <w:shd w:val="clear" w:color="auto" w:fill="auto"/>
          </w:tcPr>
          <w:p w14:paraId="37B43C74" w14:textId="64C95FEA" w:rsidR="0069702A" w:rsidRPr="009D1F60" w:rsidRDefault="0069702A" w:rsidP="0069702A">
            <w:pPr>
              <w:pStyle w:val="TableText"/>
            </w:pPr>
            <w:r>
              <w:t xml:space="preserve">Microsoft supplied, deployed at the start of the </w:t>
            </w:r>
            <w:r w:rsidR="00F40074">
              <w:t>P</w:t>
            </w:r>
            <w:r>
              <w:t>ilot phase</w:t>
            </w:r>
          </w:p>
        </w:tc>
      </w:tr>
      <w:tr w:rsidR="0069702A" w:rsidRPr="00F91A08" w14:paraId="4B00FB4F" w14:textId="77777777" w:rsidTr="00FD4A06">
        <w:tc>
          <w:tcPr>
            <w:tcW w:w="2920" w:type="dxa"/>
            <w:shd w:val="clear" w:color="auto" w:fill="auto"/>
          </w:tcPr>
          <w:p w14:paraId="0E772531" w14:textId="0BCAD4B4" w:rsidR="0069702A" w:rsidRDefault="0069702A" w:rsidP="0069702A">
            <w:pPr>
              <w:pStyle w:val="TableText"/>
            </w:pPr>
            <w:r w:rsidRPr="009A4201">
              <w:lastRenderedPageBreak/>
              <w:t xml:space="preserve">Web </w:t>
            </w:r>
            <w:r w:rsidR="00914B21">
              <w:t>D</w:t>
            </w:r>
            <w:r w:rsidRPr="009A4201">
              <w:t>eploy</w:t>
            </w:r>
          </w:p>
        </w:tc>
        <w:tc>
          <w:tcPr>
            <w:tcW w:w="3982" w:type="dxa"/>
            <w:shd w:val="clear" w:color="auto" w:fill="auto"/>
          </w:tcPr>
          <w:p w14:paraId="0BDA81F9" w14:textId="5AC20F52" w:rsidR="0069702A" w:rsidRPr="009A4201" w:rsidRDefault="0069702A" w:rsidP="0069702A">
            <w:pPr>
              <w:pStyle w:val="TableText"/>
            </w:pPr>
            <w:r w:rsidRPr="009A4201">
              <w:t>A no-cost tool used for Microsoft Internet Information Services web applications during the Planning and Migration phases</w:t>
            </w:r>
            <w:r w:rsidR="00426391">
              <w:t>.</w:t>
            </w:r>
          </w:p>
        </w:tc>
        <w:tc>
          <w:tcPr>
            <w:tcW w:w="2449" w:type="dxa"/>
            <w:shd w:val="clear" w:color="auto" w:fill="auto"/>
          </w:tcPr>
          <w:p w14:paraId="58B8F7A3" w14:textId="0B176CFA" w:rsidR="0069702A" w:rsidRPr="009D1F60" w:rsidRDefault="0069702A" w:rsidP="0069702A">
            <w:pPr>
              <w:pStyle w:val="TableText"/>
            </w:pPr>
            <w:r>
              <w:t xml:space="preserve">Microsoft supplied, deployed at the start of the </w:t>
            </w:r>
            <w:r w:rsidR="00F40074">
              <w:t>P</w:t>
            </w:r>
            <w:r>
              <w:t>ilot phase</w:t>
            </w:r>
          </w:p>
        </w:tc>
      </w:tr>
      <w:tr w:rsidR="0069702A" w:rsidRPr="00F91A08" w14:paraId="3D776EED" w14:textId="77777777" w:rsidTr="00FD4A06">
        <w:tc>
          <w:tcPr>
            <w:tcW w:w="2920" w:type="dxa"/>
            <w:shd w:val="clear" w:color="auto" w:fill="auto"/>
          </w:tcPr>
          <w:p w14:paraId="4BCC0049" w14:textId="77777777" w:rsidR="0069702A" w:rsidRDefault="0069702A" w:rsidP="0069702A">
            <w:pPr>
              <w:pStyle w:val="TableText"/>
            </w:pPr>
            <w:r>
              <w:t>Windows Server 2012R2 or 2016 Virtual Machine</w:t>
            </w:r>
          </w:p>
        </w:tc>
        <w:tc>
          <w:tcPr>
            <w:tcW w:w="3982" w:type="dxa"/>
            <w:shd w:val="clear" w:color="auto" w:fill="auto"/>
          </w:tcPr>
          <w:p w14:paraId="6C33D6DF" w14:textId="13896AF5" w:rsidR="0069702A" w:rsidRPr="00F91A08" w:rsidRDefault="0069702A" w:rsidP="0069702A">
            <w:pPr>
              <w:pStyle w:val="TableText"/>
            </w:pPr>
            <w:r w:rsidRPr="009A4201">
              <w:t>The operating system required for discovery and assessment tools</w:t>
            </w:r>
            <w:r w:rsidR="00426391">
              <w:t>.</w:t>
            </w:r>
          </w:p>
        </w:tc>
        <w:tc>
          <w:tcPr>
            <w:tcW w:w="2449" w:type="dxa"/>
            <w:shd w:val="clear" w:color="auto" w:fill="auto"/>
          </w:tcPr>
          <w:p w14:paraId="1BC70780" w14:textId="49AEDC12" w:rsidR="0069702A" w:rsidRDefault="0069702A" w:rsidP="0069702A">
            <w:pPr>
              <w:pStyle w:val="TableText"/>
            </w:pPr>
            <w:r w:rsidRPr="009D1F60">
              <w:t>Start of engagement</w:t>
            </w:r>
          </w:p>
        </w:tc>
      </w:tr>
      <w:tr w:rsidR="006F6498" w:rsidRPr="00F91A08" w14:paraId="02177A55" w14:textId="77777777" w:rsidTr="00196500">
        <w:tc>
          <w:tcPr>
            <w:tcW w:w="9351" w:type="dxa"/>
            <w:gridSpan w:val="3"/>
            <w:shd w:val="clear" w:color="auto" w:fill="auto"/>
          </w:tcPr>
          <w:p w14:paraId="5D0ACAEB" w14:textId="6CB5F91A" w:rsidR="006F6498" w:rsidRPr="009D1F60" w:rsidRDefault="006F6498" w:rsidP="00196500">
            <w:pPr>
              <w:pStyle w:val="Instructional"/>
            </w:pPr>
            <w:r>
              <w:t xml:space="preserve">Include the following rows if the </w:t>
            </w:r>
            <w:r w:rsidR="003A1C4F">
              <w:t>AVS Migration using VMware HCX is in scope for AMS</w:t>
            </w:r>
          </w:p>
        </w:tc>
      </w:tr>
      <w:tr w:rsidR="006F6498" w:rsidRPr="00F91A08" w14:paraId="6D5B29CD" w14:textId="77777777" w:rsidTr="00FD4A06">
        <w:tc>
          <w:tcPr>
            <w:tcW w:w="2920" w:type="dxa"/>
            <w:shd w:val="clear" w:color="auto" w:fill="auto"/>
          </w:tcPr>
          <w:p w14:paraId="7F43C4A1" w14:textId="21EA2B79" w:rsidR="006F6498" w:rsidRDefault="007B1030" w:rsidP="0069702A">
            <w:pPr>
              <w:pStyle w:val="TableText"/>
            </w:pPr>
            <w:r>
              <w:t xml:space="preserve">VMware HCX Enterprise </w:t>
            </w:r>
          </w:p>
        </w:tc>
        <w:tc>
          <w:tcPr>
            <w:tcW w:w="3982" w:type="dxa"/>
            <w:shd w:val="clear" w:color="auto" w:fill="auto"/>
          </w:tcPr>
          <w:p w14:paraId="65DB58B3" w14:textId="55D4BA2E" w:rsidR="006F6498" w:rsidRPr="009A4201" w:rsidRDefault="007B3E38" w:rsidP="0069702A">
            <w:pPr>
              <w:pStyle w:val="TableText"/>
            </w:pPr>
            <w:r w:rsidRPr="007B3E38">
              <w:t xml:space="preserve">VMware HCX is an application mobility platform that is designed </w:t>
            </w:r>
            <w:r w:rsidR="00225E5D">
              <w:t xml:space="preserve">to </w:t>
            </w:r>
            <w:r w:rsidRPr="007B3E38">
              <w:t>simplify application migration, workload rebalancing, and business continuity across data centers and clouds.</w:t>
            </w:r>
          </w:p>
        </w:tc>
        <w:tc>
          <w:tcPr>
            <w:tcW w:w="2449" w:type="dxa"/>
            <w:shd w:val="clear" w:color="auto" w:fill="auto"/>
          </w:tcPr>
          <w:p w14:paraId="2AE6A52B" w14:textId="5CF753C5" w:rsidR="006F6498" w:rsidRPr="009D1F60" w:rsidRDefault="007455CC" w:rsidP="0069702A">
            <w:pPr>
              <w:pStyle w:val="TableText"/>
            </w:pPr>
            <w:r>
              <w:t>Deployed during the Prepare phase</w:t>
            </w:r>
          </w:p>
        </w:tc>
      </w:tr>
      <w:tr w:rsidR="0069702A" w:rsidRPr="00F91A08" w14:paraId="7BD9265E" w14:textId="77777777" w:rsidTr="003D30CA">
        <w:tc>
          <w:tcPr>
            <w:tcW w:w="9351" w:type="dxa"/>
            <w:gridSpan w:val="3"/>
            <w:shd w:val="clear" w:color="auto" w:fill="auto"/>
          </w:tcPr>
          <w:p w14:paraId="6727C5B9" w14:textId="165EF5E8" w:rsidR="0069702A" w:rsidRPr="009D1F60" w:rsidRDefault="0069702A" w:rsidP="0069702A">
            <w:pPr>
              <w:pStyle w:val="Instructional"/>
            </w:pPr>
            <w:r>
              <w:t>Include the following rows if the Azure Refactoring Service is in scope (ARS)</w:t>
            </w:r>
            <w:r w:rsidR="0052706C">
              <w:t xml:space="preserve">. There is no funding </w:t>
            </w:r>
            <w:r w:rsidR="00E56BE9">
              <w:t xml:space="preserve">for licenses </w:t>
            </w:r>
            <w:r w:rsidR="00395596">
              <w:t>in FY23</w:t>
            </w:r>
            <w:r w:rsidR="00D15459">
              <w:t xml:space="preserve"> so </w:t>
            </w:r>
            <w:r w:rsidR="006E7340">
              <w:t xml:space="preserve">either the local </w:t>
            </w:r>
            <w:r w:rsidR="00393A37">
              <w:t xml:space="preserve">subsidiary </w:t>
            </w:r>
            <w:r w:rsidR="00CB348F">
              <w:t xml:space="preserve">picks up the licensing costs </w:t>
            </w:r>
            <w:r w:rsidR="009E4844">
              <w:t xml:space="preserve">or the customer will have to. Choose one. </w:t>
            </w:r>
          </w:p>
        </w:tc>
      </w:tr>
      <w:tr w:rsidR="0069702A" w:rsidRPr="00F91A08" w14:paraId="7D5C0ED2" w14:textId="77777777" w:rsidTr="00FD4A06">
        <w:tc>
          <w:tcPr>
            <w:tcW w:w="2920" w:type="dxa"/>
            <w:shd w:val="clear" w:color="auto" w:fill="auto"/>
          </w:tcPr>
          <w:p w14:paraId="54A1CE05" w14:textId="1CBC63E7" w:rsidR="0069702A" w:rsidRDefault="0069702A" w:rsidP="0069702A">
            <w:pPr>
              <w:pStyle w:val="TableText"/>
            </w:pPr>
            <w:r w:rsidRPr="009A4201">
              <w:t xml:space="preserve">CAST </w:t>
            </w:r>
            <w:r w:rsidR="00914B21">
              <w:t>H</w:t>
            </w:r>
            <w:r w:rsidRPr="009A4201">
              <w:t>ighlight</w:t>
            </w:r>
          </w:p>
        </w:tc>
        <w:tc>
          <w:tcPr>
            <w:tcW w:w="3982" w:type="dxa"/>
            <w:shd w:val="clear" w:color="auto" w:fill="auto"/>
          </w:tcPr>
          <w:p w14:paraId="5E6988FB" w14:textId="6C8239CC" w:rsidR="0069702A" w:rsidRPr="009A4201" w:rsidRDefault="0069702A" w:rsidP="0069702A">
            <w:pPr>
              <w:pStyle w:val="TableText"/>
            </w:pPr>
            <w:r w:rsidRPr="009A4201">
              <w:t>A third-party tool that can be used to analyze the application source code and identity components to be refactored</w:t>
            </w:r>
            <w:r w:rsidR="00426391">
              <w:t>.</w:t>
            </w:r>
          </w:p>
        </w:tc>
        <w:tc>
          <w:tcPr>
            <w:tcW w:w="2449" w:type="dxa"/>
            <w:shd w:val="clear" w:color="auto" w:fill="auto"/>
          </w:tcPr>
          <w:p w14:paraId="11B8E5FE" w14:textId="73DEAE85" w:rsidR="0069702A" w:rsidRPr="009D1F60" w:rsidRDefault="0069702A" w:rsidP="0069702A">
            <w:pPr>
              <w:pStyle w:val="TableText"/>
            </w:pPr>
            <w:r w:rsidRPr="00CE0A2C">
              <w:rPr>
                <w:rStyle w:val="OptionalChar"/>
              </w:rPr>
              <w:t xml:space="preserve">Microsoft </w:t>
            </w:r>
            <w:r w:rsidR="009E4844" w:rsidRPr="00CE0A2C">
              <w:rPr>
                <w:rStyle w:val="OptionalChar"/>
              </w:rPr>
              <w:t>| Customer</w:t>
            </w:r>
            <w:r>
              <w:t xml:space="preserve"> supplied, deployed at the start of the </w:t>
            </w:r>
            <w:r w:rsidR="00F40074">
              <w:t>P</w:t>
            </w:r>
            <w:r>
              <w:t>ilot phase</w:t>
            </w:r>
          </w:p>
        </w:tc>
      </w:tr>
      <w:tr w:rsidR="0069702A" w:rsidRPr="00F91A08" w14:paraId="6C7B69D5" w14:textId="77777777" w:rsidTr="00E02E9D">
        <w:tc>
          <w:tcPr>
            <w:tcW w:w="9351" w:type="dxa"/>
            <w:gridSpan w:val="3"/>
            <w:shd w:val="clear" w:color="auto" w:fill="auto"/>
          </w:tcPr>
          <w:p w14:paraId="27010076" w14:textId="1A66DED4" w:rsidR="0069702A" w:rsidRPr="009D1F60" w:rsidRDefault="0069702A" w:rsidP="00A54F5B">
            <w:pPr>
              <w:pStyle w:val="Instructional"/>
            </w:pPr>
            <w:r>
              <w:t xml:space="preserve">Include the following rows if the Azure Monitoring is </w:t>
            </w:r>
            <w:r w:rsidR="008B3BC9">
              <w:t xml:space="preserve">in </w:t>
            </w:r>
            <w:r>
              <w:t>scope (COG)</w:t>
            </w:r>
          </w:p>
        </w:tc>
      </w:tr>
      <w:tr w:rsidR="0069702A" w:rsidRPr="00F91A08" w14:paraId="43C053F6" w14:textId="77777777" w:rsidTr="00FD4A06">
        <w:tc>
          <w:tcPr>
            <w:tcW w:w="2920" w:type="dxa"/>
            <w:shd w:val="clear" w:color="auto" w:fill="auto"/>
          </w:tcPr>
          <w:p w14:paraId="4262AAEC" w14:textId="7F70BB5D" w:rsidR="0069702A" w:rsidRDefault="0069702A" w:rsidP="0069702A">
            <w:pPr>
              <w:pStyle w:val="TableText"/>
            </w:pPr>
            <w:r>
              <w:t>Azure Monitor</w:t>
            </w:r>
          </w:p>
        </w:tc>
        <w:tc>
          <w:tcPr>
            <w:tcW w:w="3982" w:type="dxa"/>
            <w:shd w:val="clear" w:color="auto" w:fill="auto"/>
          </w:tcPr>
          <w:p w14:paraId="5E43F035" w14:textId="6DF41E55" w:rsidR="0069702A" w:rsidRPr="009A4201" w:rsidRDefault="0069702A" w:rsidP="0069702A">
            <w:pPr>
              <w:pStyle w:val="TableText"/>
            </w:pPr>
            <w:r>
              <w:t>Azure native monitoring capability available within the Azure subscriptions</w:t>
            </w:r>
            <w:r w:rsidR="00426391">
              <w:t>.</w:t>
            </w:r>
          </w:p>
        </w:tc>
        <w:tc>
          <w:tcPr>
            <w:tcW w:w="2449" w:type="dxa"/>
            <w:shd w:val="clear" w:color="auto" w:fill="auto"/>
          </w:tcPr>
          <w:p w14:paraId="6F62FE3D" w14:textId="0CE0949A" w:rsidR="0069702A" w:rsidRPr="009D1F60" w:rsidRDefault="0069702A" w:rsidP="0069702A">
            <w:pPr>
              <w:pStyle w:val="TableText"/>
            </w:pPr>
            <w:r>
              <w:t xml:space="preserve">Start of </w:t>
            </w:r>
            <w:r w:rsidR="00F40074">
              <w:t>P</w:t>
            </w:r>
            <w:r>
              <w:t>ilot phase</w:t>
            </w:r>
          </w:p>
        </w:tc>
      </w:tr>
      <w:tr w:rsidR="00FD4A06" w:rsidRPr="00F91A08" w14:paraId="2F31D61B" w14:textId="77777777" w:rsidTr="0094462C">
        <w:tc>
          <w:tcPr>
            <w:tcW w:w="9351" w:type="dxa"/>
            <w:gridSpan w:val="3"/>
            <w:shd w:val="clear" w:color="auto" w:fill="auto"/>
          </w:tcPr>
          <w:p w14:paraId="1D5DB693" w14:textId="411F9BF1" w:rsidR="00FD4A06" w:rsidRDefault="00FD4A06" w:rsidP="00A54F5B">
            <w:pPr>
              <w:pStyle w:val="Instructional"/>
            </w:pPr>
            <w:r>
              <w:t xml:space="preserve">Include the following rows if the </w:t>
            </w:r>
            <w:r w:rsidR="00721747">
              <w:t>D</w:t>
            </w:r>
            <w:r w:rsidR="00133EBD">
              <w:t xml:space="preserve">ata Migration </w:t>
            </w:r>
            <w:r w:rsidR="006C4977">
              <w:t xml:space="preserve">service </w:t>
            </w:r>
            <w:r w:rsidR="00133EBD">
              <w:t xml:space="preserve">is </w:t>
            </w:r>
            <w:r w:rsidR="008B3BC9">
              <w:t xml:space="preserve">in scope </w:t>
            </w:r>
            <w:r>
              <w:t>(</w:t>
            </w:r>
            <w:r w:rsidR="008B3BC9">
              <w:t>DMS</w:t>
            </w:r>
            <w:r>
              <w:t>)</w:t>
            </w:r>
            <w:r w:rsidR="009E4844">
              <w:t>. There is no funding for licenses in FY23 so either the local subsidiary picks up the licensing costs or the customer will have to. Choose one.</w:t>
            </w:r>
          </w:p>
        </w:tc>
      </w:tr>
      <w:tr w:rsidR="00FD4A06" w:rsidRPr="00F91A08" w14:paraId="5EF40D92" w14:textId="77777777" w:rsidTr="00FD4A06">
        <w:tc>
          <w:tcPr>
            <w:tcW w:w="2920" w:type="dxa"/>
            <w:shd w:val="clear" w:color="auto" w:fill="auto"/>
          </w:tcPr>
          <w:p w14:paraId="3B24C1B7" w14:textId="76684B13" w:rsidR="00FD4A06" w:rsidRDefault="009E4844" w:rsidP="00FD4A06">
            <w:pPr>
              <w:pStyle w:val="TableText"/>
            </w:pPr>
            <w:r>
              <w:t xml:space="preserve">Newt Global </w:t>
            </w:r>
            <w:r w:rsidR="00643D93">
              <w:t>DMAP</w:t>
            </w:r>
          </w:p>
        </w:tc>
        <w:tc>
          <w:tcPr>
            <w:tcW w:w="3982" w:type="dxa"/>
            <w:shd w:val="clear" w:color="auto" w:fill="auto"/>
          </w:tcPr>
          <w:p w14:paraId="36DEBC66" w14:textId="77777777" w:rsidR="00FD4A06" w:rsidRDefault="007475DA" w:rsidP="00FD4A06">
            <w:pPr>
              <w:pStyle w:val="TableText"/>
            </w:pPr>
            <w:r>
              <w:t>DMAP</w:t>
            </w:r>
            <w:r w:rsidR="003558FB">
              <w:t xml:space="preserve"> is a </w:t>
            </w:r>
            <w:r w:rsidR="00AA1D56">
              <w:t>no</w:t>
            </w:r>
            <w:r w:rsidR="00326C95">
              <w:t>-cost</w:t>
            </w:r>
            <w:r w:rsidR="00AA1D56">
              <w:t xml:space="preserve"> </w:t>
            </w:r>
            <w:r w:rsidR="003558FB">
              <w:t xml:space="preserve">tool </w:t>
            </w:r>
            <w:r w:rsidR="00331BC1">
              <w:t>used to asses</w:t>
            </w:r>
            <w:r w:rsidR="00121A6A">
              <w:t>s</w:t>
            </w:r>
            <w:r w:rsidR="00331BC1">
              <w:t xml:space="preserve"> and </w:t>
            </w:r>
            <w:r w:rsidR="0094432B">
              <w:t xml:space="preserve">migrate </w:t>
            </w:r>
            <w:r w:rsidR="00014809">
              <w:t xml:space="preserve">Oracle </w:t>
            </w:r>
            <w:r w:rsidR="0094432B">
              <w:t xml:space="preserve">to </w:t>
            </w:r>
            <w:r w:rsidR="00014809">
              <w:t>PostgreSQL.</w:t>
            </w:r>
          </w:p>
          <w:p w14:paraId="0C286C04" w14:textId="17559D56" w:rsidR="00250709" w:rsidRDefault="00250709" w:rsidP="00FD4A06">
            <w:pPr>
              <w:pStyle w:val="TableText"/>
            </w:pPr>
            <w:r>
              <w:t xml:space="preserve">Due to the nature of the licensing agreement for use of the DMAP </w:t>
            </w:r>
            <w:r w:rsidR="00B572CC">
              <w:t>t</w:t>
            </w:r>
            <w:r>
              <w:t xml:space="preserve">ool during Oracle migrations, </w:t>
            </w:r>
            <w:r w:rsidR="00307CD3">
              <w:t xml:space="preserve">only </w:t>
            </w:r>
            <w:r>
              <w:t xml:space="preserve">Microsoft resources </w:t>
            </w:r>
            <w:r w:rsidR="00307CD3">
              <w:t>can use the tool to do</w:t>
            </w:r>
            <w:r>
              <w:t xml:space="preserve"> the </w:t>
            </w:r>
            <w:r w:rsidR="00A80CA0">
              <w:t>a</w:t>
            </w:r>
            <w:r>
              <w:t xml:space="preserve">ssessments and </w:t>
            </w:r>
            <w:r w:rsidR="00A80CA0">
              <w:t>m</w:t>
            </w:r>
            <w:r>
              <w:t>igrations.</w:t>
            </w:r>
          </w:p>
        </w:tc>
        <w:tc>
          <w:tcPr>
            <w:tcW w:w="2449" w:type="dxa"/>
            <w:shd w:val="clear" w:color="auto" w:fill="auto"/>
          </w:tcPr>
          <w:p w14:paraId="05C48377" w14:textId="0E1D2766" w:rsidR="00FD4A06" w:rsidRDefault="000B661E" w:rsidP="00FD4A06">
            <w:pPr>
              <w:pStyle w:val="TableText"/>
            </w:pPr>
            <w:r w:rsidRPr="00CE0A2C">
              <w:rPr>
                <w:rStyle w:val="OptionalChar"/>
              </w:rPr>
              <w:t xml:space="preserve">Microsoft </w:t>
            </w:r>
            <w:r w:rsidR="009E4844" w:rsidRPr="00CE0A2C">
              <w:rPr>
                <w:rStyle w:val="OptionalChar"/>
              </w:rPr>
              <w:t>| Customer</w:t>
            </w:r>
            <w:r>
              <w:t xml:space="preserve"> supplied, </w:t>
            </w:r>
            <w:r w:rsidR="002422DB">
              <w:t xml:space="preserve">deployed at the start of the </w:t>
            </w:r>
            <w:r w:rsidR="00F40074">
              <w:t>P</w:t>
            </w:r>
            <w:r w:rsidR="002422DB">
              <w:t>ilot phase</w:t>
            </w:r>
            <w:r w:rsidR="005A01D8">
              <w:t xml:space="preserve"> and used by Microsoft resources</w:t>
            </w:r>
            <w:r w:rsidR="00807FA0">
              <w:t xml:space="preserve"> only</w:t>
            </w:r>
            <w:r w:rsidR="005A01D8">
              <w:t xml:space="preserve"> </w:t>
            </w:r>
          </w:p>
        </w:tc>
      </w:tr>
    </w:tbl>
    <w:p w14:paraId="250A03F2" w14:textId="4A81ADE1" w:rsidR="00E84F7A" w:rsidRPr="00206B5D" w:rsidRDefault="004B65B6" w:rsidP="00E84F7A">
      <w:pPr>
        <w:keepNext/>
        <w:keepLines/>
        <w:outlineLvl w:val="3"/>
        <w:rPr>
          <w:rFonts w:eastAsia="DengXian Light" w:cs="Times New Roman"/>
          <w:b/>
          <w:iCs/>
          <w:sz w:val="24"/>
        </w:rPr>
      </w:pPr>
      <w:r>
        <w:rPr>
          <w:rFonts w:eastAsia="DengXian Light" w:cs="Times New Roman"/>
          <w:b/>
          <w:iCs/>
          <w:sz w:val="24"/>
        </w:rPr>
        <w:t>Environment</w:t>
      </w:r>
      <w:r w:rsidR="00E84F7A">
        <w:rPr>
          <w:rFonts w:eastAsia="DengXian Light" w:cs="Times New Roman"/>
          <w:b/>
          <w:iCs/>
          <w:sz w:val="24"/>
        </w:rPr>
        <w:t xml:space="preserve"> </w:t>
      </w:r>
      <w:r w:rsidR="009E134A">
        <w:rPr>
          <w:rFonts w:eastAsia="DengXian Light" w:cs="Times New Roman"/>
          <w:b/>
          <w:iCs/>
          <w:sz w:val="24"/>
        </w:rPr>
        <w:t>r</w:t>
      </w:r>
      <w:r w:rsidR="00E84F7A">
        <w:rPr>
          <w:rFonts w:eastAsia="DengXian Light" w:cs="Times New Roman"/>
          <w:b/>
          <w:iCs/>
          <w:sz w:val="24"/>
        </w:rPr>
        <w:t>equirements</w:t>
      </w:r>
    </w:p>
    <w:p w14:paraId="468BA2F5" w14:textId="77777777" w:rsidR="008556A7" w:rsidRDefault="008556A7" w:rsidP="008556A7">
      <w:pPr>
        <w:pStyle w:val="Instructional"/>
      </w:pPr>
      <w:r>
        <w:t xml:space="preserve">Add or remove the items from the table as needed for your engagement. The list of environments may differ by legal requirements and geography. If an environment is not required and is a customer’s responsibility, remove it from this table. Refer to the </w:t>
      </w:r>
      <w:hyperlink r:id="rId26" w:anchor="/?name=SOW+Writing+Guide&amp;area=&amp;country=&amp;language=&amp;category=&amp;type=&amp;page=1&amp;count=50" w:history="1">
        <w:r>
          <w:rPr>
            <w:rStyle w:val="Hyperlink"/>
          </w:rPr>
          <w:t>SOW writing guide</w:t>
        </w:r>
      </w:hyperlink>
      <w:r>
        <w:t xml:space="preserve"> for additional examples.</w:t>
      </w:r>
    </w:p>
    <w:p w14:paraId="75F77A20" w14:textId="77777777" w:rsidR="008556A7" w:rsidRDefault="008556A7" w:rsidP="008556A7">
      <w:r>
        <w:lastRenderedPageBreak/>
        <w:t>All environments used for the development and delivery lifecycle will be supplied and maintained by the Customer. The Customer will provide the required Azure subscriptions and provide Microsoft with administrative control to build the development and test environments.</w:t>
      </w:r>
    </w:p>
    <w:p w14:paraId="321517C2" w14:textId="77777777" w:rsidR="008556A7" w:rsidRDefault="008556A7" w:rsidP="008556A7">
      <w:pPr>
        <w:pStyle w:val="Instructional"/>
      </w:pPr>
      <w:r>
        <w:t xml:space="preserve">Make sure you pick </w:t>
      </w:r>
      <w:r>
        <w:rPr>
          <w:u w:val="single"/>
        </w:rPr>
        <w:t>one</w:t>
      </w:r>
      <w:r>
        <w:t xml:space="preserve"> responsible party for configuration and maintenance and </w:t>
      </w:r>
      <w:r>
        <w:rPr>
          <w:u w:val="single"/>
        </w:rPr>
        <w:t>one</w:t>
      </w:r>
      <w:r>
        <w:t xml:space="preserve"> party has subscription ownership.</w:t>
      </w:r>
    </w:p>
    <w:tbl>
      <w:tblPr>
        <w:tblStyle w:val="TableGrid"/>
        <w:tblW w:w="936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20" w:firstRow="1" w:lastRow="0" w:firstColumn="0" w:lastColumn="0" w:noHBand="0" w:noVBand="1"/>
      </w:tblPr>
      <w:tblGrid>
        <w:gridCol w:w="1701"/>
        <w:gridCol w:w="1702"/>
        <w:gridCol w:w="2123"/>
        <w:gridCol w:w="1702"/>
        <w:gridCol w:w="2132"/>
      </w:tblGrid>
      <w:tr w:rsidR="008556A7" w14:paraId="4D178BBB" w14:textId="77777777" w:rsidTr="00980E8B">
        <w:trPr>
          <w:tblHeader/>
        </w:trPr>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8272"/>
            <w:hideMark/>
          </w:tcPr>
          <w:p w14:paraId="6E3D4A4F" w14:textId="77777777" w:rsidR="008556A7" w:rsidRDefault="008556A7">
            <w:pPr>
              <w:pStyle w:val="Table-Header"/>
            </w:pPr>
            <w:r>
              <w:t>Environment</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8272"/>
            <w:hideMark/>
          </w:tcPr>
          <w:p w14:paraId="4058BAED" w14:textId="77777777" w:rsidR="008556A7" w:rsidRDefault="008556A7">
            <w:pPr>
              <w:pStyle w:val="Table-Header"/>
            </w:pPr>
            <w:r>
              <w:t>Location</w:t>
            </w:r>
          </w:p>
        </w:tc>
        <w:tc>
          <w:tcPr>
            <w:tcW w:w="21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8272"/>
            <w:hideMark/>
          </w:tcPr>
          <w:p w14:paraId="2707E440" w14:textId="77777777" w:rsidR="008556A7" w:rsidRDefault="008556A7">
            <w:pPr>
              <w:pStyle w:val="Table-Header"/>
            </w:pPr>
            <w:r>
              <w:t>Responsible for configuration and maintenance</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8272"/>
            <w:hideMark/>
          </w:tcPr>
          <w:p w14:paraId="74CC3008" w14:textId="6BF86F12" w:rsidR="008556A7" w:rsidRDefault="008556A7">
            <w:pPr>
              <w:pStyle w:val="Table-Header"/>
            </w:pPr>
            <w:r>
              <w:t xml:space="preserve">Subscription </w:t>
            </w:r>
            <w:r w:rsidR="00414EBE">
              <w:t>o</w:t>
            </w:r>
            <w:r>
              <w:t>wnership</w:t>
            </w:r>
          </w:p>
        </w:tc>
        <w:tc>
          <w:tcPr>
            <w:tcW w:w="21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008272"/>
            <w:hideMark/>
          </w:tcPr>
          <w:p w14:paraId="585B995E" w14:textId="77777777" w:rsidR="008556A7" w:rsidRDefault="008556A7">
            <w:pPr>
              <w:pStyle w:val="Table-Header"/>
            </w:pPr>
            <w:r>
              <w:t>Ready by</w:t>
            </w:r>
          </w:p>
        </w:tc>
      </w:tr>
      <w:tr w:rsidR="0045221E" w14:paraId="47E922DB" w14:textId="77777777" w:rsidTr="00980E8B">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5863F2" w14:textId="34C9F9AE" w:rsidR="0045221E" w:rsidRDefault="0045221E" w:rsidP="0045221E">
            <w:r>
              <w:t xml:space="preserve">Automation </w:t>
            </w:r>
            <w:r w:rsidR="00B42A76">
              <w:t>e</w:t>
            </w:r>
            <w:r>
              <w:t>nvironment</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FEFAAE" w14:textId="1AEE233E" w:rsidR="0045221E" w:rsidRDefault="0045221E" w:rsidP="0045221E">
            <w:pPr>
              <w:pStyle w:val="Optional"/>
              <w:rPr>
                <w:lang w:val="es-ES"/>
              </w:rPr>
            </w:pPr>
            <w:r>
              <w:rPr>
                <w:lang w:val="es-ES"/>
              </w:rPr>
              <w:t>Azure DevOps, GitHub</w:t>
            </w:r>
          </w:p>
        </w:tc>
        <w:tc>
          <w:tcPr>
            <w:tcW w:w="21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E3AECA" w14:textId="77777777" w:rsidR="0045221E" w:rsidRDefault="0045221E" w:rsidP="00A464FB">
            <w:pPr>
              <w:pStyle w:val="Optional"/>
            </w:pPr>
            <w:r>
              <w:t>Microsoft or Customer</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B56376" w14:textId="4AEC4A01" w:rsidR="0045221E" w:rsidRDefault="0045221E" w:rsidP="0045221E">
            <w:pPr>
              <w:pStyle w:val="Optional"/>
              <w:rPr>
                <w:lang w:val="es-ES"/>
              </w:rPr>
            </w:pPr>
            <w:r>
              <w:t>Customer</w:t>
            </w:r>
          </w:p>
        </w:tc>
        <w:tc>
          <w:tcPr>
            <w:tcW w:w="21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B564CF" w14:textId="4B0C2F09" w:rsidR="0045221E" w:rsidRDefault="0045221E" w:rsidP="0045221E">
            <w:pPr>
              <w:rPr>
                <w:lang w:val="es-ES"/>
              </w:rPr>
            </w:pPr>
            <w:r w:rsidRPr="00F14C23">
              <w:t>Start of engagement</w:t>
            </w:r>
          </w:p>
        </w:tc>
      </w:tr>
      <w:tr w:rsidR="00927A02" w14:paraId="4DC102DC" w14:textId="77777777" w:rsidTr="00980E8B">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EAF43D" w14:textId="77777777" w:rsidR="00927A02" w:rsidRDefault="00927A02" w:rsidP="00927A02">
            <w:r>
              <w:t>Development</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A8A958" w14:textId="7947A55B" w:rsidR="00927A02" w:rsidRDefault="00927A02" w:rsidP="00927A02">
            <w:pPr>
              <w:pStyle w:val="Optional"/>
            </w:pPr>
            <w:r>
              <w:t>Specify Azure regions</w:t>
            </w:r>
          </w:p>
        </w:tc>
        <w:tc>
          <w:tcPr>
            <w:tcW w:w="21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755F00" w14:textId="59C2BB1C" w:rsidR="00927A02" w:rsidRDefault="00927A02" w:rsidP="00927A02">
            <w:r>
              <w:t>Customer</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CA4828" w14:textId="3D8CB626" w:rsidR="00927A02" w:rsidRDefault="00927A02" w:rsidP="00927A02">
            <w:r>
              <w:t>Customer</w:t>
            </w:r>
          </w:p>
        </w:tc>
        <w:tc>
          <w:tcPr>
            <w:tcW w:w="21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3F1978" w14:textId="08A1DFBE" w:rsidR="00927A02" w:rsidRDefault="00927A02" w:rsidP="00927A02">
            <w:r w:rsidRPr="00F14C23">
              <w:t>Start of engagement</w:t>
            </w:r>
          </w:p>
        </w:tc>
      </w:tr>
      <w:tr w:rsidR="00927A02" w14:paraId="665118B5" w14:textId="77777777" w:rsidTr="00980E8B">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A5841E" w14:textId="77777777" w:rsidR="00927A02" w:rsidRDefault="00927A02" w:rsidP="005568C7">
            <w:pPr>
              <w:pStyle w:val="Optional"/>
            </w:pPr>
            <w:r>
              <w:t>Test</w:t>
            </w:r>
          </w:p>
          <w:p w14:paraId="00978BD7" w14:textId="704DE22D" w:rsidR="00903344" w:rsidRPr="00903344" w:rsidRDefault="00903344" w:rsidP="00903344">
            <w:pPr>
              <w:pStyle w:val="Instructional"/>
            </w:pPr>
            <w:r>
              <w:t>For ARS, ATS</w:t>
            </w:r>
            <w:r w:rsidR="00272F84">
              <w:t>, DMS</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DC6962" w14:textId="04EF9CED" w:rsidR="00927A02" w:rsidRDefault="00927A02" w:rsidP="005568C7">
            <w:pPr>
              <w:pStyle w:val="Optional"/>
            </w:pPr>
            <w:r>
              <w:t>Specify Azure regions</w:t>
            </w:r>
          </w:p>
        </w:tc>
        <w:tc>
          <w:tcPr>
            <w:tcW w:w="21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C3A9DF" w14:textId="62C243B3" w:rsidR="00927A02" w:rsidRDefault="00927A02" w:rsidP="005568C7">
            <w:pPr>
              <w:pStyle w:val="Optional"/>
            </w:pPr>
            <w:r>
              <w:t>Customer</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58AA14" w14:textId="5170498D" w:rsidR="00927A02" w:rsidRDefault="00927A02" w:rsidP="005568C7">
            <w:pPr>
              <w:pStyle w:val="Optional"/>
            </w:pPr>
            <w:r>
              <w:t>Customer</w:t>
            </w:r>
          </w:p>
        </w:tc>
        <w:tc>
          <w:tcPr>
            <w:tcW w:w="21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81817B" w14:textId="3F0D5689" w:rsidR="00927A02" w:rsidRDefault="00927A02" w:rsidP="005568C7">
            <w:pPr>
              <w:pStyle w:val="Optional"/>
            </w:pPr>
            <w:r w:rsidRPr="00F14C23">
              <w:t>Start of engagement</w:t>
            </w:r>
          </w:p>
        </w:tc>
      </w:tr>
      <w:tr w:rsidR="00B55C5C" w14:paraId="2FA3FCAC" w14:textId="77777777" w:rsidTr="00980E8B">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EB545D" w14:textId="06DDEF64" w:rsidR="00B55C5C" w:rsidRDefault="00B55C5C" w:rsidP="00B55C5C">
            <w:r>
              <w:t>MAT</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102B9C" w14:textId="2F04453A" w:rsidR="00B55C5C" w:rsidRDefault="00B55C5C" w:rsidP="00B55C5C">
            <w:pPr>
              <w:pStyle w:val="Optional"/>
            </w:pPr>
            <w:r>
              <w:t>Specify Azure regions</w:t>
            </w:r>
          </w:p>
        </w:tc>
        <w:tc>
          <w:tcPr>
            <w:tcW w:w="21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765BF82" w14:textId="51E0917E" w:rsidR="00B55C5C" w:rsidRDefault="00B55C5C" w:rsidP="00B55C5C">
            <w:r>
              <w:t>Customer</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70D524" w14:textId="2F3A7D4B" w:rsidR="00B55C5C" w:rsidRDefault="00B55C5C" w:rsidP="00B55C5C">
            <w:r>
              <w:t>Customer</w:t>
            </w:r>
          </w:p>
        </w:tc>
        <w:tc>
          <w:tcPr>
            <w:tcW w:w="21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AD83BF" w14:textId="71E57D03" w:rsidR="00B55C5C" w:rsidRPr="00F14C23" w:rsidRDefault="00B55C5C" w:rsidP="00B55C5C">
            <w:r w:rsidRPr="00F14C23">
              <w:t>Start of engagement</w:t>
            </w:r>
          </w:p>
        </w:tc>
      </w:tr>
      <w:tr w:rsidR="00B463FD" w14:paraId="18D14BD8" w14:textId="77777777" w:rsidTr="00980E8B">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C8EFBA" w14:textId="77777777" w:rsidR="00B463FD" w:rsidRDefault="00B463FD" w:rsidP="00903344">
            <w:pPr>
              <w:pStyle w:val="Optional"/>
            </w:pPr>
            <w:r>
              <w:t>Preproduction</w:t>
            </w:r>
          </w:p>
          <w:p w14:paraId="3DC899A4" w14:textId="3D13AC15" w:rsidR="00903344" w:rsidRPr="00903344" w:rsidRDefault="00903344" w:rsidP="00903344">
            <w:pPr>
              <w:pStyle w:val="Instructional"/>
            </w:pPr>
            <w:r>
              <w:t>For ARS, ATS</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BAEDA9" w14:textId="4698D50D" w:rsidR="00B463FD" w:rsidRDefault="00B463FD" w:rsidP="00903344">
            <w:pPr>
              <w:pStyle w:val="Optional"/>
            </w:pPr>
            <w:r>
              <w:t>Specify Azure regions</w:t>
            </w:r>
          </w:p>
        </w:tc>
        <w:tc>
          <w:tcPr>
            <w:tcW w:w="21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3C585E" w14:textId="70324011" w:rsidR="00B463FD" w:rsidRDefault="00B463FD" w:rsidP="00903344">
            <w:pPr>
              <w:pStyle w:val="Optional"/>
            </w:pPr>
            <w:r>
              <w:t>Customer</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16DE2C" w14:textId="52D0BF0A" w:rsidR="00B463FD" w:rsidRDefault="00B463FD" w:rsidP="00903344">
            <w:pPr>
              <w:pStyle w:val="Optional"/>
            </w:pPr>
            <w:r>
              <w:t>Customer</w:t>
            </w:r>
          </w:p>
        </w:tc>
        <w:tc>
          <w:tcPr>
            <w:tcW w:w="21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561787" w14:textId="2D3DCE02" w:rsidR="00B463FD" w:rsidRPr="00F14C23" w:rsidRDefault="00B463FD" w:rsidP="00903344">
            <w:pPr>
              <w:pStyle w:val="Optional"/>
            </w:pPr>
            <w:r w:rsidRPr="00F14C23">
              <w:t>Start of engagement</w:t>
            </w:r>
          </w:p>
        </w:tc>
      </w:tr>
      <w:tr w:rsidR="00B463FD" w14:paraId="27FE37EC" w14:textId="77777777" w:rsidTr="00980E8B">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2DCD77" w14:textId="77777777" w:rsidR="00B463FD" w:rsidRDefault="00B463FD" w:rsidP="00B463FD">
            <w:r>
              <w:t>Production</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3035C9" w14:textId="06BC3605" w:rsidR="00B463FD" w:rsidRDefault="00B463FD" w:rsidP="00B463FD">
            <w:pPr>
              <w:pStyle w:val="Optional"/>
            </w:pPr>
            <w:r>
              <w:t>Specify Azure regions</w:t>
            </w:r>
          </w:p>
        </w:tc>
        <w:tc>
          <w:tcPr>
            <w:tcW w:w="21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8C148B" w14:textId="546E4D67" w:rsidR="00B463FD" w:rsidRDefault="00B463FD" w:rsidP="00B463FD">
            <w:r>
              <w:t>Customer</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CFEFF" w14:textId="1FB90487" w:rsidR="00B463FD" w:rsidRDefault="00B463FD" w:rsidP="00B463FD">
            <w:r>
              <w:t>Customer</w:t>
            </w:r>
          </w:p>
        </w:tc>
        <w:tc>
          <w:tcPr>
            <w:tcW w:w="21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CF690F" w14:textId="6D5F03D3" w:rsidR="00B463FD" w:rsidRDefault="00B463FD" w:rsidP="00B463FD">
            <w:r w:rsidRPr="00F14C23">
              <w:t>Start of engagement</w:t>
            </w:r>
          </w:p>
        </w:tc>
      </w:tr>
      <w:tr w:rsidR="00E55804" w14:paraId="21DE1FFF" w14:textId="77777777" w:rsidTr="00A95C21">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B4825F" w14:textId="132F7C67" w:rsidR="00E55804" w:rsidRDefault="00E55804" w:rsidP="00A95C21">
            <w:pPr>
              <w:pStyle w:val="Optional"/>
            </w:pPr>
            <w:r>
              <w:t xml:space="preserve">Clean </w:t>
            </w:r>
            <w:r w:rsidR="00A20994">
              <w:t>d</w:t>
            </w:r>
            <w:r>
              <w:t xml:space="preserve">eployment </w:t>
            </w:r>
            <w:r w:rsidR="00A20994">
              <w:t>l</w:t>
            </w:r>
            <w:r>
              <w:t>ab</w:t>
            </w:r>
          </w:p>
          <w:p w14:paraId="7A686BDB" w14:textId="1F5823A7" w:rsidR="00E55804" w:rsidRPr="00E55804" w:rsidRDefault="00E55804" w:rsidP="00E55804">
            <w:pPr>
              <w:pStyle w:val="Instructional"/>
            </w:pPr>
            <w:r>
              <w:t>For AMS Clean Deployment</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FE9D35" w14:textId="77777777" w:rsidR="00E55804" w:rsidRDefault="00E55804" w:rsidP="00A95C21">
            <w:pPr>
              <w:pStyle w:val="Optional"/>
            </w:pPr>
            <w:r>
              <w:t>Specify Azure region</w:t>
            </w:r>
          </w:p>
        </w:tc>
        <w:tc>
          <w:tcPr>
            <w:tcW w:w="21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E1BC6A" w14:textId="77777777" w:rsidR="00E55804" w:rsidRDefault="00E55804" w:rsidP="00A95C21">
            <w:pPr>
              <w:pStyle w:val="Optional"/>
            </w:pPr>
            <w:r>
              <w:t>Microsoft or Customer</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061743" w14:textId="77777777" w:rsidR="00E55804" w:rsidRDefault="00E55804" w:rsidP="00A95C21">
            <w:pPr>
              <w:pStyle w:val="Optional"/>
            </w:pPr>
            <w:r w:rsidRPr="00CB13AC">
              <w:t>Microsoft or Customer</w:t>
            </w:r>
          </w:p>
        </w:tc>
        <w:tc>
          <w:tcPr>
            <w:tcW w:w="21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B71646" w14:textId="77777777" w:rsidR="00E55804" w:rsidRDefault="00E55804" w:rsidP="00E55804">
            <w:pPr>
              <w:pStyle w:val="Optional"/>
            </w:pPr>
            <w:r>
              <w:t>Start of engagement</w:t>
            </w:r>
          </w:p>
        </w:tc>
      </w:tr>
      <w:tr w:rsidR="00B463FD" w14:paraId="1CD73016" w14:textId="77777777" w:rsidTr="00980E8B">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B4198C" w14:textId="43C39ED0" w:rsidR="00B463FD" w:rsidRDefault="00B463FD" w:rsidP="00B463FD">
            <w:pPr>
              <w:pStyle w:val="Optional"/>
            </w:pPr>
            <w:r>
              <w:t xml:space="preserve">Backup, </w:t>
            </w:r>
            <w:r w:rsidR="00A20994">
              <w:t>d</w:t>
            </w:r>
            <w:r>
              <w:t xml:space="preserve">isaster </w:t>
            </w:r>
            <w:r w:rsidR="00A20994">
              <w:t>r</w:t>
            </w:r>
            <w:r>
              <w:t>ecovery</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44EE45" w14:textId="5C613A16" w:rsidR="00B463FD" w:rsidRDefault="00B463FD" w:rsidP="00B463FD">
            <w:pPr>
              <w:pStyle w:val="Optional"/>
            </w:pPr>
            <w:r>
              <w:t>Specify Azure regions</w:t>
            </w:r>
          </w:p>
        </w:tc>
        <w:tc>
          <w:tcPr>
            <w:tcW w:w="21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75A1CF" w14:textId="0FAD1CF9" w:rsidR="00B463FD" w:rsidRDefault="00B463FD" w:rsidP="00B463FD">
            <w:pPr>
              <w:pStyle w:val="Optional"/>
            </w:pPr>
            <w:r>
              <w:t>Customer</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CD6CBF" w14:textId="6E2E72BC" w:rsidR="00B463FD" w:rsidRDefault="00B463FD" w:rsidP="00B463FD">
            <w:pPr>
              <w:pStyle w:val="Optional"/>
            </w:pPr>
            <w:r>
              <w:t>Customer</w:t>
            </w:r>
          </w:p>
        </w:tc>
        <w:tc>
          <w:tcPr>
            <w:tcW w:w="21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D1C09E" w14:textId="5BC9E2C1" w:rsidR="00B463FD" w:rsidRDefault="00B463FD" w:rsidP="004138C1">
            <w:pPr>
              <w:pStyle w:val="Optional"/>
            </w:pPr>
            <w:r w:rsidRPr="00F14C23">
              <w:t>Start of engagement</w:t>
            </w:r>
          </w:p>
        </w:tc>
      </w:tr>
      <w:tr w:rsidR="00B463FD" w14:paraId="26F8B48E" w14:textId="77777777" w:rsidTr="00980E8B">
        <w:tc>
          <w:tcPr>
            <w:tcW w:w="936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5C88CC" w14:textId="42B068B4" w:rsidR="00B463FD" w:rsidRDefault="00B463FD" w:rsidP="00B463FD">
            <w:pPr>
              <w:pStyle w:val="Instructional"/>
            </w:pPr>
            <w:r>
              <w:t>Include the following rows if Clean Source Deployment is in scope as part of PAW-CSM. Also include the customer responsibility sections related to Secure Room in the Customer Responsibilities section below.</w:t>
            </w:r>
          </w:p>
        </w:tc>
      </w:tr>
      <w:tr w:rsidR="00B463FD" w14:paraId="749DAA55" w14:textId="77777777" w:rsidTr="00980E8B">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337923" w14:textId="04ADA4C0" w:rsidR="00B463FD" w:rsidRDefault="00B463FD" w:rsidP="00B463FD">
            <w:pPr>
              <w:pStyle w:val="Optional"/>
            </w:pPr>
            <w:r>
              <w:t xml:space="preserve">Secure </w:t>
            </w:r>
            <w:r w:rsidR="00A20994">
              <w:t>r</w:t>
            </w:r>
            <w:r>
              <w:t>oom</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BB0D7C" w14:textId="77777777" w:rsidR="00B463FD" w:rsidRDefault="00B463FD" w:rsidP="004138C1">
            <w:pPr>
              <w:pStyle w:val="Optional"/>
            </w:pPr>
            <w:r>
              <w:t>Customer facility</w:t>
            </w:r>
          </w:p>
        </w:tc>
        <w:tc>
          <w:tcPr>
            <w:tcW w:w="21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00F263" w14:textId="77777777" w:rsidR="00B463FD" w:rsidRDefault="00B463FD" w:rsidP="004138C1">
            <w:pPr>
              <w:pStyle w:val="Optional"/>
            </w:pPr>
            <w:r>
              <w:t>Customer</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5F9D79" w14:textId="77777777" w:rsidR="00B463FD" w:rsidRDefault="00B463FD" w:rsidP="004138C1">
            <w:pPr>
              <w:pStyle w:val="Optional"/>
            </w:pPr>
            <w:r>
              <w:t>Customer</w:t>
            </w:r>
          </w:p>
        </w:tc>
        <w:tc>
          <w:tcPr>
            <w:tcW w:w="21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291F2B" w14:textId="77777777" w:rsidR="00B463FD" w:rsidRDefault="00B463FD" w:rsidP="004138C1">
            <w:pPr>
              <w:pStyle w:val="Optional"/>
            </w:pPr>
            <w:r>
              <w:t>Start of engagement</w:t>
            </w:r>
          </w:p>
        </w:tc>
      </w:tr>
      <w:tr w:rsidR="00B463FD" w14:paraId="47722581" w14:textId="77777777" w:rsidTr="00980E8B">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9C6681" w14:textId="77777777" w:rsidR="00B463FD" w:rsidRDefault="00B463FD" w:rsidP="00B463FD">
            <w:pPr>
              <w:pStyle w:val="Instructional"/>
            </w:pPr>
            <w:r>
              <w:lastRenderedPageBreak/>
              <w:t>[Add additional required environment]</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544CC" w14:textId="77777777" w:rsidR="00B463FD" w:rsidRDefault="00B463FD" w:rsidP="00B463FD"/>
        </w:tc>
        <w:tc>
          <w:tcPr>
            <w:tcW w:w="21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FD0918" w14:textId="77777777" w:rsidR="00B463FD" w:rsidRDefault="00B463FD" w:rsidP="00B463FD">
            <w:pPr>
              <w:pStyle w:val="Optional"/>
            </w:pP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52C664" w14:textId="77777777" w:rsidR="00B463FD" w:rsidRDefault="00B463FD" w:rsidP="00B463FD">
            <w:pPr>
              <w:pStyle w:val="Optional"/>
            </w:pPr>
          </w:p>
        </w:tc>
        <w:tc>
          <w:tcPr>
            <w:tcW w:w="21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91E105" w14:textId="77777777" w:rsidR="00B463FD" w:rsidRDefault="00B463FD" w:rsidP="00B463FD">
            <w:pPr>
              <w:pStyle w:val="TableText"/>
            </w:pPr>
          </w:p>
        </w:tc>
      </w:tr>
    </w:tbl>
    <w:p w14:paraId="2AE7B243" w14:textId="77777777" w:rsidR="00E84F7A" w:rsidRDefault="00E84F7A" w:rsidP="004B65B6"/>
    <w:p w14:paraId="594099E5" w14:textId="10ABD3C4" w:rsidR="00ED6957" w:rsidRDefault="00DF77B1" w:rsidP="000D26FB">
      <w:pPr>
        <w:pStyle w:val="Heading3"/>
      </w:pPr>
      <w:r>
        <w:t>Customer dependencies</w:t>
      </w:r>
    </w:p>
    <w:p w14:paraId="5BAD90D4" w14:textId="1C8685ED" w:rsidR="00DF77B1" w:rsidRDefault="008C2037">
      <w:r>
        <w:t xml:space="preserve">In addition to </w:t>
      </w:r>
      <w:r w:rsidR="00215618">
        <w:t>C</w:t>
      </w:r>
      <w:r>
        <w:t xml:space="preserve">ustomer responsibilities outlined in the </w:t>
      </w:r>
      <w:r w:rsidR="00D76EA1">
        <w:t>EDA</w:t>
      </w:r>
      <w:r>
        <w:t xml:space="preserve">, </w:t>
      </w:r>
      <w:r w:rsidR="00426391">
        <w:t xml:space="preserve">the </w:t>
      </w:r>
      <w:r w:rsidR="00EC241C">
        <w:t>C</w:t>
      </w:r>
      <w:r w:rsidR="00DF77B1">
        <w:t xml:space="preserve">ustomer is responsible for </w:t>
      </w:r>
      <w:r w:rsidR="001B14C5">
        <w:t xml:space="preserve">the items noted </w:t>
      </w:r>
      <w:r w:rsidR="000D0CAD">
        <w:t>in the following table.</w:t>
      </w:r>
      <w:r w:rsidR="001B14C5">
        <w:t>.</w:t>
      </w:r>
    </w:p>
    <w:tbl>
      <w:tblPr>
        <w:tblStyle w:val="TableGrid"/>
        <w:tblW w:w="9357" w:type="dxa"/>
        <w:tblInd w:w="-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20" w:firstRow="1" w:lastRow="0" w:firstColumn="0" w:lastColumn="0" w:noHBand="0" w:noVBand="1"/>
      </w:tblPr>
      <w:tblGrid>
        <w:gridCol w:w="7737"/>
        <w:gridCol w:w="1620"/>
      </w:tblGrid>
      <w:tr w:rsidR="002404BC" w:rsidRPr="00F91A08" w14:paraId="52B41078" w14:textId="77777777" w:rsidTr="0054059D">
        <w:trPr>
          <w:tblHeader/>
        </w:trPr>
        <w:tc>
          <w:tcPr>
            <w:tcW w:w="7737" w:type="dxa"/>
            <w:shd w:val="clear" w:color="auto" w:fill="008272"/>
          </w:tcPr>
          <w:p w14:paraId="06F13EC8" w14:textId="20C624BB" w:rsidR="002404BC" w:rsidRPr="00F91A08" w:rsidRDefault="002404BC" w:rsidP="00ED6957">
            <w:pPr>
              <w:pStyle w:val="Table-Header"/>
            </w:pPr>
            <w:r>
              <w:t>Responsibility or dependency</w:t>
            </w:r>
          </w:p>
        </w:tc>
        <w:tc>
          <w:tcPr>
            <w:tcW w:w="1620" w:type="dxa"/>
            <w:shd w:val="clear" w:color="auto" w:fill="008272"/>
          </w:tcPr>
          <w:p w14:paraId="1E2D80D4" w14:textId="2F56AA14" w:rsidR="002404BC" w:rsidRPr="00F91A08" w:rsidRDefault="002404BC" w:rsidP="00ED6957">
            <w:pPr>
              <w:pStyle w:val="Table-Header"/>
            </w:pPr>
            <w:r>
              <w:t xml:space="preserve">Ready </w:t>
            </w:r>
            <w:r w:rsidR="00426391">
              <w:t>b</w:t>
            </w:r>
            <w:r>
              <w:t>y</w:t>
            </w:r>
          </w:p>
        </w:tc>
      </w:tr>
      <w:tr w:rsidR="000E7922" w:rsidRPr="00F91A08" w14:paraId="48E9CE62" w14:textId="77777777" w:rsidTr="0054059D">
        <w:tc>
          <w:tcPr>
            <w:tcW w:w="7737" w:type="dxa"/>
            <w:shd w:val="clear" w:color="auto" w:fill="auto"/>
          </w:tcPr>
          <w:p w14:paraId="338DE24E" w14:textId="6FCCA5CB" w:rsidR="000E7922" w:rsidRPr="00EC4819" w:rsidRDefault="000E7922" w:rsidP="00EC4819">
            <w:pPr>
              <w:pStyle w:val="TableText"/>
              <w:rPr>
                <w:b/>
                <w:bCs/>
              </w:rPr>
            </w:pPr>
            <w:r w:rsidRPr="00EC4819">
              <w:rPr>
                <w:b/>
                <w:bCs/>
              </w:rPr>
              <w:t xml:space="preserve">Application </w:t>
            </w:r>
            <w:r w:rsidR="00C60F35">
              <w:rPr>
                <w:b/>
                <w:bCs/>
              </w:rPr>
              <w:t>i</w:t>
            </w:r>
            <w:r w:rsidRPr="00EC4819">
              <w:rPr>
                <w:b/>
                <w:bCs/>
              </w:rPr>
              <w:t>ntake</w:t>
            </w:r>
          </w:p>
          <w:p w14:paraId="745C2956" w14:textId="652F8ED2" w:rsidR="000E7922" w:rsidRPr="008018EF" w:rsidRDefault="000E7922" w:rsidP="008018EF">
            <w:pPr>
              <w:pStyle w:val="TableText"/>
            </w:pPr>
            <w:r w:rsidRPr="008018EF">
              <w:rPr>
                <w:rStyle w:val="cf01"/>
                <w:rFonts w:cstheme="minorBidi"/>
                <w:sz w:val="20"/>
                <w:szCs w:val="22"/>
              </w:rPr>
              <w:t>On an ongoing basis, the Customer will include sufficient applications in the pipeline, such that the number of applications planned to be included in each migration wave can be achieved. Applications shall be included in the pipeline at least 60 days prior to the applicable migration wave month and shall include a buffer so that applications eliminated in the migration process do not cause Microsoft to have an insufficient application count to meet its monthly migration target.</w:t>
            </w:r>
          </w:p>
        </w:tc>
        <w:tc>
          <w:tcPr>
            <w:tcW w:w="1620" w:type="dxa"/>
            <w:shd w:val="clear" w:color="auto" w:fill="auto"/>
          </w:tcPr>
          <w:p w14:paraId="0EAAC8E6" w14:textId="0EA0CA5F" w:rsidR="000E7922" w:rsidRDefault="000E7922" w:rsidP="00EC4819">
            <w:pPr>
              <w:pStyle w:val="TableText"/>
            </w:pPr>
            <w:r w:rsidRPr="000851E1">
              <w:t xml:space="preserve">Ongoing </w:t>
            </w:r>
            <w:r w:rsidRPr="008D018F">
              <w:t>during the Pilot and Migrate phases</w:t>
            </w:r>
          </w:p>
        </w:tc>
      </w:tr>
      <w:tr w:rsidR="000E7922" w:rsidRPr="00F91A08" w14:paraId="4A629B30" w14:textId="77777777" w:rsidTr="0054059D">
        <w:tc>
          <w:tcPr>
            <w:tcW w:w="7737" w:type="dxa"/>
            <w:shd w:val="clear" w:color="auto" w:fill="auto"/>
          </w:tcPr>
          <w:p w14:paraId="5A57AE45" w14:textId="6232A0A6" w:rsidR="000E7922" w:rsidRPr="00EC4819" w:rsidRDefault="000E7922" w:rsidP="00EC4819">
            <w:pPr>
              <w:pStyle w:val="TableText"/>
              <w:rPr>
                <w:b/>
                <w:bCs/>
              </w:rPr>
            </w:pPr>
            <w:r w:rsidRPr="00EC4819">
              <w:rPr>
                <w:b/>
                <w:bCs/>
              </w:rPr>
              <w:t xml:space="preserve">Migration </w:t>
            </w:r>
            <w:r w:rsidR="00C60F35">
              <w:rPr>
                <w:b/>
                <w:bCs/>
              </w:rPr>
              <w:t>w</w:t>
            </w:r>
            <w:r w:rsidRPr="00EC4819">
              <w:rPr>
                <w:b/>
                <w:bCs/>
              </w:rPr>
              <w:t xml:space="preserve">ave </w:t>
            </w:r>
            <w:r w:rsidR="00C60F35">
              <w:rPr>
                <w:b/>
                <w:bCs/>
              </w:rPr>
              <w:t>p</w:t>
            </w:r>
            <w:r w:rsidRPr="00EC4819">
              <w:rPr>
                <w:b/>
                <w:bCs/>
              </w:rPr>
              <w:t>lanning</w:t>
            </w:r>
          </w:p>
          <w:p w14:paraId="76BDAB1A" w14:textId="7A999D93" w:rsidR="000E7922" w:rsidRPr="00CA361F" w:rsidRDefault="000E7922" w:rsidP="00EC4819">
            <w:pPr>
              <w:pStyle w:val="TableText"/>
            </w:pPr>
            <w:r>
              <w:t xml:space="preserve">On an ongoing basis, the Customer </w:t>
            </w:r>
            <w:r w:rsidRPr="00006741">
              <w:t>will collaborate with Microsoft on the migration wave planning and scheduling</w:t>
            </w:r>
            <w:r w:rsidR="00920F76">
              <w:t>,</w:t>
            </w:r>
            <w:r w:rsidRPr="00006741">
              <w:t xml:space="preserve"> taking into account holidays, vacations</w:t>
            </w:r>
            <w:r w:rsidR="00C60F35">
              <w:t>,</w:t>
            </w:r>
            <w:r w:rsidRPr="00006741">
              <w:t xml:space="preserve"> and other potential velocity obstacles.</w:t>
            </w:r>
            <w:r>
              <w:t xml:space="preserve"> </w:t>
            </w:r>
          </w:p>
        </w:tc>
        <w:tc>
          <w:tcPr>
            <w:tcW w:w="1620" w:type="dxa"/>
            <w:shd w:val="clear" w:color="auto" w:fill="auto"/>
          </w:tcPr>
          <w:p w14:paraId="655A0AF1" w14:textId="158F0504" w:rsidR="000E7922" w:rsidRDefault="000E7922" w:rsidP="00EC4819">
            <w:pPr>
              <w:pStyle w:val="TableText"/>
            </w:pPr>
            <w:r w:rsidRPr="000851E1">
              <w:t>Ongoing during all phases</w:t>
            </w:r>
          </w:p>
        </w:tc>
      </w:tr>
      <w:tr w:rsidR="00A741CC" w:rsidRPr="00F91A08" w14:paraId="10405EFC" w14:textId="77777777" w:rsidTr="0054059D">
        <w:tc>
          <w:tcPr>
            <w:tcW w:w="7737" w:type="dxa"/>
            <w:shd w:val="clear" w:color="auto" w:fill="auto"/>
          </w:tcPr>
          <w:p w14:paraId="2CDD2002" w14:textId="2F40F6D8" w:rsidR="00A741CC" w:rsidRDefault="00A741CC" w:rsidP="00A741CC">
            <w:pPr>
              <w:pStyle w:val="Instructional"/>
            </w:pPr>
            <w:r>
              <w:t>Include only if Intake &amp; Assessment scale teams configured to be supplied by the customer in OSE.</w:t>
            </w:r>
          </w:p>
          <w:p w14:paraId="3A21AA2B" w14:textId="6E2B0D9E" w:rsidR="00A741CC" w:rsidRDefault="00640AD8" w:rsidP="00A741CC">
            <w:pPr>
              <w:pStyle w:val="Optional"/>
            </w:pPr>
            <w:r>
              <w:t xml:space="preserve">Intake </w:t>
            </w:r>
            <w:r w:rsidR="00C60F35">
              <w:t>and</w:t>
            </w:r>
            <w:r>
              <w:t xml:space="preserve"> </w:t>
            </w:r>
            <w:r w:rsidR="00C60F35">
              <w:t>a</w:t>
            </w:r>
            <w:r>
              <w:t>ssessment</w:t>
            </w:r>
          </w:p>
          <w:p w14:paraId="410085E2" w14:textId="3689C607" w:rsidR="00A741CC" w:rsidRPr="00EC4819" w:rsidRDefault="00A741CC" w:rsidP="00A741CC">
            <w:pPr>
              <w:pStyle w:val="TableText"/>
              <w:rPr>
                <w:b/>
                <w:bCs/>
              </w:rPr>
            </w:pPr>
            <w:r w:rsidRPr="00640AD8">
              <w:rPr>
                <w:rStyle w:val="OptionalChar"/>
              </w:rPr>
              <w:t>The Customer will staff</w:t>
            </w:r>
            <w:r>
              <w:t xml:space="preserve"> </w:t>
            </w:r>
            <w:r w:rsidRPr="006940CA">
              <w:rPr>
                <w:rStyle w:val="InstructionalChar"/>
              </w:rPr>
              <w:t>&lt;number of Scale teams from OSE&gt;</w:t>
            </w:r>
            <w:r w:rsidRPr="00640AD8">
              <w:rPr>
                <w:rStyle w:val="OptionalChar"/>
              </w:rPr>
              <w:t xml:space="preserve"> migration velocity scale teams in support of migration. Each team will consist of a migration coordinator and two migration </w:t>
            </w:r>
            <w:r w:rsidR="00C90300">
              <w:rPr>
                <w:rStyle w:val="OptionalChar"/>
              </w:rPr>
              <w:t>subject matter experts (</w:t>
            </w:r>
            <w:r w:rsidRPr="00640AD8">
              <w:rPr>
                <w:rStyle w:val="OptionalChar"/>
              </w:rPr>
              <w:t>SMEs</w:t>
            </w:r>
            <w:r w:rsidR="00C90300">
              <w:rPr>
                <w:rStyle w:val="OptionalChar"/>
              </w:rPr>
              <w:t>)</w:t>
            </w:r>
            <w:r w:rsidRPr="00640AD8">
              <w:rPr>
                <w:rStyle w:val="OptionalChar"/>
              </w:rPr>
              <w:t xml:space="preserve"> to perform intake/application disposition</w:t>
            </w:r>
            <w:r w:rsidR="00985642" w:rsidRPr="00640AD8">
              <w:rPr>
                <w:rStyle w:val="OptionalChar"/>
              </w:rPr>
              <w:t xml:space="preserve"> and </w:t>
            </w:r>
            <w:r w:rsidRPr="00640AD8">
              <w:rPr>
                <w:rStyle w:val="OptionalChar"/>
              </w:rPr>
              <w:t xml:space="preserve">assessment under the governance of the Microsoft team. See Section </w:t>
            </w:r>
            <w:r w:rsidRPr="00640AD8">
              <w:rPr>
                <w:rStyle w:val="OptionalChar"/>
              </w:rPr>
              <w:fldChar w:fldCharType="begin"/>
            </w:r>
            <w:r w:rsidRPr="00640AD8">
              <w:rPr>
                <w:rStyle w:val="OptionalChar"/>
              </w:rPr>
              <w:instrText xml:space="preserve"> REF _Ref92709467 \r \h </w:instrText>
            </w:r>
            <w:r w:rsidR="00640AD8">
              <w:rPr>
                <w:rStyle w:val="OptionalChar"/>
              </w:rPr>
              <w:instrText xml:space="preserve"> \* MERGEFORMAT </w:instrText>
            </w:r>
            <w:r w:rsidRPr="00640AD8">
              <w:rPr>
                <w:rStyle w:val="OptionalChar"/>
              </w:rPr>
            </w:r>
            <w:r w:rsidRPr="00640AD8">
              <w:rPr>
                <w:rStyle w:val="OptionalChar"/>
              </w:rPr>
              <w:fldChar w:fldCharType="separate"/>
            </w:r>
            <w:r w:rsidR="00C73496" w:rsidRPr="00640AD8">
              <w:rPr>
                <w:rStyle w:val="OptionalChar"/>
              </w:rPr>
              <w:t>1.2.8</w:t>
            </w:r>
            <w:r w:rsidRPr="00640AD8">
              <w:rPr>
                <w:rStyle w:val="OptionalChar"/>
              </w:rPr>
              <w:fldChar w:fldCharType="end"/>
            </w:r>
            <w:r w:rsidRPr="00640AD8">
              <w:rPr>
                <w:rStyle w:val="OptionalChar"/>
              </w:rPr>
              <w:t xml:space="preserve">, </w:t>
            </w:r>
            <w:r w:rsidR="00C60F35" w:rsidRPr="002A5B4D">
              <w:rPr>
                <w:rStyle w:val="OptionalChar"/>
                <w:i/>
                <w:iCs/>
              </w:rPr>
              <w:t>Program organization addendum</w:t>
            </w:r>
            <w:r w:rsidR="00C60F35">
              <w:rPr>
                <w:rStyle w:val="OptionalChar"/>
              </w:rPr>
              <w:t xml:space="preserve">, </w:t>
            </w:r>
            <w:r w:rsidRPr="00640AD8">
              <w:rPr>
                <w:rStyle w:val="OptionalChar"/>
              </w:rPr>
              <w:t>for more details.</w:t>
            </w:r>
          </w:p>
        </w:tc>
        <w:tc>
          <w:tcPr>
            <w:tcW w:w="1620" w:type="dxa"/>
            <w:shd w:val="clear" w:color="auto" w:fill="auto"/>
          </w:tcPr>
          <w:p w14:paraId="4C1D0472" w14:textId="0F4CE93B" w:rsidR="00A741CC" w:rsidRPr="000851E1" w:rsidRDefault="00A741CC" w:rsidP="00640AD8">
            <w:pPr>
              <w:pStyle w:val="Optional"/>
            </w:pPr>
            <w:r>
              <w:t>Migrate phase start</w:t>
            </w:r>
          </w:p>
        </w:tc>
      </w:tr>
      <w:tr w:rsidR="00640AD8" w:rsidRPr="00F91A08" w14:paraId="1D96DAB0" w14:textId="77777777" w:rsidTr="0054059D">
        <w:tc>
          <w:tcPr>
            <w:tcW w:w="7737" w:type="dxa"/>
            <w:shd w:val="clear" w:color="auto" w:fill="auto"/>
          </w:tcPr>
          <w:p w14:paraId="0B9032A9" w14:textId="77777777" w:rsidR="00640AD8" w:rsidRDefault="00640AD8" w:rsidP="00640AD8">
            <w:pPr>
              <w:rPr>
                <w:rFonts w:ascii="Calibri" w:hAnsi="Calibri"/>
                <w:b/>
                <w:bCs/>
              </w:rPr>
            </w:pPr>
            <w:r>
              <w:rPr>
                <w:i/>
                <w:iCs/>
                <w:color w:val="FF00FF"/>
              </w:rPr>
              <w:t>Include section below if LOW effort for Cloud Operations and Governance was identified in OSE. Choose the language that addresses the need of customer commitment.</w:t>
            </w:r>
          </w:p>
          <w:p w14:paraId="35F43837" w14:textId="77777777" w:rsidR="00640AD8" w:rsidRDefault="00640AD8" w:rsidP="00640AD8">
            <w:pPr>
              <w:pStyle w:val="Optional"/>
            </w:pPr>
            <w:r>
              <w:t>COG</w:t>
            </w:r>
          </w:p>
          <w:p w14:paraId="3DE7361F" w14:textId="5E9F04DD" w:rsidR="00640AD8" w:rsidRPr="00EC4819" w:rsidRDefault="00A7047B" w:rsidP="00640AD8">
            <w:pPr>
              <w:pStyle w:val="Optional"/>
              <w:rPr>
                <w:bCs/>
              </w:rPr>
            </w:pPr>
            <w:r>
              <w:lastRenderedPageBreak/>
              <w:t xml:space="preserve">The </w:t>
            </w:r>
            <w:r w:rsidR="00640AD8" w:rsidRPr="00D549C6">
              <w:t xml:space="preserve">Customer needs only limited effort to achieve full operational readiness because either (a) </w:t>
            </w:r>
            <w:r>
              <w:t xml:space="preserve">the </w:t>
            </w:r>
            <w:r w:rsidR="00640AD8" w:rsidRPr="00D549C6">
              <w:t xml:space="preserve">Customer is already managing Azure workloads without issue, </w:t>
            </w:r>
            <w:r>
              <w:t>and o</w:t>
            </w:r>
            <w:r w:rsidR="00640AD8" w:rsidRPr="00D549C6">
              <w:t xml:space="preserve">perations and </w:t>
            </w:r>
            <w:r>
              <w:t>g</w:t>
            </w:r>
            <w:r w:rsidR="00640AD8" w:rsidRPr="00D549C6">
              <w:t xml:space="preserve">overnance are generally </w:t>
            </w:r>
            <w:r w:rsidR="00A41DC3">
              <w:t xml:space="preserve">aligned to the Microsoft Cloud Adoption Framework </w:t>
            </w:r>
            <w:r w:rsidR="00640AD8" w:rsidRPr="00D549C6">
              <w:t>and using at least some Azure native (or other cloud native) operational tooling effectively</w:t>
            </w:r>
            <w:r>
              <w:t>;</w:t>
            </w:r>
            <w:r w:rsidR="00640AD8" w:rsidRPr="00D549C6">
              <w:t xml:space="preserve"> (b) </w:t>
            </w:r>
            <w:r>
              <w:t xml:space="preserve">the </w:t>
            </w:r>
            <w:r w:rsidR="00640AD8" w:rsidRPr="00D549C6">
              <w:t>Customer has outsourced these functions and needs only awareness and guidance so they can hold their supporting vendors accountable for using recommended practices; or (c) the migration is Azure VM</w:t>
            </w:r>
            <w:r w:rsidR="00444EBB">
              <w:t>w</w:t>
            </w:r>
            <w:r w:rsidR="00640AD8" w:rsidRPr="00D549C6">
              <w:t xml:space="preserve">are </w:t>
            </w:r>
            <w:r>
              <w:t>s</w:t>
            </w:r>
            <w:r w:rsidR="00640AD8" w:rsidRPr="00D549C6">
              <w:t>ervices</w:t>
            </w:r>
            <w:r>
              <w:t>-</w:t>
            </w:r>
            <w:r w:rsidR="00640AD8" w:rsidRPr="00D549C6">
              <w:t>based</w:t>
            </w:r>
            <w:r>
              <w:t>,</w:t>
            </w:r>
            <w:r w:rsidR="00640AD8" w:rsidRPr="00D549C6">
              <w:t xml:space="preserve"> which limits the breadth of changes needed to be operationally ready. Microsoft will identify areas of risk and </w:t>
            </w:r>
            <w:r>
              <w:t xml:space="preserve">the </w:t>
            </w:r>
            <w:r w:rsidR="00640AD8" w:rsidRPr="00D549C6">
              <w:t xml:space="preserve">Customer assumes the responsibility </w:t>
            </w:r>
            <w:r>
              <w:t xml:space="preserve">for </w:t>
            </w:r>
            <w:r w:rsidR="00640AD8" w:rsidRPr="00D549C6">
              <w:t xml:space="preserve">remediating </w:t>
            </w:r>
            <w:r>
              <w:t xml:space="preserve">the </w:t>
            </w:r>
            <w:r w:rsidR="00640AD8" w:rsidRPr="00D549C6">
              <w:t xml:space="preserve">risks during </w:t>
            </w:r>
            <w:r>
              <w:t>the P</w:t>
            </w:r>
            <w:r w:rsidR="00640AD8" w:rsidRPr="00D549C6">
              <w:t xml:space="preserve">ilot and </w:t>
            </w:r>
            <w:r>
              <w:t>M</w:t>
            </w:r>
            <w:r w:rsidR="00640AD8" w:rsidRPr="00D549C6">
              <w:t>igration phases</w:t>
            </w:r>
            <w:r w:rsidR="00094290">
              <w:t>.</w:t>
            </w:r>
          </w:p>
        </w:tc>
        <w:tc>
          <w:tcPr>
            <w:tcW w:w="1620" w:type="dxa"/>
            <w:shd w:val="clear" w:color="auto" w:fill="auto"/>
          </w:tcPr>
          <w:p w14:paraId="6A14087F" w14:textId="02F91841" w:rsidR="00640AD8" w:rsidRPr="000851E1" w:rsidRDefault="00640AD8" w:rsidP="00640AD8">
            <w:pPr>
              <w:pStyle w:val="Optional"/>
            </w:pPr>
            <w:r>
              <w:lastRenderedPageBreak/>
              <w:t>Ongoing during the Pilot and Migrate phases</w:t>
            </w:r>
          </w:p>
        </w:tc>
      </w:tr>
      <w:tr w:rsidR="00640AD8" w:rsidRPr="00F91A08" w14:paraId="36D05023" w14:textId="77777777" w:rsidTr="0054059D">
        <w:tc>
          <w:tcPr>
            <w:tcW w:w="7737" w:type="dxa"/>
            <w:shd w:val="clear" w:color="auto" w:fill="auto"/>
          </w:tcPr>
          <w:p w14:paraId="54EC1034" w14:textId="07588170" w:rsidR="00640AD8" w:rsidRDefault="00640AD8" w:rsidP="00640AD8">
            <w:r>
              <w:rPr>
                <w:i/>
                <w:iCs/>
                <w:color w:val="FF00FF"/>
              </w:rPr>
              <w:t>Include section below if customer complexity is simple in OSE and People Mobilization for Velocity Services (PMVS).</w:t>
            </w:r>
          </w:p>
          <w:p w14:paraId="4E873AFA" w14:textId="739009BF" w:rsidR="00640AD8" w:rsidRPr="00EF49FC" w:rsidRDefault="00640AD8" w:rsidP="00640AD8">
            <w:pPr>
              <w:pStyle w:val="Optional"/>
            </w:pPr>
            <w:r w:rsidRPr="00202DE3">
              <w:t xml:space="preserve">The Customer has identified a team who will manage all organizational change management needs for the migration of applications to Azure. This identified Customer team will perform the duties to mobilize key stakeholders and will report to the Microsoft </w:t>
            </w:r>
            <w:r>
              <w:t>p</w:t>
            </w:r>
            <w:r w:rsidRPr="00202DE3">
              <w:t xml:space="preserve">rogram </w:t>
            </w:r>
            <w:r>
              <w:t>t</w:t>
            </w:r>
            <w:r w:rsidRPr="00202DE3">
              <w:t xml:space="preserve">eam to engage with the relevant </w:t>
            </w:r>
            <w:r>
              <w:t>b</w:t>
            </w:r>
            <w:r w:rsidRPr="00202DE3">
              <w:t xml:space="preserve">usiness and IT stakeholders to </w:t>
            </w:r>
            <w:r>
              <w:t xml:space="preserve">help make sure </w:t>
            </w:r>
            <w:r w:rsidRPr="00202DE3">
              <w:t xml:space="preserve">that the pipeline is prepared with applications ready to migrate to Azure. Microsoft will identify areas of risk and </w:t>
            </w:r>
            <w:r w:rsidR="00562F37">
              <w:t xml:space="preserve">the </w:t>
            </w:r>
            <w:r w:rsidRPr="00202DE3">
              <w:t xml:space="preserve">Customer assumes the responsibility </w:t>
            </w:r>
            <w:r w:rsidR="00562F37">
              <w:t>for</w:t>
            </w:r>
            <w:r w:rsidRPr="00202DE3">
              <w:t xml:space="preserve"> remediating risks during </w:t>
            </w:r>
            <w:r>
              <w:t>the</w:t>
            </w:r>
            <w:r w:rsidRPr="00202DE3">
              <w:t xml:space="preserve"> migration phase.</w:t>
            </w:r>
          </w:p>
        </w:tc>
        <w:tc>
          <w:tcPr>
            <w:tcW w:w="1620" w:type="dxa"/>
            <w:shd w:val="clear" w:color="auto" w:fill="auto"/>
          </w:tcPr>
          <w:p w14:paraId="34EE58C5" w14:textId="2422F829" w:rsidR="00640AD8" w:rsidRDefault="00640AD8" w:rsidP="00640AD8">
            <w:pPr>
              <w:pStyle w:val="Optional"/>
            </w:pPr>
            <w:r>
              <w:t>Prepare, Pilot, Migrate Phase</w:t>
            </w:r>
          </w:p>
        </w:tc>
      </w:tr>
      <w:tr w:rsidR="00640AD8" w:rsidRPr="00F91A08" w14:paraId="760A15A4" w14:textId="77777777" w:rsidTr="0054059D">
        <w:tc>
          <w:tcPr>
            <w:tcW w:w="7737" w:type="dxa"/>
            <w:shd w:val="clear" w:color="auto" w:fill="auto"/>
          </w:tcPr>
          <w:p w14:paraId="2541B11A" w14:textId="1FD50B68" w:rsidR="00640AD8" w:rsidRPr="00F707A2" w:rsidRDefault="00640AD8" w:rsidP="00640AD8">
            <w:pPr>
              <w:pStyle w:val="TableText"/>
              <w:rPr>
                <w:b/>
                <w:bCs/>
              </w:rPr>
            </w:pPr>
            <w:r w:rsidRPr="00F707A2">
              <w:rPr>
                <w:b/>
                <w:bCs/>
              </w:rPr>
              <w:t>MAT</w:t>
            </w:r>
          </w:p>
          <w:p w14:paraId="77CDD52F" w14:textId="29DAA82A" w:rsidR="00640AD8" w:rsidRPr="009A4201" w:rsidRDefault="00640AD8" w:rsidP="00640AD8">
            <w:pPr>
              <w:pStyle w:val="TableBullet1"/>
            </w:pPr>
            <w:r w:rsidRPr="009A4201">
              <w:t xml:space="preserve">The Customer will perform functional, security, and performance testing based on the migration </w:t>
            </w:r>
            <w:r>
              <w:t xml:space="preserve">or modernization </w:t>
            </w:r>
            <w:r w:rsidRPr="009A4201">
              <w:t>strategy and requirements defined in the Customer-provided test specification.</w:t>
            </w:r>
          </w:p>
          <w:p w14:paraId="2E787738" w14:textId="6FAC3006" w:rsidR="00640AD8" w:rsidRPr="00F707A2" w:rsidRDefault="00640AD8" w:rsidP="00640AD8">
            <w:pPr>
              <w:pStyle w:val="TableText"/>
              <w:rPr>
                <w:b/>
                <w:bCs/>
              </w:rPr>
            </w:pPr>
            <w:r w:rsidRPr="00F707A2">
              <w:rPr>
                <w:b/>
                <w:bCs/>
              </w:rPr>
              <w:t xml:space="preserve">AMS </w:t>
            </w:r>
            <w:r>
              <w:rPr>
                <w:b/>
                <w:bCs/>
              </w:rPr>
              <w:t>r</w:t>
            </w:r>
            <w:r w:rsidRPr="00F707A2">
              <w:rPr>
                <w:b/>
                <w:bCs/>
              </w:rPr>
              <w:t xml:space="preserve">apid </w:t>
            </w:r>
            <w:r w:rsidR="003D1A71">
              <w:rPr>
                <w:b/>
                <w:bCs/>
              </w:rPr>
              <w:t>application</w:t>
            </w:r>
            <w:r w:rsidRPr="00F707A2">
              <w:rPr>
                <w:b/>
                <w:bCs/>
              </w:rPr>
              <w:t xml:space="preserve"> </w:t>
            </w:r>
            <w:r>
              <w:rPr>
                <w:b/>
                <w:bCs/>
              </w:rPr>
              <w:t>m</w:t>
            </w:r>
            <w:r w:rsidRPr="00F707A2">
              <w:rPr>
                <w:b/>
                <w:bCs/>
              </w:rPr>
              <w:t>igration</w:t>
            </w:r>
          </w:p>
          <w:p w14:paraId="5E825EA8" w14:textId="0A733585" w:rsidR="00640AD8" w:rsidRPr="00215618" w:rsidRDefault="00640AD8" w:rsidP="00640AD8">
            <w:pPr>
              <w:pStyle w:val="TableBullet1"/>
            </w:pPr>
            <w:r w:rsidRPr="00951D70">
              <w:t xml:space="preserve">MAT and cutover </w:t>
            </w:r>
            <w:r>
              <w:t>are</w:t>
            </w:r>
            <w:r w:rsidRPr="00951D70">
              <w:t xml:space="preserve"> a single event and will occur prior to authorizing non-</w:t>
            </w:r>
            <w:r w:rsidRPr="00215618">
              <w:t>MAT users to access the servers.</w:t>
            </w:r>
          </w:p>
          <w:p w14:paraId="4A763F87" w14:textId="66FAAB5D" w:rsidR="00640AD8" w:rsidRPr="00F707A2" w:rsidRDefault="00640AD8" w:rsidP="00640AD8">
            <w:pPr>
              <w:pStyle w:val="TableText"/>
              <w:rPr>
                <w:b/>
                <w:bCs/>
              </w:rPr>
            </w:pPr>
            <w:r w:rsidRPr="00F707A2">
              <w:rPr>
                <w:b/>
                <w:bCs/>
              </w:rPr>
              <w:t xml:space="preserve">AMS </w:t>
            </w:r>
            <w:r>
              <w:rPr>
                <w:b/>
                <w:bCs/>
              </w:rPr>
              <w:t>a</w:t>
            </w:r>
            <w:r w:rsidRPr="00F707A2">
              <w:rPr>
                <w:b/>
                <w:bCs/>
              </w:rPr>
              <w:t xml:space="preserve">pplication </w:t>
            </w:r>
            <w:r>
              <w:rPr>
                <w:b/>
                <w:bCs/>
              </w:rPr>
              <w:t>m</w:t>
            </w:r>
            <w:r w:rsidRPr="00F707A2">
              <w:rPr>
                <w:b/>
                <w:bCs/>
              </w:rPr>
              <w:t>igration</w:t>
            </w:r>
          </w:p>
          <w:p w14:paraId="356FF87B" w14:textId="6C970559" w:rsidR="00640AD8" w:rsidRPr="00CE1174" w:rsidRDefault="00640AD8" w:rsidP="00640AD8">
            <w:pPr>
              <w:pStyle w:val="TableBullet1"/>
            </w:pPr>
            <w:r w:rsidRPr="00951D70">
              <w:t xml:space="preserve">MAT and cutover </w:t>
            </w:r>
            <w:r>
              <w:t>are</w:t>
            </w:r>
            <w:r w:rsidRPr="00951D70">
              <w:t xml:space="preserve"> a single event and will occur prior to authorizing non-</w:t>
            </w:r>
            <w:r w:rsidRPr="00215618">
              <w:t xml:space="preserve">MAT users to access the application. The Customer can perform “pre-MAT” in an </w:t>
            </w:r>
            <w:r w:rsidRPr="00191701">
              <w:t>isolated environment if desired</w:t>
            </w:r>
            <w:r>
              <w:t>, prior to</w:t>
            </w:r>
            <w:r w:rsidRPr="00191701">
              <w:t xml:space="preserve"> </w:t>
            </w:r>
            <w:r w:rsidRPr="00FB01F6">
              <w:t>M</w:t>
            </w:r>
            <w:r w:rsidRPr="00904346">
              <w:t>AT and cutover.</w:t>
            </w:r>
          </w:p>
          <w:p w14:paraId="239C69BE" w14:textId="47DF8DC6" w:rsidR="00640AD8" w:rsidRPr="00F707A2" w:rsidRDefault="00640AD8" w:rsidP="00640AD8">
            <w:pPr>
              <w:pStyle w:val="TableText"/>
              <w:rPr>
                <w:b/>
                <w:bCs/>
              </w:rPr>
            </w:pPr>
            <w:r w:rsidRPr="00F707A2">
              <w:rPr>
                <w:b/>
                <w:bCs/>
              </w:rPr>
              <w:t xml:space="preserve">AMS </w:t>
            </w:r>
            <w:r>
              <w:rPr>
                <w:b/>
                <w:bCs/>
              </w:rPr>
              <w:t>c</w:t>
            </w:r>
            <w:r w:rsidRPr="00F707A2">
              <w:rPr>
                <w:b/>
                <w:bCs/>
              </w:rPr>
              <w:t xml:space="preserve">lean </w:t>
            </w:r>
            <w:r>
              <w:rPr>
                <w:b/>
                <w:bCs/>
              </w:rPr>
              <w:t>d</w:t>
            </w:r>
            <w:r w:rsidRPr="00F707A2">
              <w:rPr>
                <w:b/>
                <w:bCs/>
              </w:rPr>
              <w:t>eployment</w:t>
            </w:r>
          </w:p>
          <w:p w14:paraId="06DD094B" w14:textId="2AEEFBDA" w:rsidR="00640AD8" w:rsidRPr="00215618" w:rsidRDefault="00640AD8" w:rsidP="00640AD8">
            <w:pPr>
              <w:pStyle w:val="TableBullet1"/>
            </w:pPr>
            <w:r w:rsidRPr="00951D70">
              <w:t>MAT will occur prior to the final cutover and prior to granting non-MAT u</w:t>
            </w:r>
            <w:r w:rsidRPr="00215618">
              <w:t>sers access to the application.</w:t>
            </w:r>
          </w:p>
          <w:p w14:paraId="5C9F1D45" w14:textId="0EA14F40" w:rsidR="00640AD8" w:rsidRPr="00F707A2" w:rsidRDefault="00640AD8" w:rsidP="00640AD8">
            <w:pPr>
              <w:pStyle w:val="TableText"/>
              <w:rPr>
                <w:b/>
                <w:bCs/>
              </w:rPr>
            </w:pPr>
            <w:r w:rsidRPr="00F707A2">
              <w:rPr>
                <w:b/>
                <w:bCs/>
              </w:rPr>
              <w:t>ARS</w:t>
            </w:r>
          </w:p>
          <w:p w14:paraId="5F32B8EE" w14:textId="77D2DDFE" w:rsidR="00640AD8" w:rsidRPr="00215618" w:rsidRDefault="00640AD8" w:rsidP="00640AD8">
            <w:pPr>
              <w:pStyle w:val="TableBullet1"/>
            </w:pPr>
            <w:r w:rsidRPr="00951D70">
              <w:t xml:space="preserve">For each application, the Customer will conduct a MAT test plan to verify </w:t>
            </w:r>
            <w:r>
              <w:t xml:space="preserve">the </w:t>
            </w:r>
            <w:r w:rsidRPr="00951D70">
              <w:t>application operational state post</w:t>
            </w:r>
            <w:r w:rsidR="00380C72">
              <w:t xml:space="preserve"> </w:t>
            </w:r>
            <w:r w:rsidRPr="00215618">
              <w:t>refactoring to Azure.</w:t>
            </w:r>
          </w:p>
          <w:p w14:paraId="5C5F7D4E" w14:textId="296439C3" w:rsidR="00640AD8" w:rsidRPr="00F707A2" w:rsidRDefault="00640AD8" w:rsidP="00640AD8">
            <w:pPr>
              <w:pStyle w:val="TableText"/>
              <w:rPr>
                <w:b/>
                <w:bCs/>
              </w:rPr>
            </w:pPr>
            <w:r w:rsidRPr="00F707A2">
              <w:rPr>
                <w:b/>
                <w:bCs/>
              </w:rPr>
              <w:t>ATS</w:t>
            </w:r>
          </w:p>
          <w:p w14:paraId="58F580A5" w14:textId="6F9B51FB" w:rsidR="00640AD8" w:rsidRPr="00215618" w:rsidRDefault="00640AD8" w:rsidP="00640AD8">
            <w:pPr>
              <w:pStyle w:val="TableBullet1"/>
            </w:pPr>
            <w:r w:rsidRPr="00951D70">
              <w:lastRenderedPageBreak/>
              <w:t xml:space="preserve">For each application, the Customer will conduct a MAT test plan to verify </w:t>
            </w:r>
            <w:r>
              <w:t xml:space="preserve">the </w:t>
            </w:r>
            <w:r w:rsidRPr="00951D70">
              <w:t>application</w:t>
            </w:r>
            <w:r w:rsidRPr="00215618">
              <w:t xml:space="preserve"> operational state post</w:t>
            </w:r>
            <w:r w:rsidR="00380C72">
              <w:t xml:space="preserve"> </w:t>
            </w:r>
            <w:r w:rsidRPr="00215618">
              <w:t>re</w:t>
            </w:r>
            <w:r w:rsidR="00380C72">
              <w:t>-</w:t>
            </w:r>
            <w:r w:rsidRPr="00215618">
              <w:t>architecting or rebuilding to Azure.</w:t>
            </w:r>
          </w:p>
          <w:p w14:paraId="58DC2DF8" w14:textId="77777777" w:rsidR="00640AD8" w:rsidRDefault="00640AD8" w:rsidP="00640AD8">
            <w:pPr>
              <w:pStyle w:val="TableBullet1"/>
            </w:pPr>
            <w:r w:rsidRPr="00215618">
              <w:t xml:space="preserve">Feedback from MAT (defect or </w:t>
            </w:r>
            <w:r w:rsidRPr="00326C95">
              <w:t>additional user stories) and other backlog items will be prioritized in the product backlog.</w:t>
            </w:r>
          </w:p>
          <w:p w14:paraId="3BDF62BB" w14:textId="48DD4454" w:rsidR="00640AD8" w:rsidRPr="00C77522" w:rsidRDefault="00640AD8" w:rsidP="00640AD8">
            <w:pPr>
              <w:pStyle w:val="TableText"/>
              <w:rPr>
                <w:b/>
                <w:bCs/>
              </w:rPr>
            </w:pPr>
            <w:r w:rsidRPr="00016D3B">
              <w:rPr>
                <w:b/>
                <w:bCs/>
              </w:rPr>
              <w:t>DMS</w:t>
            </w:r>
          </w:p>
          <w:p w14:paraId="0512277A" w14:textId="77777777" w:rsidR="00640AD8" w:rsidRPr="00215618" w:rsidRDefault="00640AD8">
            <w:pPr>
              <w:pStyle w:val="TableBullet1"/>
              <w:numPr>
                <w:ilvl w:val="0"/>
                <w:numId w:val="19"/>
              </w:numPr>
            </w:pPr>
            <w:r w:rsidRPr="00951D70">
              <w:t xml:space="preserve">For each </w:t>
            </w:r>
            <w:r>
              <w:t>database</w:t>
            </w:r>
            <w:r w:rsidRPr="00951D70">
              <w:t xml:space="preserve">, the Customer will conduct a MAT test plan to verify </w:t>
            </w:r>
            <w:r>
              <w:t xml:space="preserve">the database </w:t>
            </w:r>
            <w:r w:rsidRPr="00215618">
              <w:t>operational state post</w:t>
            </w:r>
            <w:r>
              <w:t xml:space="preserve"> migration</w:t>
            </w:r>
            <w:r w:rsidRPr="00215618">
              <w:t>.</w:t>
            </w:r>
          </w:p>
          <w:p w14:paraId="24813602" w14:textId="1FDF4B73" w:rsidR="00640AD8" w:rsidRDefault="00640AD8">
            <w:pPr>
              <w:pStyle w:val="TableBullet1"/>
              <w:numPr>
                <w:ilvl w:val="0"/>
                <w:numId w:val="19"/>
              </w:numPr>
            </w:pPr>
            <w:r>
              <w:t xml:space="preserve">The Customer is responsible for providing access to production systems for the purposes of database backups and configuration of synchronization tools or </w:t>
            </w:r>
            <w:r w:rsidR="00622A8B">
              <w:t xml:space="preserve">the Customer </w:t>
            </w:r>
            <w:r>
              <w:t>must perform these activities directly.</w:t>
            </w:r>
          </w:p>
          <w:p w14:paraId="60E8A20F" w14:textId="04F022D6" w:rsidR="00640AD8" w:rsidRPr="00C77522" w:rsidRDefault="00640AD8">
            <w:pPr>
              <w:pStyle w:val="TableBullet1"/>
              <w:numPr>
                <w:ilvl w:val="0"/>
                <w:numId w:val="19"/>
              </w:numPr>
            </w:pPr>
            <w:r w:rsidRPr="00215618">
              <w:t xml:space="preserve">Feedback from MAT (defect or </w:t>
            </w:r>
            <w:r w:rsidRPr="00326C95">
              <w:t>additional user stories) and other backlog items will be prioritized in the product backlog.</w:t>
            </w:r>
          </w:p>
        </w:tc>
        <w:tc>
          <w:tcPr>
            <w:tcW w:w="1620" w:type="dxa"/>
            <w:shd w:val="clear" w:color="auto" w:fill="auto"/>
          </w:tcPr>
          <w:p w14:paraId="6511C6F2" w14:textId="78B519F8" w:rsidR="00640AD8" w:rsidRPr="00F91A08" w:rsidRDefault="00640AD8" w:rsidP="00640AD8">
            <w:pPr>
              <w:pStyle w:val="TableText"/>
            </w:pPr>
            <w:r>
              <w:lastRenderedPageBreak/>
              <w:t>Ongoing. MAT schedules determined during product baseline planning</w:t>
            </w:r>
          </w:p>
        </w:tc>
      </w:tr>
      <w:tr w:rsidR="00640AD8" w:rsidRPr="00F91A08" w14:paraId="1E0241BD" w14:textId="77777777" w:rsidTr="0054059D">
        <w:tc>
          <w:tcPr>
            <w:tcW w:w="7737" w:type="dxa"/>
            <w:shd w:val="clear" w:color="auto" w:fill="auto"/>
          </w:tcPr>
          <w:p w14:paraId="06FAC0F9" w14:textId="61E8790D" w:rsidR="00640AD8" w:rsidRPr="00F707A2" w:rsidRDefault="00640AD8" w:rsidP="00640AD8">
            <w:pPr>
              <w:pStyle w:val="TableText"/>
              <w:rPr>
                <w:b/>
                <w:bCs/>
              </w:rPr>
            </w:pPr>
            <w:r>
              <w:rPr>
                <w:b/>
                <w:bCs/>
              </w:rPr>
              <w:t>People mobilization for velocity service</w:t>
            </w:r>
          </w:p>
          <w:p w14:paraId="5D5689AD" w14:textId="45EED909" w:rsidR="00640AD8" w:rsidDel="00443933" w:rsidRDefault="00640AD8" w:rsidP="00640AD8">
            <w:pPr>
              <w:pStyle w:val="TableBullet1"/>
            </w:pPr>
            <w:r>
              <w:t>The Customer is responsible for any change management activities that target the users of migrated or modernized applications and databases.</w:t>
            </w:r>
          </w:p>
        </w:tc>
        <w:tc>
          <w:tcPr>
            <w:tcW w:w="1620" w:type="dxa"/>
            <w:shd w:val="clear" w:color="auto" w:fill="auto"/>
          </w:tcPr>
          <w:p w14:paraId="5BEC944D" w14:textId="684D8DA0" w:rsidR="00640AD8" w:rsidRDefault="00640AD8" w:rsidP="00640AD8">
            <w:pPr>
              <w:pStyle w:val="TableText"/>
            </w:pPr>
            <w:r>
              <w:t>N/A</w:t>
            </w:r>
          </w:p>
        </w:tc>
      </w:tr>
      <w:tr w:rsidR="00640AD8" w:rsidRPr="00F91A08" w14:paraId="6C1F2D17" w14:textId="77777777" w:rsidTr="0054059D">
        <w:tc>
          <w:tcPr>
            <w:tcW w:w="7737" w:type="dxa"/>
            <w:shd w:val="clear" w:color="auto" w:fill="auto"/>
          </w:tcPr>
          <w:p w14:paraId="5D65A663" w14:textId="2E78DBB7" w:rsidR="00640AD8" w:rsidRPr="00F707A2" w:rsidRDefault="00640AD8" w:rsidP="00640AD8">
            <w:pPr>
              <w:pStyle w:val="Bulletlist"/>
              <w:numPr>
                <w:ilvl w:val="0"/>
                <w:numId w:val="0"/>
              </w:numPr>
              <w:ind w:left="360" w:hanging="360"/>
              <w:rPr>
                <w:b/>
                <w:bCs/>
              </w:rPr>
            </w:pPr>
            <w:r w:rsidRPr="00F707A2">
              <w:rPr>
                <w:b/>
                <w:bCs/>
              </w:rPr>
              <w:t xml:space="preserve">Organizational </w:t>
            </w:r>
            <w:r>
              <w:rPr>
                <w:b/>
                <w:bCs/>
              </w:rPr>
              <w:t>c</w:t>
            </w:r>
            <w:r w:rsidRPr="00F707A2">
              <w:rPr>
                <w:b/>
                <w:bCs/>
              </w:rPr>
              <w:t>hange management</w:t>
            </w:r>
          </w:p>
          <w:p w14:paraId="1FAD16C2" w14:textId="59249369" w:rsidR="00640AD8" w:rsidRPr="009339F9" w:rsidRDefault="00640AD8">
            <w:pPr>
              <w:pStyle w:val="TableBullet1"/>
              <w:numPr>
                <w:ilvl w:val="0"/>
                <w:numId w:val="18"/>
              </w:numPr>
            </w:pPr>
            <w:r w:rsidRPr="009339F9">
              <w:t>Redesign</w:t>
            </w:r>
            <w:r>
              <w:t>ing</w:t>
            </w:r>
            <w:r w:rsidRPr="009339F9">
              <w:t xml:space="preserve"> or re</w:t>
            </w:r>
            <w:r>
              <w:t>-</w:t>
            </w:r>
            <w:r w:rsidRPr="009339F9">
              <w:t>engineering business processes</w:t>
            </w:r>
            <w:r>
              <w:t>.</w:t>
            </w:r>
          </w:p>
          <w:p w14:paraId="4E4ECE71" w14:textId="09FA32C8" w:rsidR="00640AD8" w:rsidRDefault="00640AD8">
            <w:pPr>
              <w:pStyle w:val="TableBullet1"/>
              <w:numPr>
                <w:ilvl w:val="0"/>
                <w:numId w:val="18"/>
              </w:numPr>
            </w:pPr>
            <w:r w:rsidRPr="009339F9">
              <w:t>Designing</w:t>
            </w:r>
            <w:r>
              <w:t>—</w:t>
            </w:r>
            <w:r w:rsidRPr="009339F9">
              <w:t>or redesigning</w:t>
            </w:r>
            <w:r>
              <w:t>—</w:t>
            </w:r>
            <w:r w:rsidRPr="009339F9">
              <w:t>the functional organization.</w:t>
            </w:r>
          </w:p>
          <w:p w14:paraId="6B552F59" w14:textId="5E7ADA54" w:rsidR="00640AD8" w:rsidRDefault="00640AD8">
            <w:pPr>
              <w:pStyle w:val="TableBullet1"/>
              <w:numPr>
                <w:ilvl w:val="0"/>
                <w:numId w:val="18"/>
              </w:numPr>
            </w:pPr>
            <w:r w:rsidRPr="00645F95">
              <w:t>Branding</w:t>
            </w:r>
            <w:r>
              <w:t>—</w:t>
            </w:r>
            <w:r w:rsidRPr="00645F95">
              <w:t>creating custom brand elements or branded materials</w:t>
            </w:r>
            <w:r>
              <w:t>.</w:t>
            </w:r>
          </w:p>
          <w:p w14:paraId="5FE2242B" w14:textId="023F2E03" w:rsidR="00640AD8" w:rsidDel="00443933" w:rsidRDefault="00640AD8">
            <w:pPr>
              <w:pStyle w:val="TableBullet1"/>
              <w:numPr>
                <w:ilvl w:val="0"/>
                <w:numId w:val="18"/>
              </w:numPr>
            </w:pPr>
            <w:r w:rsidRPr="009339F9">
              <w:t>Planning or undertaking user communications.</w:t>
            </w:r>
          </w:p>
        </w:tc>
        <w:tc>
          <w:tcPr>
            <w:tcW w:w="1620" w:type="dxa"/>
            <w:shd w:val="clear" w:color="auto" w:fill="auto"/>
          </w:tcPr>
          <w:p w14:paraId="01927F02" w14:textId="676E6A14" w:rsidR="00640AD8" w:rsidRDefault="00640AD8" w:rsidP="00640AD8">
            <w:pPr>
              <w:pStyle w:val="TableText"/>
            </w:pPr>
            <w:r>
              <w:t>N/A</w:t>
            </w:r>
          </w:p>
        </w:tc>
      </w:tr>
      <w:tr w:rsidR="00640AD8" w:rsidRPr="00F91A08" w14:paraId="7042BD21" w14:textId="77777777">
        <w:trPr>
          <w:trHeight w:val="6718"/>
        </w:trPr>
        <w:tc>
          <w:tcPr>
            <w:tcW w:w="7737" w:type="dxa"/>
            <w:shd w:val="clear" w:color="auto" w:fill="auto"/>
          </w:tcPr>
          <w:p w14:paraId="5683A33F" w14:textId="507D2567" w:rsidR="00640AD8" w:rsidRPr="00F707A2" w:rsidRDefault="00640AD8" w:rsidP="00640AD8">
            <w:pPr>
              <w:pStyle w:val="Bulletlist"/>
              <w:numPr>
                <w:ilvl w:val="0"/>
                <w:numId w:val="0"/>
              </w:numPr>
              <w:ind w:left="360" w:hanging="360"/>
              <w:rPr>
                <w:b/>
                <w:bCs/>
              </w:rPr>
            </w:pPr>
            <w:r w:rsidRPr="00F707A2">
              <w:rPr>
                <w:b/>
                <w:bCs/>
              </w:rPr>
              <w:lastRenderedPageBreak/>
              <w:t>Other general responsibilities</w:t>
            </w:r>
          </w:p>
          <w:p w14:paraId="131A7DD5" w14:textId="089EAD7A" w:rsidR="00640AD8" w:rsidRPr="00F91A08" w:rsidRDefault="00640AD8">
            <w:pPr>
              <w:pStyle w:val="TableBullet1"/>
              <w:numPr>
                <w:ilvl w:val="0"/>
                <w:numId w:val="20"/>
              </w:numPr>
              <w:ind w:left="342" w:hanging="342"/>
            </w:pPr>
            <w:r w:rsidRPr="00F91A08">
              <w:t>Monitor network activity.</w:t>
            </w:r>
          </w:p>
          <w:p w14:paraId="7A5A14F7" w14:textId="77777777" w:rsidR="00640AD8" w:rsidRPr="00F91A08" w:rsidRDefault="00640AD8">
            <w:pPr>
              <w:pStyle w:val="TableBullet1"/>
              <w:numPr>
                <w:ilvl w:val="0"/>
                <w:numId w:val="20"/>
              </w:numPr>
              <w:ind w:left="342" w:hanging="342"/>
            </w:pPr>
            <w:r w:rsidRPr="00F91A08">
              <w:t>Provide application support.</w:t>
            </w:r>
          </w:p>
          <w:p w14:paraId="6CE33799" w14:textId="27E95D57" w:rsidR="00640AD8" w:rsidRPr="00F91A08" w:rsidRDefault="00640AD8">
            <w:pPr>
              <w:pStyle w:val="TableBullet1"/>
              <w:numPr>
                <w:ilvl w:val="0"/>
                <w:numId w:val="20"/>
              </w:numPr>
              <w:ind w:left="342" w:hanging="342"/>
            </w:pPr>
            <w:r>
              <w:t>Fix b</w:t>
            </w:r>
            <w:r w:rsidRPr="00F91A08">
              <w:t>ug</w:t>
            </w:r>
            <w:r>
              <w:t>s</w:t>
            </w:r>
            <w:r w:rsidRPr="00F91A08">
              <w:t xml:space="preserve"> and troubleshoot problems related to applications or other third-party software, hardware products, or applications that are not explicitly mentioned as </w:t>
            </w:r>
            <w:r>
              <w:t xml:space="preserve">being </w:t>
            </w:r>
            <w:r w:rsidRPr="00F91A08">
              <w:t>in scope.</w:t>
            </w:r>
          </w:p>
          <w:p w14:paraId="27AE9C9D" w14:textId="49E159A2" w:rsidR="00640AD8" w:rsidRPr="00F91A08" w:rsidRDefault="00640AD8">
            <w:pPr>
              <w:pStyle w:val="TableBullet1"/>
              <w:numPr>
                <w:ilvl w:val="0"/>
                <w:numId w:val="20"/>
              </w:numPr>
              <w:ind w:left="342" w:hanging="342"/>
            </w:pPr>
            <w:r w:rsidRPr="00F91A08">
              <w:t>Prepare documentation about processes, standards, policies, or existing guidelines.</w:t>
            </w:r>
          </w:p>
          <w:p w14:paraId="0EC12E4F" w14:textId="26740D06" w:rsidR="00640AD8" w:rsidRPr="006278C6" w:rsidRDefault="00640AD8">
            <w:pPr>
              <w:pStyle w:val="TableBullet1"/>
              <w:numPr>
                <w:ilvl w:val="0"/>
                <w:numId w:val="20"/>
              </w:numPr>
              <w:ind w:left="342" w:hanging="342"/>
            </w:pPr>
            <w:r w:rsidRPr="006278C6">
              <w:t>Design, configur</w:t>
            </w:r>
            <w:r>
              <w:t>e</w:t>
            </w:r>
            <w:r w:rsidRPr="006278C6">
              <w:t>, integrat</w:t>
            </w:r>
            <w:r>
              <w:t>e</w:t>
            </w:r>
            <w:r w:rsidRPr="006278C6">
              <w:t>, deploy, or fix issues in commercially available third-party software.</w:t>
            </w:r>
          </w:p>
          <w:p w14:paraId="241A58D4" w14:textId="099FD960" w:rsidR="00640AD8" w:rsidRDefault="00640AD8">
            <w:pPr>
              <w:pStyle w:val="TableBullet1"/>
              <w:numPr>
                <w:ilvl w:val="0"/>
                <w:numId w:val="20"/>
              </w:numPr>
              <w:ind w:left="342" w:hanging="342"/>
            </w:pPr>
            <w:r>
              <w:t>Take responsibility for m</w:t>
            </w:r>
            <w:r w:rsidRPr="005319DE">
              <w:t>odifications to third-party systems and</w:t>
            </w:r>
            <w:r>
              <w:t xml:space="preserve"> </w:t>
            </w:r>
            <w:r w:rsidRPr="005319DE">
              <w:t>external interfaces to support integration.</w:t>
            </w:r>
          </w:p>
          <w:p w14:paraId="21CE8579" w14:textId="4CD4D85F" w:rsidR="00640AD8" w:rsidRPr="00F91A08" w:rsidRDefault="00640AD8">
            <w:pPr>
              <w:pStyle w:val="TableBullet1"/>
              <w:numPr>
                <w:ilvl w:val="0"/>
                <w:numId w:val="20"/>
              </w:numPr>
              <w:ind w:left="342" w:hanging="342"/>
            </w:pPr>
            <w:r w:rsidRPr="00F91A08">
              <w:t xml:space="preserve">Plan, design, customize, enhance, troubleshoot, </w:t>
            </w:r>
            <w:r>
              <w:t>and</w:t>
            </w:r>
            <w:r w:rsidRPr="00F91A08">
              <w:t xml:space="preserve"> resolve problems that are </w:t>
            </w:r>
            <w:r w:rsidR="00D370FD" w:rsidRPr="00F91A08">
              <w:t>related to</w:t>
            </w:r>
            <w:r w:rsidRPr="00F91A08">
              <w:t>, but not limited to</w:t>
            </w:r>
            <w:r>
              <w:t>,</w:t>
            </w:r>
            <w:r w:rsidRPr="00F91A08">
              <w:t xml:space="preserve"> supporting the </w:t>
            </w:r>
            <w:r>
              <w:t xml:space="preserve">on-premises </w:t>
            </w:r>
            <w:r w:rsidRPr="00F91A08">
              <w:t>infrastructure listed here:</w:t>
            </w:r>
          </w:p>
          <w:p w14:paraId="0AE33F3D" w14:textId="4D13825E" w:rsidR="00640AD8" w:rsidRPr="00F91A08" w:rsidRDefault="00640AD8" w:rsidP="00640AD8">
            <w:pPr>
              <w:pStyle w:val="Bulletlist"/>
              <w:numPr>
                <w:ilvl w:val="1"/>
                <w:numId w:val="1"/>
              </w:numPr>
              <w:ind w:left="702"/>
            </w:pPr>
            <w:r w:rsidRPr="00F91A08">
              <w:t>Firewalls</w:t>
            </w:r>
          </w:p>
          <w:p w14:paraId="4AFDB730" w14:textId="007D330F" w:rsidR="00640AD8" w:rsidRPr="00F91A08" w:rsidRDefault="00640AD8" w:rsidP="00640AD8">
            <w:pPr>
              <w:pStyle w:val="Bulletlist"/>
              <w:numPr>
                <w:ilvl w:val="1"/>
                <w:numId w:val="1"/>
              </w:numPr>
              <w:ind w:left="702"/>
            </w:pPr>
            <w:r w:rsidRPr="00F91A08">
              <w:t>Storage area networks</w:t>
            </w:r>
          </w:p>
          <w:p w14:paraId="3AACFECF" w14:textId="77777777" w:rsidR="00640AD8" w:rsidRPr="00A00E8D" w:rsidRDefault="00640AD8" w:rsidP="00640AD8">
            <w:pPr>
              <w:pStyle w:val="Bulletlist"/>
              <w:numPr>
                <w:ilvl w:val="1"/>
                <w:numId w:val="1"/>
              </w:numPr>
              <w:ind w:left="702"/>
            </w:pPr>
            <w:r>
              <w:t>Routing and switching devices</w:t>
            </w:r>
            <w:r w:rsidRPr="00F91A08">
              <w:t>.</w:t>
            </w:r>
          </w:p>
          <w:p w14:paraId="19B829C3" w14:textId="630307D0" w:rsidR="00640AD8" w:rsidRDefault="00640AD8">
            <w:pPr>
              <w:pStyle w:val="TableBullet1"/>
              <w:numPr>
                <w:ilvl w:val="0"/>
                <w:numId w:val="21"/>
              </w:numPr>
              <w:ind w:left="342" w:hanging="342"/>
            </w:pPr>
            <w:r>
              <w:t>Coordinate across IT and Customer business units to prioritize the Azure migration program</w:t>
            </w:r>
            <w:r w:rsidR="007D616A">
              <w:t>.</w:t>
            </w:r>
          </w:p>
          <w:p w14:paraId="4926DA28" w14:textId="047CB51D" w:rsidR="00640AD8" w:rsidRDefault="00640AD8">
            <w:pPr>
              <w:pStyle w:val="TableBullet1"/>
              <w:numPr>
                <w:ilvl w:val="0"/>
                <w:numId w:val="21"/>
              </w:numPr>
              <w:ind w:left="342" w:hanging="342"/>
            </w:pPr>
            <w:r>
              <w:t>Identify and assign project resources</w:t>
            </w:r>
            <w:r w:rsidR="007D616A">
              <w:t>.</w:t>
            </w:r>
          </w:p>
          <w:p w14:paraId="728C12D6" w14:textId="7D066C1A" w:rsidR="00640AD8" w:rsidRDefault="00640AD8">
            <w:pPr>
              <w:pStyle w:val="TableBullet1"/>
              <w:numPr>
                <w:ilvl w:val="0"/>
                <w:numId w:val="21"/>
              </w:numPr>
              <w:ind w:left="342" w:hanging="342"/>
            </w:pPr>
            <w:r>
              <w:t>Identify and prioritize the applications for migration</w:t>
            </w:r>
            <w:r w:rsidR="007D616A">
              <w:t>.</w:t>
            </w:r>
          </w:p>
          <w:p w14:paraId="469B3C66" w14:textId="02BB8193" w:rsidR="00640AD8" w:rsidRPr="00A00E8D" w:rsidRDefault="00640AD8">
            <w:pPr>
              <w:pStyle w:val="TableBullet1"/>
              <w:numPr>
                <w:ilvl w:val="0"/>
                <w:numId w:val="21"/>
              </w:numPr>
              <w:ind w:left="342" w:hanging="342"/>
            </w:pPr>
            <w:r>
              <w:t>Maintain an adequate backlog of qualified applications to sustain migration velocity for improved utilization of the available capacity.</w:t>
            </w:r>
          </w:p>
        </w:tc>
        <w:tc>
          <w:tcPr>
            <w:tcW w:w="1620" w:type="dxa"/>
            <w:shd w:val="clear" w:color="auto" w:fill="auto"/>
          </w:tcPr>
          <w:p w14:paraId="4C68EC6C" w14:textId="1172C973" w:rsidR="00640AD8" w:rsidRDefault="00640AD8" w:rsidP="00640AD8">
            <w:pPr>
              <w:pStyle w:val="TableText"/>
            </w:pPr>
            <w:r>
              <w:t>Ongoing</w:t>
            </w:r>
          </w:p>
        </w:tc>
      </w:tr>
    </w:tbl>
    <w:p w14:paraId="3FC49486" w14:textId="11DB22E4" w:rsidR="00FC43C6" w:rsidRDefault="00C10C66" w:rsidP="000D26FB">
      <w:pPr>
        <w:pStyle w:val="Heading3"/>
      </w:pPr>
      <w:bookmarkStart w:id="6" w:name="_Ref92709467"/>
      <w:r>
        <w:t>Program</w:t>
      </w:r>
      <w:r w:rsidR="00FC43C6">
        <w:t xml:space="preserve"> </w:t>
      </w:r>
      <w:r w:rsidR="00227A00">
        <w:t>o</w:t>
      </w:r>
      <w:r w:rsidR="00FC43C6">
        <w:t xml:space="preserve">rganization </w:t>
      </w:r>
      <w:r w:rsidR="00227A00">
        <w:t>a</w:t>
      </w:r>
      <w:r w:rsidR="00FC43C6">
        <w:t>ddendum</w:t>
      </w:r>
      <w:bookmarkEnd w:id="6"/>
    </w:p>
    <w:p w14:paraId="368A5106" w14:textId="1C6F5105" w:rsidR="009B5C5E" w:rsidRDefault="00B251AA" w:rsidP="006B1C63">
      <w:pPr>
        <w:pStyle w:val="Instructional"/>
      </w:pPr>
      <w:r>
        <w:t>Generally, this section will not be used. However, this section can be used if there are unique roles which are not already covered in the EDA which must be defined in the contract.</w:t>
      </w:r>
      <w:r w:rsidR="009B5C5E">
        <w:t xml:space="preserve"> </w:t>
      </w:r>
      <w:r w:rsidR="005135EF">
        <w:t>Delete th</w:t>
      </w:r>
      <w:r w:rsidR="00BE1D4A">
        <w:t>is</w:t>
      </w:r>
      <w:r w:rsidR="005135EF">
        <w:t xml:space="preserve"> section if not used.</w:t>
      </w:r>
    </w:p>
    <w:p w14:paraId="7382B776" w14:textId="30358F98" w:rsidR="00FC43C6" w:rsidRPr="003D2662" w:rsidRDefault="00FC43C6" w:rsidP="006B1C63">
      <w:pPr>
        <w:pStyle w:val="Optional"/>
      </w:pPr>
      <w:r>
        <w:t xml:space="preserve">The following </w:t>
      </w:r>
      <w:r w:rsidR="002839B3">
        <w:t>is</w:t>
      </w:r>
      <w:r>
        <w:t xml:space="preserve"> a list of roles specific to the engagement</w:t>
      </w:r>
      <w:r w:rsidR="00F276B4">
        <w:t xml:space="preserve">, </w:t>
      </w:r>
      <w:r w:rsidR="004A559E">
        <w:t>in addition to those</w:t>
      </w:r>
      <w:r>
        <w:t xml:space="preserve"> described in the </w:t>
      </w:r>
      <w:r w:rsidR="00D76EA1">
        <w:t>EDA</w:t>
      </w:r>
      <w:r>
        <w:t>.</w:t>
      </w:r>
    </w:p>
    <w:tbl>
      <w:tblPr>
        <w:tblStyle w:val="TableGrid1"/>
        <w:tblW w:w="0" w:type="auto"/>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13"/>
        <w:gridCol w:w="5439"/>
        <w:gridCol w:w="2103"/>
      </w:tblGrid>
      <w:tr w:rsidR="00A470B7" w:rsidRPr="00F91A08" w14:paraId="7C7E8FFF" w14:textId="77777777" w:rsidTr="73960BB4">
        <w:trPr>
          <w:trHeight w:val="542"/>
          <w:tblHeader/>
        </w:trPr>
        <w:tc>
          <w:tcPr>
            <w:tcW w:w="1813" w:type="dxa"/>
            <w:shd w:val="clear" w:color="auto" w:fill="008272"/>
            <w:vAlign w:val="center"/>
          </w:tcPr>
          <w:p w14:paraId="3DA13515" w14:textId="77777777" w:rsidR="00FC43C6" w:rsidRPr="00F91A08" w:rsidRDefault="00FC43C6" w:rsidP="001169AD">
            <w:pPr>
              <w:pStyle w:val="Table-Header"/>
            </w:pPr>
            <w:r w:rsidRPr="00F91A08">
              <w:t>Role</w:t>
            </w:r>
          </w:p>
        </w:tc>
        <w:tc>
          <w:tcPr>
            <w:tcW w:w="5439" w:type="dxa"/>
            <w:shd w:val="clear" w:color="auto" w:fill="008272"/>
          </w:tcPr>
          <w:p w14:paraId="6C7E4DA7" w14:textId="77777777" w:rsidR="00FC43C6" w:rsidRPr="00F91A08" w:rsidRDefault="00FC43C6" w:rsidP="001169AD">
            <w:pPr>
              <w:pStyle w:val="Table-Header"/>
            </w:pPr>
            <w:r w:rsidRPr="00F91A08">
              <w:t>Responsibilities</w:t>
            </w:r>
          </w:p>
        </w:tc>
        <w:tc>
          <w:tcPr>
            <w:tcW w:w="2103" w:type="dxa"/>
            <w:shd w:val="clear" w:color="auto" w:fill="008272"/>
          </w:tcPr>
          <w:p w14:paraId="4475F681" w14:textId="7CEB8523" w:rsidR="00FC43C6" w:rsidRPr="00F91A08" w:rsidRDefault="00FC43C6" w:rsidP="001169AD">
            <w:pPr>
              <w:pStyle w:val="Table-Header"/>
            </w:pPr>
            <w:r>
              <w:t xml:space="preserve">Responsible </w:t>
            </w:r>
            <w:r w:rsidR="00E335C6">
              <w:t>p</w:t>
            </w:r>
            <w:r>
              <w:t>arty</w:t>
            </w:r>
          </w:p>
        </w:tc>
      </w:tr>
      <w:tr w:rsidR="00C54425" w:rsidRPr="00F91A08" w14:paraId="3C53A75F" w14:textId="77777777" w:rsidTr="73960BB4">
        <w:trPr>
          <w:trHeight w:val="422"/>
        </w:trPr>
        <w:tc>
          <w:tcPr>
            <w:tcW w:w="9355" w:type="dxa"/>
            <w:gridSpan w:val="3"/>
            <w:shd w:val="clear" w:color="auto" w:fill="auto"/>
          </w:tcPr>
          <w:p w14:paraId="4F34EC22" w14:textId="56A72618" w:rsidR="00924537" w:rsidRPr="00E47570" w:rsidRDefault="00974CE2" w:rsidP="0024520A">
            <w:pPr>
              <w:pStyle w:val="Instructional"/>
            </w:pPr>
            <w:r>
              <w:t>Include the following two roles only if AMS scale teams configured to be supplied by the customer in OSE.</w:t>
            </w:r>
          </w:p>
        </w:tc>
      </w:tr>
      <w:tr w:rsidR="00C54425" w:rsidRPr="00F91A08" w14:paraId="0446B0C4" w14:textId="77777777" w:rsidTr="73960BB4">
        <w:trPr>
          <w:trHeight w:val="422"/>
        </w:trPr>
        <w:tc>
          <w:tcPr>
            <w:tcW w:w="1813" w:type="dxa"/>
            <w:shd w:val="clear" w:color="auto" w:fill="auto"/>
          </w:tcPr>
          <w:p w14:paraId="2B9CADB6" w14:textId="0E2DAB10" w:rsidR="00924537" w:rsidRPr="00BC2846" w:rsidRDefault="00142DE1" w:rsidP="00016D3B">
            <w:pPr>
              <w:pStyle w:val="Optional"/>
            </w:pPr>
            <w:r>
              <w:t xml:space="preserve">Migration </w:t>
            </w:r>
            <w:r w:rsidR="00076A72">
              <w:t>c</w:t>
            </w:r>
            <w:r>
              <w:t xml:space="preserve">oordinator </w:t>
            </w:r>
          </w:p>
        </w:tc>
        <w:tc>
          <w:tcPr>
            <w:tcW w:w="5439" w:type="dxa"/>
            <w:shd w:val="clear" w:color="auto" w:fill="auto"/>
          </w:tcPr>
          <w:p w14:paraId="172A1200" w14:textId="77777777" w:rsidR="00142DE1" w:rsidRPr="009A4201" w:rsidRDefault="00142DE1">
            <w:pPr>
              <w:pStyle w:val="BlueText-BulletStyle2"/>
              <w:numPr>
                <w:ilvl w:val="0"/>
                <w:numId w:val="17"/>
              </w:numPr>
            </w:pPr>
            <w:r w:rsidRPr="009A4201">
              <w:t>Function as a Customer advocate with Customer application support teams.</w:t>
            </w:r>
          </w:p>
          <w:p w14:paraId="44013D2D" w14:textId="0A5F3703" w:rsidR="00142DE1" w:rsidRPr="009A4201" w:rsidRDefault="00142DE1">
            <w:pPr>
              <w:pStyle w:val="BlueText-BulletStyle2"/>
              <w:numPr>
                <w:ilvl w:val="0"/>
                <w:numId w:val="17"/>
              </w:numPr>
            </w:pPr>
            <w:r w:rsidRPr="009A4201">
              <w:t xml:space="preserve">Maintain </w:t>
            </w:r>
            <w:r w:rsidR="005A108C">
              <w:t xml:space="preserve">a </w:t>
            </w:r>
            <w:r w:rsidRPr="009A4201">
              <w:t>velocity plan for assessments, planning, and migrations.</w:t>
            </w:r>
          </w:p>
          <w:p w14:paraId="7E94C382" w14:textId="45ED88B2" w:rsidR="00142DE1" w:rsidRPr="009A4201" w:rsidRDefault="00142DE1">
            <w:pPr>
              <w:pStyle w:val="BlueText-BulletStyle2"/>
              <w:numPr>
                <w:ilvl w:val="0"/>
                <w:numId w:val="17"/>
              </w:numPr>
            </w:pPr>
            <w:r w:rsidRPr="009A4201">
              <w:t xml:space="preserve">Build </w:t>
            </w:r>
            <w:r w:rsidR="003F4A5B">
              <w:t xml:space="preserve">a </w:t>
            </w:r>
            <w:r w:rsidRPr="009A4201">
              <w:t xml:space="preserve">migration wave plan and maintain </w:t>
            </w:r>
            <w:r w:rsidR="003F4A5B">
              <w:t xml:space="preserve">a </w:t>
            </w:r>
            <w:r w:rsidRPr="009A4201">
              <w:t>migration calendar.</w:t>
            </w:r>
          </w:p>
          <w:p w14:paraId="2C1D3C1A" w14:textId="3173D414" w:rsidR="00142DE1" w:rsidRPr="009A4201" w:rsidRDefault="00142DE1">
            <w:pPr>
              <w:pStyle w:val="BlueText-BulletStyle2"/>
              <w:numPr>
                <w:ilvl w:val="0"/>
                <w:numId w:val="17"/>
              </w:numPr>
            </w:pPr>
            <w:r w:rsidRPr="009A4201">
              <w:lastRenderedPageBreak/>
              <w:t>Verify ownership of servers and applications that reside on those servers; follow up for data quality issues.</w:t>
            </w:r>
          </w:p>
          <w:p w14:paraId="78977E3E" w14:textId="7F36502A" w:rsidR="00142DE1" w:rsidRPr="009A4201" w:rsidRDefault="00142DE1">
            <w:pPr>
              <w:pStyle w:val="BlueText-BulletStyle2"/>
              <w:numPr>
                <w:ilvl w:val="0"/>
                <w:numId w:val="17"/>
              </w:numPr>
            </w:pPr>
            <w:r w:rsidRPr="009A4201">
              <w:t>Work with application teams and migration consultants to classify server</w:t>
            </w:r>
            <w:r w:rsidR="003F4A5B">
              <w:t>s</w:t>
            </w:r>
            <w:r w:rsidRPr="009A4201">
              <w:t xml:space="preserve"> into an assessment disposition.</w:t>
            </w:r>
          </w:p>
          <w:p w14:paraId="66D317B1" w14:textId="1C7D7F98" w:rsidR="00142DE1" w:rsidRPr="009A4201" w:rsidRDefault="00142DE1">
            <w:pPr>
              <w:pStyle w:val="BlueText-BulletStyle2"/>
              <w:numPr>
                <w:ilvl w:val="0"/>
                <w:numId w:val="17"/>
              </w:numPr>
            </w:pPr>
            <w:r w:rsidRPr="009A4201">
              <w:t xml:space="preserve">Organize and facilitate assessment and planning meetings; update </w:t>
            </w:r>
            <w:r w:rsidR="004D7267">
              <w:t xml:space="preserve">the </w:t>
            </w:r>
            <w:r w:rsidRPr="009A4201">
              <w:t xml:space="preserve">migration catalog with notes; </w:t>
            </w:r>
            <w:r w:rsidR="004D7267">
              <w:t>make sure</w:t>
            </w:r>
            <w:r w:rsidRPr="009A4201">
              <w:t xml:space="preserve"> that follow</w:t>
            </w:r>
            <w:r w:rsidR="00076A72">
              <w:t>-</w:t>
            </w:r>
            <w:r w:rsidRPr="009A4201">
              <w:t>up</w:t>
            </w:r>
            <w:r w:rsidR="004D7267">
              <w:t xml:space="preserve"> activitie</w:t>
            </w:r>
            <w:r w:rsidRPr="009A4201">
              <w:t>s are tracked and escalated on a timely basis.</w:t>
            </w:r>
          </w:p>
          <w:p w14:paraId="4B40D537" w14:textId="204579E6" w:rsidR="00142DE1" w:rsidRPr="009A4201" w:rsidRDefault="00142DE1">
            <w:pPr>
              <w:pStyle w:val="BlueText-BulletStyle2"/>
              <w:numPr>
                <w:ilvl w:val="0"/>
                <w:numId w:val="17"/>
              </w:numPr>
            </w:pPr>
            <w:r w:rsidRPr="009A4201">
              <w:t>Verify data quality and Power BI reports.</w:t>
            </w:r>
          </w:p>
          <w:p w14:paraId="34C0E986" w14:textId="114078BF" w:rsidR="00924537" w:rsidRPr="00F91A08" w:rsidRDefault="00142DE1">
            <w:pPr>
              <w:pStyle w:val="BlueText-BulletStyle2"/>
              <w:numPr>
                <w:ilvl w:val="0"/>
                <w:numId w:val="17"/>
              </w:numPr>
            </w:pPr>
            <w:r w:rsidRPr="009A4201">
              <w:t>Distribute, track, and collect deliverable acceptance forms.</w:t>
            </w:r>
          </w:p>
        </w:tc>
        <w:tc>
          <w:tcPr>
            <w:tcW w:w="2103" w:type="dxa"/>
          </w:tcPr>
          <w:p w14:paraId="67CB7B51" w14:textId="680C0986" w:rsidR="00924537" w:rsidRDefault="009F4D2A" w:rsidP="00016D3B">
            <w:pPr>
              <w:pStyle w:val="Optional"/>
              <w:rPr>
                <w:bCs/>
              </w:rPr>
            </w:pPr>
            <w:r>
              <w:rPr>
                <w:bCs/>
              </w:rPr>
              <w:lastRenderedPageBreak/>
              <w:t>Customer</w:t>
            </w:r>
          </w:p>
        </w:tc>
      </w:tr>
      <w:tr w:rsidR="00C54425" w:rsidRPr="00F91A08" w14:paraId="22823A40" w14:textId="77777777" w:rsidTr="73960BB4">
        <w:trPr>
          <w:trHeight w:val="422"/>
        </w:trPr>
        <w:tc>
          <w:tcPr>
            <w:tcW w:w="1813" w:type="dxa"/>
            <w:shd w:val="clear" w:color="auto" w:fill="auto"/>
          </w:tcPr>
          <w:p w14:paraId="6DD2396F" w14:textId="04EABF61" w:rsidR="008D2831" w:rsidRDefault="00443463" w:rsidP="00016D3B">
            <w:pPr>
              <w:pStyle w:val="Optional"/>
            </w:pPr>
            <w:r>
              <w:t xml:space="preserve">Intake </w:t>
            </w:r>
            <w:r w:rsidR="003F4A5B">
              <w:t>and</w:t>
            </w:r>
            <w:r>
              <w:t xml:space="preserve"> </w:t>
            </w:r>
            <w:r w:rsidR="003F4A5B">
              <w:t>a</w:t>
            </w:r>
            <w:r>
              <w:t>ssessment</w:t>
            </w:r>
            <w:r w:rsidR="0028159F">
              <w:t xml:space="preserve"> SME</w:t>
            </w:r>
            <w:r w:rsidR="003541B0">
              <w:t xml:space="preserve"> </w:t>
            </w:r>
          </w:p>
        </w:tc>
        <w:tc>
          <w:tcPr>
            <w:tcW w:w="5439" w:type="dxa"/>
            <w:shd w:val="clear" w:color="auto" w:fill="auto"/>
          </w:tcPr>
          <w:p w14:paraId="13EC2A4A" w14:textId="7309C330" w:rsidR="003541B0" w:rsidRPr="009A4201" w:rsidRDefault="003541B0">
            <w:pPr>
              <w:pStyle w:val="BlueText-BulletStyle2"/>
              <w:numPr>
                <w:ilvl w:val="0"/>
                <w:numId w:val="17"/>
              </w:numPr>
            </w:pPr>
            <w:r w:rsidRPr="009A4201">
              <w:t xml:space="preserve">Assist with </w:t>
            </w:r>
            <w:r w:rsidR="00874220">
              <w:t xml:space="preserve">the </w:t>
            </w:r>
            <w:r w:rsidRPr="009A4201">
              <w:t>deployment and configuration of program tools.</w:t>
            </w:r>
          </w:p>
          <w:p w14:paraId="661F0517" w14:textId="1AEB78F2" w:rsidR="003541B0" w:rsidRPr="009A4201" w:rsidRDefault="003541B0">
            <w:pPr>
              <w:pStyle w:val="BlueText-BulletStyle2"/>
              <w:numPr>
                <w:ilvl w:val="0"/>
                <w:numId w:val="17"/>
              </w:numPr>
            </w:pPr>
            <w:r w:rsidRPr="009A4201">
              <w:t xml:space="preserve">Coordinate </w:t>
            </w:r>
            <w:r w:rsidR="00FB4A57">
              <w:t>M</w:t>
            </w:r>
            <w:r w:rsidRPr="009A4201">
              <w:t>AT.</w:t>
            </w:r>
          </w:p>
          <w:p w14:paraId="4F1323A3" w14:textId="77777777" w:rsidR="003541B0" w:rsidRPr="009A4201" w:rsidRDefault="003541B0">
            <w:pPr>
              <w:pStyle w:val="BlueText-BulletStyle2"/>
              <w:numPr>
                <w:ilvl w:val="0"/>
                <w:numId w:val="17"/>
              </w:numPr>
            </w:pPr>
            <w:r w:rsidRPr="009A4201">
              <w:t>Coordinate migration factory activities.</w:t>
            </w:r>
          </w:p>
          <w:p w14:paraId="2C4B0DB7" w14:textId="77777777" w:rsidR="003541B0" w:rsidRPr="009A4201" w:rsidRDefault="003541B0">
            <w:pPr>
              <w:pStyle w:val="BlueText-BulletStyle2"/>
              <w:numPr>
                <w:ilvl w:val="0"/>
                <w:numId w:val="17"/>
              </w:numPr>
            </w:pPr>
            <w:r w:rsidRPr="009A4201">
              <w:t>Deliver factory progress reporting and metrics.</w:t>
            </w:r>
          </w:p>
          <w:p w14:paraId="5659F5BA" w14:textId="77777777" w:rsidR="003541B0" w:rsidRPr="009A4201" w:rsidRDefault="003541B0">
            <w:pPr>
              <w:pStyle w:val="BlueText-BulletStyle2"/>
              <w:numPr>
                <w:ilvl w:val="0"/>
                <w:numId w:val="17"/>
              </w:numPr>
            </w:pPr>
            <w:r w:rsidRPr="009A4201">
              <w:t>Work with business and technical owners to group migration catalog components (such as servers, applications, and databases) into application</w:t>
            </w:r>
            <w:r w:rsidRPr="009A4201" w:rsidDel="00805215">
              <w:t xml:space="preserve"> </w:t>
            </w:r>
            <w:r w:rsidRPr="009A4201">
              <w:t>collections.</w:t>
            </w:r>
          </w:p>
          <w:p w14:paraId="5434CF04" w14:textId="77777777" w:rsidR="003541B0" w:rsidRPr="009A4201" w:rsidRDefault="003541B0">
            <w:pPr>
              <w:pStyle w:val="BlueText-BulletStyle2"/>
              <w:numPr>
                <w:ilvl w:val="0"/>
                <w:numId w:val="17"/>
              </w:numPr>
            </w:pPr>
            <w:r w:rsidRPr="009A4201">
              <w:t>Collect data through Customer interviews.</w:t>
            </w:r>
          </w:p>
          <w:p w14:paraId="34F24206" w14:textId="6E246266" w:rsidR="008D2831" w:rsidRPr="009A4201" w:rsidRDefault="003541B0">
            <w:pPr>
              <w:pStyle w:val="BlueText-BulletStyle2"/>
              <w:numPr>
                <w:ilvl w:val="0"/>
                <w:numId w:val="17"/>
              </w:numPr>
            </w:pPr>
            <w:r w:rsidRPr="009A4201">
              <w:t>Drive test specification validation with application support teams.</w:t>
            </w:r>
          </w:p>
        </w:tc>
        <w:tc>
          <w:tcPr>
            <w:tcW w:w="2103" w:type="dxa"/>
          </w:tcPr>
          <w:p w14:paraId="4CDBACD5" w14:textId="1812065E" w:rsidR="008D2831" w:rsidRDefault="009F4D2A" w:rsidP="00016D3B">
            <w:pPr>
              <w:pStyle w:val="Optional"/>
              <w:rPr>
                <w:bCs/>
              </w:rPr>
            </w:pPr>
            <w:r>
              <w:rPr>
                <w:bCs/>
              </w:rPr>
              <w:t>Customer</w:t>
            </w:r>
          </w:p>
        </w:tc>
      </w:tr>
    </w:tbl>
    <w:p w14:paraId="453E057A" w14:textId="77777777" w:rsidR="00FC43C6" w:rsidRDefault="00FC43C6" w:rsidP="006B1C63">
      <w:pPr>
        <w:rPr>
          <w:rFonts w:asciiTheme="minorHAnsi" w:hAnsiTheme="minorHAnsi"/>
          <w:sz w:val="22"/>
        </w:rPr>
      </w:pPr>
    </w:p>
    <w:sectPr w:rsidR="00FC43C6" w:rsidSect="002156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74EFE" w14:textId="77777777" w:rsidR="0026664F" w:rsidRDefault="0026664F" w:rsidP="00905E54">
      <w:pPr>
        <w:spacing w:before="0" w:after="0" w:line="240" w:lineRule="auto"/>
      </w:pPr>
      <w:r>
        <w:separator/>
      </w:r>
    </w:p>
  </w:endnote>
  <w:endnote w:type="continuationSeparator" w:id="0">
    <w:p w14:paraId="07FD1008" w14:textId="77777777" w:rsidR="0026664F" w:rsidRDefault="0026664F" w:rsidP="00905E54">
      <w:pPr>
        <w:spacing w:before="0" w:after="0" w:line="240" w:lineRule="auto"/>
      </w:pPr>
      <w:r>
        <w:continuationSeparator/>
      </w:r>
    </w:p>
  </w:endnote>
  <w:endnote w:type="continuationNotice" w:id="1">
    <w:p w14:paraId="08C80B0C" w14:textId="77777777" w:rsidR="0026664F" w:rsidRDefault="0026664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Segoe Light">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A1B11" w14:textId="77777777" w:rsidR="00FC6CDC" w:rsidRDefault="00FC6C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9"/>
      <w:gridCol w:w="3573"/>
    </w:tblGrid>
    <w:tr w:rsidR="008C50EB" w14:paraId="1EF5E777" w14:textId="77777777" w:rsidTr="008C50EB">
      <w:trPr>
        <w:trHeight w:val="432"/>
      </w:trPr>
      <w:tc>
        <w:tcPr>
          <w:tcW w:w="5749" w:type="dxa"/>
          <w:tcMar>
            <w:left w:w="0" w:type="dxa"/>
            <w:right w:w="0" w:type="dxa"/>
          </w:tcMar>
          <w:vAlign w:val="bottom"/>
        </w:tcPr>
        <w:p w14:paraId="02C1E044" w14:textId="77777777" w:rsidR="00FF7EBE" w:rsidRPr="00FF7EBE" w:rsidRDefault="00FF7EBE" w:rsidP="00FF7EBE">
          <w:pPr>
            <w:pStyle w:val="Footer"/>
            <w:rPr>
              <w:color w:val="D9D9D9" w:themeColor="background1" w:themeShade="D9"/>
              <w:sz w:val="16"/>
              <w:szCs w:val="16"/>
            </w:rPr>
          </w:pPr>
          <w:r w:rsidRPr="00FF7EBE">
            <w:rPr>
              <w:color w:val="D9D9D9" w:themeColor="background1" w:themeShade="D9"/>
              <w:sz w:val="16"/>
              <w:szCs w:val="16"/>
            </w:rPr>
            <w:t>Microsoft Services</w:t>
          </w:r>
        </w:p>
        <w:p w14:paraId="7B57C828" w14:textId="0D78BF62" w:rsidR="008C50EB" w:rsidRPr="00297C0C" w:rsidRDefault="00FF7EBE" w:rsidP="00FF7EBE">
          <w:pPr>
            <w:pStyle w:val="Footer"/>
            <w:rPr>
              <w:color w:val="D9D9D9" w:themeColor="background1" w:themeShade="D9"/>
              <w:sz w:val="16"/>
              <w:szCs w:val="16"/>
            </w:rPr>
          </w:pPr>
          <w:r w:rsidRPr="00FF7EBE">
            <w:rPr>
              <w:color w:val="D9D9D9" w:themeColor="background1" w:themeShade="D9"/>
              <w:sz w:val="16"/>
              <w:szCs w:val="16"/>
            </w:rPr>
            <w:t>SVCSDES-CTS&amp;DEM-LEDv1.</w:t>
          </w:r>
          <w:r w:rsidR="00FC6CDC">
            <w:rPr>
              <w:color w:val="D9D9D9" w:themeColor="background1" w:themeShade="D9"/>
              <w:sz w:val="16"/>
              <w:szCs w:val="16"/>
            </w:rPr>
            <w:t>3</w:t>
          </w:r>
          <w:r w:rsidRPr="00FF7EBE">
            <w:rPr>
              <w:color w:val="D9D9D9" w:themeColor="background1" w:themeShade="D9"/>
              <w:sz w:val="16"/>
              <w:szCs w:val="16"/>
            </w:rPr>
            <w:t>(WW)(English)(</w:t>
          </w:r>
          <w:r>
            <w:rPr>
              <w:color w:val="D9D9D9" w:themeColor="background1" w:themeShade="D9"/>
              <w:sz w:val="16"/>
              <w:szCs w:val="16"/>
            </w:rPr>
            <w:t>Jan</w:t>
          </w:r>
          <w:r w:rsidRPr="00FF7EBE">
            <w:rPr>
              <w:color w:val="D9D9D9" w:themeColor="background1" w:themeShade="D9"/>
              <w:sz w:val="16"/>
              <w:szCs w:val="16"/>
            </w:rPr>
            <w:t>202</w:t>
          </w:r>
          <w:r>
            <w:rPr>
              <w:color w:val="D9D9D9" w:themeColor="background1" w:themeShade="D9"/>
              <w:sz w:val="16"/>
              <w:szCs w:val="16"/>
            </w:rPr>
            <w:t>3</w:t>
          </w:r>
          <w:r w:rsidRPr="00FF7EBE">
            <w:rPr>
              <w:color w:val="D9D9D9" w:themeColor="background1" w:themeShade="D9"/>
              <w:sz w:val="16"/>
              <w:szCs w:val="16"/>
            </w:rPr>
            <w:t>)</w:t>
          </w:r>
        </w:p>
      </w:tc>
      <w:tc>
        <w:tcPr>
          <w:tcW w:w="3573" w:type="dxa"/>
          <w:vAlign w:val="center"/>
        </w:tcPr>
        <w:sdt>
          <w:sdtPr>
            <w:rPr>
              <w:sz w:val="16"/>
            </w:rPr>
            <w:id w:val="-1769616900"/>
            <w:docPartObj>
              <w:docPartGallery w:val="Page Numbers (Top of Page)"/>
              <w:docPartUnique/>
            </w:docPartObj>
          </w:sdtPr>
          <w:sdtContent>
            <w:p w14:paraId="71A696D9" w14:textId="2999DE71" w:rsidR="008C50EB" w:rsidRPr="00A61754" w:rsidRDefault="008C50EB" w:rsidP="00215618">
              <w:pPr>
                <w:pStyle w:val="Footer"/>
                <w:jc w:val="right"/>
                <w:rPr>
                  <w:sz w:val="16"/>
                  <w:szCs w:val="16"/>
                </w:rPr>
              </w:pPr>
              <w:r w:rsidRPr="00EF11BE">
                <w:rPr>
                  <w:color w:val="7F7F7F" w:themeColor="text1" w:themeTint="80"/>
                  <w:sz w:val="16"/>
                  <w:szCs w:val="16"/>
                </w:rPr>
                <w:t xml:space="preserve">Page </w:t>
              </w:r>
              <w:r w:rsidRPr="00D36022">
                <w:rPr>
                  <w:noProof/>
                  <w:color w:val="7F7F7F" w:themeColor="text1" w:themeTint="80"/>
                  <w:sz w:val="16"/>
                  <w:szCs w:val="16"/>
                </w:rPr>
                <w:fldChar w:fldCharType="begin"/>
              </w:r>
              <w:r w:rsidRPr="00930597">
                <w:rPr>
                  <w:color w:val="7F7F7F" w:themeColor="text1" w:themeTint="80"/>
                  <w:sz w:val="16"/>
                </w:rPr>
                <w:instrText xml:space="preserve"> PAGE </w:instrText>
              </w:r>
              <w:r w:rsidRPr="00D36022">
                <w:rPr>
                  <w:color w:val="7F7F7F" w:themeColor="text1" w:themeTint="80"/>
                  <w:sz w:val="16"/>
                </w:rPr>
                <w:fldChar w:fldCharType="separate"/>
              </w:r>
              <w:r w:rsidRPr="00D36022">
                <w:rPr>
                  <w:noProof/>
                  <w:color w:val="7F7F7F" w:themeColor="text1" w:themeTint="80"/>
                  <w:sz w:val="16"/>
                  <w:szCs w:val="16"/>
                </w:rPr>
                <w:t>18</w:t>
              </w:r>
              <w:r w:rsidRPr="00D36022">
                <w:rPr>
                  <w:noProof/>
                  <w:color w:val="7F7F7F" w:themeColor="text1" w:themeTint="80"/>
                  <w:sz w:val="16"/>
                  <w:szCs w:val="16"/>
                </w:rPr>
                <w:fldChar w:fldCharType="end"/>
              </w:r>
              <w:r w:rsidRPr="00EF11BE">
                <w:rPr>
                  <w:color w:val="7F7F7F" w:themeColor="text1" w:themeTint="80"/>
                  <w:sz w:val="16"/>
                  <w:szCs w:val="16"/>
                </w:rPr>
                <w:t xml:space="preserve"> of </w:t>
              </w:r>
              <w:r w:rsidRPr="00D36022">
                <w:rPr>
                  <w:noProof/>
                  <w:color w:val="7F7F7F" w:themeColor="text1" w:themeTint="80"/>
                  <w:sz w:val="16"/>
                  <w:szCs w:val="16"/>
                </w:rPr>
                <w:fldChar w:fldCharType="begin"/>
              </w:r>
              <w:r w:rsidRPr="00930597">
                <w:rPr>
                  <w:color w:val="7F7F7F" w:themeColor="text1" w:themeTint="80"/>
                  <w:sz w:val="16"/>
                </w:rPr>
                <w:instrText xml:space="preserve"> SECTIONPAGES  </w:instrText>
              </w:r>
              <w:r w:rsidRPr="00D36022">
                <w:rPr>
                  <w:color w:val="7F7F7F" w:themeColor="text1" w:themeTint="80"/>
                  <w:sz w:val="16"/>
                </w:rPr>
                <w:fldChar w:fldCharType="separate"/>
              </w:r>
              <w:r w:rsidR="00FC6CDC">
                <w:rPr>
                  <w:noProof/>
                  <w:color w:val="7F7F7F" w:themeColor="text1" w:themeTint="80"/>
                  <w:sz w:val="16"/>
                </w:rPr>
                <w:t>24</w:t>
              </w:r>
              <w:r w:rsidRPr="00D36022">
                <w:rPr>
                  <w:noProof/>
                  <w:color w:val="7F7F7F" w:themeColor="text1" w:themeTint="80"/>
                  <w:sz w:val="16"/>
                  <w:szCs w:val="16"/>
                </w:rPr>
                <w:fldChar w:fldCharType="end"/>
              </w:r>
            </w:p>
          </w:sdtContent>
        </w:sdt>
      </w:tc>
    </w:tr>
  </w:tbl>
  <w:p w14:paraId="6FE2DFB1" w14:textId="31399DAC" w:rsidR="008C50EB" w:rsidRPr="00215618" w:rsidRDefault="008C50EB" w:rsidP="002156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6CD3" w14:textId="77777777" w:rsidR="00FC6CDC" w:rsidRDefault="00FC6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3E3B5" w14:textId="77777777" w:rsidR="0026664F" w:rsidRDefault="0026664F" w:rsidP="00905E54">
      <w:pPr>
        <w:spacing w:before="0" w:after="0" w:line="240" w:lineRule="auto"/>
      </w:pPr>
      <w:r>
        <w:separator/>
      </w:r>
    </w:p>
  </w:footnote>
  <w:footnote w:type="continuationSeparator" w:id="0">
    <w:p w14:paraId="1A62B18F" w14:textId="77777777" w:rsidR="0026664F" w:rsidRDefault="0026664F" w:rsidP="00905E54">
      <w:pPr>
        <w:spacing w:before="0" w:after="0" w:line="240" w:lineRule="auto"/>
      </w:pPr>
      <w:r>
        <w:continuationSeparator/>
      </w:r>
    </w:p>
  </w:footnote>
  <w:footnote w:type="continuationNotice" w:id="1">
    <w:p w14:paraId="2BA430FC" w14:textId="77777777" w:rsidR="0026664F" w:rsidRDefault="0026664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D862" w14:textId="77777777" w:rsidR="00FC6CDC" w:rsidRDefault="00FC6C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3EF2" w14:textId="77777777" w:rsidR="00FC6CDC" w:rsidRDefault="00FC6C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0D285" w14:textId="77777777" w:rsidR="00FC6CDC" w:rsidRDefault="00FC6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0B0"/>
    <w:multiLevelType w:val="hybridMultilevel"/>
    <w:tmpl w:val="2E920E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40F6C6A"/>
    <w:multiLevelType w:val="multilevel"/>
    <w:tmpl w:val="133072AA"/>
    <w:lvl w:ilvl="0">
      <w:start w:val="1"/>
      <w:numFmt w:val="decimal"/>
      <w:lvlText w:val="%1."/>
      <w:lvlJc w:val="left"/>
      <w:pPr>
        <w:ind w:left="720" w:hanging="360"/>
      </w:pPr>
    </w:lvl>
    <w:lvl w:ilvl="1">
      <w:start w:val="2"/>
      <w:numFmt w:val="decimal"/>
      <w:isLgl/>
      <w:lvlText w:val="%1.%2"/>
      <w:lvlJc w:val="left"/>
      <w:pPr>
        <w:ind w:left="1005" w:hanging="465"/>
      </w:pPr>
      <w:rPr>
        <w:rFonts w:hint="default"/>
      </w:rPr>
    </w:lvl>
    <w:lvl w:ilvl="2">
      <w:start w:val="2"/>
      <w:numFmt w:val="decimal"/>
      <w:isLgl/>
      <w:lvlText w:val="%1.%2.%3"/>
      <w:lvlJc w:val="left"/>
      <w:pPr>
        <w:ind w:left="153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35534"/>
    <w:multiLevelType w:val="hybridMultilevel"/>
    <w:tmpl w:val="C8AE32C2"/>
    <w:lvl w:ilvl="0" w:tplc="04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5" w15:restartNumberingAfterBreak="0">
    <w:nsid w:val="0F916542"/>
    <w:multiLevelType w:val="multilevel"/>
    <w:tmpl w:val="893C3BCC"/>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1080" w:hanging="360"/>
      </w:pPr>
      <w:rPr>
        <w:rFonts w:ascii="Wingdings" w:hAnsi="Wingdings" w:hint="default"/>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6" w15:restartNumberingAfterBreak="0">
    <w:nsid w:val="10E71A5A"/>
    <w:multiLevelType w:val="multilevel"/>
    <w:tmpl w:val="CA440F18"/>
    <w:lvl w:ilvl="0">
      <w:start w:val="1"/>
      <w:numFmt w:val="bullet"/>
      <w:lvlText w:val=""/>
      <w:lvlJc w:val="left"/>
      <w:pPr>
        <w:ind w:left="216" w:hanging="216"/>
      </w:pPr>
      <w:rPr>
        <w:rFonts w:ascii="Symbol" w:hAnsi="Symbol"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7" w15:restartNumberingAfterBreak="0">
    <w:nsid w:val="110638F1"/>
    <w:multiLevelType w:val="hybridMultilevel"/>
    <w:tmpl w:val="57EA180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14287A4E"/>
    <w:multiLevelType w:val="hybridMultilevel"/>
    <w:tmpl w:val="ADA4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F0667"/>
    <w:multiLevelType w:val="multilevel"/>
    <w:tmpl w:val="A9D84E88"/>
    <w:lvl w:ilvl="0">
      <w:start w:val="1"/>
      <w:numFmt w:val="bullet"/>
      <w:lvlText w:val=""/>
      <w:lvlJc w:val="left"/>
      <w:pPr>
        <w:ind w:left="216" w:hanging="216"/>
      </w:pPr>
      <w:rPr>
        <w:rFonts w:ascii="Symbol" w:hAnsi="Symbol"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0" w15:restartNumberingAfterBreak="0">
    <w:nsid w:val="161D1B1B"/>
    <w:multiLevelType w:val="multilevel"/>
    <w:tmpl w:val="CF765C2E"/>
    <w:lvl w:ilvl="0">
      <w:start w:val="1"/>
      <w:numFmt w:val="bullet"/>
      <w:lvlText w:val="▪"/>
      <w:lvlJc w:val="left"/>
      <w:pPr>
        <w:ind w:left="216" w:hanging="216"/>
      </w:pPr>
      <w:rPr>
        <w:rFonts w:ascii="Segoe" w:hAnsi="Segoe" w:hint="default"/>
        <w:b w:val="0"/>
        <w:i w:val="0"/>
        <w:color w:val="000000"/>
        <w:sz w:val="20"/>
      </w:rPr>
    </w:lvl>
    <w:lvl w:ilvl="1">
      <w:start w:val="1"/>
      <w:numFmt w:val="bullet"/>
      <w:lvlText w:val="o"/>
      <w:lvlJc w:val="left"/>
      <w:pPr>
        <w:ind w:left="576" w:hanging="360"/>
      </w:pPr>
      <w:rPr>
        <w:rFonts w:ascii="Courier New" w:hAnsi="Courier New" w:cs="Courier New" w:hint="default"/>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1" w15:restartNumberingAfterBreak="0">
    <w:nsid w:val="163D4C6D"/>
    <w:multiLevelType w:val="hybridMultilevel"/>
    <w:tmpl w:val="57DC2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672745"/>
    <w:multiLevelType w:val="hybridMultilevel"/>
    <w:tmpl w:val="9646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EF38CF"/>
    <w:multiLevelType w:val="hybridMultilevel"/>
    <w:tmpl w:val="518A903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1A485F47"/>
    <w:multiLevelType w:val="hybridMultilevel"/>
    <w:tmpl w:val="CF8C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6" w15:restartNumberingAfterBreak="0">
    <w:nsid w:val="1CB62B9E"/>
    <w:multiLevelType w:val="hybridMultilevel"/>
    <w:tmpl w:val="A3A43D1A"/>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1810869"/>
    <w:multiLevelType w:val="hybridMultilevel"/>
    <w:tmpl w:val="B21E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4B052A"/>
    <w:multiLevelType w:val="hybridMultilevel"/>
    <w:tmpl w:val="B016EB36"/>
    <w:lvl w:ilvl="0" w:tplc="04090005">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26D5701F"/>
    <w:multiLevelType w:val="hybridMultilevel"/>
    <w:tmpl w:val="6B4E28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E6427A"/>
    <w:multiLevelType w:val="multilevel"/>
    <w:tmpl w:val="702CC946"/>
    <w:lvl w:ilvl="0">
      <w:start w:val="1"/>
      <w:numFmt w:val="bullet"/>
      <w:lvlText w:val=""/>
      <w:lvlJc w:val="left"/>
      <w:pPr>
        <w:ind w:left="216" w:hanging="216"/>
      </w:pPr>
      <w:rPr>
        <w:rFonts w:ascii="Symbol" w:hAnsi="Symbol"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1" w15:restartNumberingAfterBreak="0">
    <w:nsid w:val="2A315C19"/>
    <w:multiLevelType w:val="multilevel"/>
    <w:tmpl w:val="A8FC5C34"/>
    <w:lvl w:ilvl="0">
      <w:start w:val="1"/>
      <w:numFmt w:val="bullet"/>
      <w:lvlText w:val=""/>
      <w:lvlJc w:val="left"/>
      <w:pPr>
        <w:ind w:left="216" w:hanging="216"/>
      </w:pPr>
      <w:rPr>
        <w:rFonts w:ascii="Wingdings" w:hAnsi="Wingdings"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BB03595"/>
    <w:multiLevelType w:val="hybridMultilevel"/>
    <w:tmpl w:val="467EE57A"/>
    <w:lvl w:ilvl="0" w:tplc="04090001">
      <w:start w:val="1"/>
      <w:numFmt w:val="bullet"/>
      <w:lvlText w:val=""/>
      <w:lvlJc w:val="left"/>
      <w:pPr>
        <w:ind w:left="936" w:hanging="360"/>
      </w:pPr>
      <w:rPr>
        <w:rFonts w:ascii="Symbol" w:hAnsi="Symbol" w:hint="default"/>
      </w:rPr>
    </w:lvl>
    <w:lvl w:ilvl="1" w:tplc="FFFFFFFF" w:tentative="1">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23" w15:restartNumberingAfterBreak="0">
    <w:nsid w:val="2D9439FB"/>
    <w:multiLevelType w:val="hybridMultilevel"/>
    <w:tmpl w:val="3684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CD4F2D"/>
    <w:multiLevelType w:val="hybridMultilevel"/>
    <w:tmpl w:val="E9AC0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E92DB8"/>
    <w:multiLevelType w:val="hybridMultilevel"/>
    <w:tmpl w:val="3B96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63693C"/>
    <w:multiLevelType w:val="hybridMultilevel"/>
    <w:tmpl w:val="F0D4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A0712C"/>
    <w:multiLevelType w:val="hybridMultilevel"/>
    <w:tmpl w:val="CF9ADB3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346D664B"/>
    <w:multiLevelType w:val="hybridMultilevel"/>
    <w:tmpl w:val="317C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362657"/>
    <w:multiLevelType w:val="hybridMultilevel"/>
    <w:tmpl w:val="FE4081DC"/>
    <w:lvl w:ilvl="0" w:tplc="04090005">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1" w15:restartNumberingAfterBreak="0">
    <w:nsid w:val="3858395C"/>
    <w:multiLevelType w:val="hybridMultilevel"/>
    <w:tmpl w:val="99BC70C0"/>
    <w:lvl w:ilvl="0" w:tplc="1174F0BC">
      <w:start w:val="1"/>
      <w:numFmt w:val="bullet"/>
      <w:pStyle w:val="BlueText-BulletStyle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85A1BFC"/>
    <w:multiLevelType w:val="hybridMultilevel"/>
    <w:tmpl w:val="797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901CB9"/>
    <w:multiLevelType w:val="multilevel"/>
    <w:tmpl w:val="F7541B5A"/>
    <w:lvl w:ilvl="0">
      <w:start w:val="1"/>
      <w:numFmt w:val="decimal"/>
      <w:pStyle w:val="Heading1"/>
      <w:lvlText w:val="%1."/>
      <w:lvlJc w:val="left"/>
      <w:pPr>
        <w:ind w:left="360" w:hanging="360"/>
      </w:pPr>
      <w:rPr>
        <w:rFonts w:hint="default"/>
      </w:rPr>
    </w:lvl>
    <w:lvl w:ilvl="1">
      <w:start w:val="2"/>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D687672"/>
    <w:multiLevelType w:val="hybridMultilevel"/>
    <w:tmpl w:val="738A0B0A"/>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E9482C"/>
    <w:multiLevelType w:val="hybridMultilevel"/>
    <w:tmpl w:val="293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1B5188"/>
    <w:multiLevelType w:val="multilevel"/>
    <w:tmpl w:val="76A285DC"/>
    <w:lvl w:ilvl="0">
      <w:start w:val="1"/>
      <w:numFmt w:val="bullet"/>
      <w:lvlText w:val=""/>
      <w:lvlJc w:val="left"/>
      <w:pPr>
        <w:ind w:left="216" w:hanging="216"/>
      </w:pPr>
      <w:rPr>
        <w:rFonts w:ascii="Wingdings" w:hAnsi="Wingdings"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8"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39" w15:restartNumberingAfterBreak="0">
    <w:nsid w:val="48E41FBF"/>
    <w:multiLevelType w:val="hybridMultilevel"/>
    <w:tmpl w:val="4F6E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7657AE"/>
    <w:multiLevelType w:val="hybridMultilevel"/>
    <w:tmpl w:val="04EA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292DC6"/>
    <w:multiLevelType w:val="hybridMultilevel"/>
    <w:tmpl w:val="59A20538"/>
    <w:lvl w:ilvl="0" w:tplc="04090001">
      <w:start w:val="1"/>
      <w:numFmt w:val="bullet"/>
      <w:lvlText w:val=""/>
      <w:lvlJc w:val="left"/>
      <w:pPr>
        <w:ind w:left="936" w:hanging="360"/>
      </w:pPr>
      <w:rPr>
        <w:rFonts w:ascii="Symbol" w:hAnsi="Symbol" w:hint="default"/>
      </w:rPr>
    </w:lvl>
    <w:lvl w:ilvl="1" w:tplc="FFFFFFFF" w:tentative="1">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42" w15:restartNumberingAfterBreak="0">
    <w:nsid w:val="4F971887"/>
    <w:multiLevelType w:val="hybridMultilevel"/>
    <w:tmpl w:val="4F4A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FE6CFA"/>
    <w:multiLevelType w:val="hybridMultilevel"/>
    <w:tmpl w:val="056A052C"/>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4" w15:restartNumberingAfterBreak="0">
    <w:nsid w:val="522E68F9"/>
    <w:multiLevelType w:val="hybridMultilevel"/>
    <w:tmpl w:val="CB9C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1D27E3"/>
    <w:multiLevelType w:val="multilevel"/>
    <w:tmpl w:val="FAA42A12"/>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1080" w:hanging="360"/>
      </w:pPr>
      <w:rPr>
        <w:rFonts w:ascii="Wingdings" w:hAnsi="Wingdings" w:hint="default"/>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6" w15:restartNumberingAfterBreak="0">
    <w:nsid w:val="54C968AB"/>
    <w:multiLevelType w:val="multilevel"/>
    <w:tmpl w:val="D4763C32"/>
    <w:lvl w:ilvl="0">
      <w:start w:val="1"/>
      <w:numFmt w:val="bullet"/>
      <w:lvlText w:val=""/>
      <w:lvlJc w:val="left"/>
      <w:pPr>
        <w:ind w:left="216" w:hanging="216"/>
      </w:pPr>
      <w:rPr>
        <w:rFonts w:ascii="Wingdings" w:hAnsi="Wingdings"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7" w15:restartNumberingAfterBreak="0">
    <w:nsid w:val="58741554"/>
    <w:multiLevelType w:val="hybridMultilevel"/>
    <w:tmpl w:val="E476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7C43A2"/>
    <w:multiLevelType w:val="multilevel"/>
    <w:tmpl w:val="9AECE56A"/>
    <w:lvl w:ilvl="0">
      <w:start w:val="1"/>
      <w:numFmt w:val="bullet"/>
      <w:lvlText w:val=""/>
      <w:lvlJc w:val="left"/>
      <w:pPr>
        <w:ind w:left="216" w:hanging="216"/>
      </w:pPr>
      <w:rPr>
        <w:rFonts w:ascii="Wingdings" w:hAnsi="Wingdings"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9" w15:restartNumberingAfterBreak="0">
    <w:nsid w:val="5AA4094E"/>
    <w:multiLevelType w:val="hybridMultilevel"/>
    <w:tmpl w:val="3E92F59C"/>
    <w:lvl w:ilvl="0" w:tplc="04090005">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0" w15:restartNumberingAfterBreak="0">
    <w:nsid w:val="5AB6486B"/>
    <w:multiLevelType w:val="hybridMultilevel"/>
    <w:tmpl w:val="0E24B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D555B78"/>
    <w:multiLevelType w:val="hybridMultilevel"/>
    <w:tmpl w:val="07521C32"/>
    <w:lvl w:ilvl="0" w:tplc="04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52" w15:restartNumberingAfterBreak="0">
    <w:nsid w:val="609D275D"/>
    <w:multiLevelType w:val="hybridMultilevel"/>
    <w:tmpl w:val="CB622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611E0E7F"/>
    <w:multiLevelType w:val="multilevel"/>
    <w:tmpl w:val="7C4CF102"/>
    <w:lvl w:ilvl="0">
      <w:start w:val="1"/>
      <w:numFmt w:val="decimal"/>
      <w:pStyle w:val="WO-L1-Headingblk"/>
      <w:lvlText w:val="%1."/>
      <w:lvlJc w:val="left"/>
      <w:pPr>
        <w:ind w:left="360" w:hanging="360"/>
      </w:pPr>
      <w:rPr>
        <w:rFonts w:hint="default"/>
      </w:rPr>
    </w:lvl>
    <w:lvl w:ilvl="1">
      <w:start w:val="2"/>
      <w:numFmt w:val="decimal"/>
      <w:pStyle w:val="WO-L2-Headingblk"/>
      <w:lvlText w:val="%1.%2."/>
      <w:lvlJc w:val="left"/>
      <w:pPr>
        <w:ind w:left="792" w:hanging="432"/>
      </w:pPr>
      <w:rPr>
        <w:rFonts w:hint="default"/>
      </w:rPr>
    </w:lvl>
    <w:lvl w:ilvl="2">
      <w:start w:val="1"/>
      <w:numFmt w:val="decimal"/>
      <w:pStyle w:val="WO-L3-Heading"/>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WO-L4-Heading"/>
      <w:lvlText w:val="%1.%2.%3.%4."/>
      <w:lvlJc w:val="left"/>
      <w:pPr>
        <w:ind w:left="1728" w:hanging="648"/>
      </w:pPr>
      <w:rPr>
        <w:rFonts w:hint="default"/>
      </w:rPr>
    </w:lvl>
    <w:lvl w:ilvl="4">
      <w:start w:val="1"/>
      <w:numFmt w:val="decimal"/>
      <w:pStyle w:val="WO-L5-Heading"/>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1A40D95"/>
    <w:multiLevelType w:val="hybridMultilevel"/>
    <w:tmpl w:val="5EBCD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2978A4"/>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432" w:hanging="432"/>
      </w:pPr>
      <w:rPr>
        <w:rFonts w:hint="default"/>
      </w:r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642F2A38"/>
    <w:multiLevelType w:val="hybridMultilevel"/>
    <w:tmpl w:val="8D64AF68"/>
    <w:lvl w:ilvl="0" w:tplc="04090001">
      <w:start w:val="1"/>
      <w:numFmt w:val="bullet"/>
      <w:lvlText w:val=""/>
      <w:lvlJc w:val="left"/>
      <w:pPr>
        <w:ind w:left="936" w:hanging="360"/>
      </w:pPr>
      <w:rPr>
        <w:rFonts w:ascii="Symbol" w:hAnsi="Symbol" w:hint="default"/>
      </w:rPr>
    </w:lvl>
    <w:lvl w:ilvl="1" w:tplc="FFFFFFFF" w:tentative="1">
      <w:start w:val="1"/>
      <w:numFmt w:val="bullet"/>
      <w:lvlText w:val="o"/>
      <w:lvlJc w:val="left"/>
      <w:pPr>
        <w:ind w:left="1656" w:hanging="360"/>
      </w:pPr>
      <w:rPr>
        <w:rFonts w:ascii="Courier New" w:hAnsi="Courier New" w:cs="Courier New"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57" w15:restartNumberingAfterBreak="0">
    <w:nsid w:val="65681234"/>
    <w:multiLevelType w:val="hybridMultilevel"/>
    <w:tmpl w:val="FDB4AD78"/>
    <w:lvl w:ilvl="0" w:tplc="D408D952">
      <w:start w:val="1"/>
      <w:numFmt w:val="bullet"/>
      <w:pStyle w:val="Optional-BulletLis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8"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59" w15:restartNumberingAfterBreak="0">
    <w:nsid w:val="6A285CEF"/>
    <w:multiLevelType w:val="hybridMultilevel"/>
    <w:tmpl w:val="1734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A602ECB"/>
    <w:multiLevelType w:val="hybridMultilevel"/>
    <w:tmpl w:val="BD2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B2B2D97"/>
    <w:multiLevelType w:val="hybridMultilevel"/>
    <w:tmpl w:val="BC80EA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CB0719D"/>
    <w:multiLevelType w:val="hybridMultilevel"/>
    <w:tmpl w:val="A4E097B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3" w15:restartNumberingAfterBreak="0">
    <w:nsid w:val="6CBE137A"/>
    <w:multiLevelType w:val="hybridMultilevel"/>
    <w:tmpl w:val="D80C0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D4D62C1"/>
    <w:multiLevelType w:val="hybridMultilevel"/>
    <w:tmpl w:val="A06259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5" w15:restartNumberingAfterBreak="0">
    <w:nsid w:val="6E481813"/>
    <w:multiLevelType w:val="hybridMultilevel"/>
    <w:tmpl w:val="71925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0622441"/>
    <w:multiLevelType w:val="hybridMultilevel"/>
    <w:tmpl w:val="1EC26D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7" w15:restartNumberingAfterBreak="0">
    <w:nsid w:val="74163931"/>
    <w:multiLevelType w:val="multilevel"/>
    <w:tmpl w:val="70200EB2"/>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1080" w:hanging="360"/>
      </w:pPr>
      <w:rPr>
        <w:rFonts w:ascii="Wingdings" w:hAnsi="Wingdings" w:hint="default"/>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68" w15:restartNumberingAfterBreak="0">
    <w:nsid w:val="746650C5"/>
    <w:multiLevelType w:val="hybridMultilevel"/>
    <w:tmpl w:val="B8BEC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5B861CC"/>
    <w:multiLevelType w:val="hybridMultilevel"/>
    <w:tmpl w:val="6ED41F6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0" w15:restartNumberingAfterBreak="0">
    <w:nsid w:val="782921FD"/>
    <w:multiLevelType w:val="hybridMultilevel"/>
    <w:tmpl w:val="467A4C4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1" w15:restartNumberingAfterBreak="0">
    <w:nsid w:val="78B62367"/>
    <w:multiLevelType w:val="hybridMultilevel"/>
    <w:tmpl w:val="BD6C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5A521F"/>
    <w:multiLevelType w:val="hybridMultilevel"/>
    <w:tmpl w:val="89AC2C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3" w15:restartNumberingAfterBreak="0">
    <w:nsid w:val="79842292"/>
    <w:multiLevelType w:val="hybridMultilevel"/>
    <w:tmpl w:val="47CCD354"/>
    <w:lvl w:ilvl="0" w:tplc="04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74" w15:restartNumberingAfterBreak="0">
    <w:nsid w:val="7A1F46CE"/>
    <w:multiLevelType w:val="multilevel"/>
    <w:tmpl w:val="3FB8F280"/>
    <w:lvl w:ilvl="0">
      <w:start w:val="1"/>
      <w:numFmt w:val="decimal"/>
      <w:lvlText w:val="%1"/>
      <w:lvlJc w:val="left"/>
      <w:pPr>
        <w:ind w:left="672" w:hanging="672"/>
      </w:pPr>
      <w:rPr>
        <w:rFonts w:hint="default"/>
      </w:rPr>
    </w:lvl>
    <w:lvl w:ilvl="1">
      <w:start w:val="2"/>
      <w:numFmt w:val="decimal"/>
      <w:lvlText w:val="%1.%2"/>
      <w:lvlJc w:val="left"/>
      <w:pPr>
        <w:ind w:left="720" w:hanging="720"/>
      </w:pPr>
      <w:rPr>
        <w:rFonts w:hint="default"/>
      </w:rPr>
    </w:lvl>
    <w:lvl w:ilvl="2">
      <w:start w:val="2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5" w15:restartNumberingAfterBreak="0">
    <w:nsid w:val="7A3F1FE8"/>
    <w:multiLevelType w:val="hybridMultilevel"/>
    <w:tmpl w:val="962CB91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6" w15:restartNumberingAfterBreak="0">
    <w:nsid w:val="7ACB190E"/>
    <w:multiLevelType w:val="hybridMultilevel"/>
    <w:tmpl w:val="CB1A378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7" w15:restartNumberingAfterBreak="0">
    <w:nsid w:val="7B537296"/>
    <w:multiLevelType w:val="hybridMultilevel"/>
    <w:tmpl w:val="60AAAE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A271DA"/>
    <w:multiLevelType w:val="hybridMultilevel"/>
    <w:tmpl w:val="11E6206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9" w15:restartNumberingAfterBreak="0">
    <w:nsid w:val="7F472BC1"/>
    <w:multiLevelType w:val="hybridMultilevel"/>
    <w:tmpl w:val="0F6606A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7892575">
    <w:abstractNumId w:val="16"/>
  </w:num>
  <w:num w:numId="2" w16cid:durableId="120342889">
    <w:abstractNumId w:val="31"/>
  </w:num>
  <w:num w:numId="3" w16cid:durableId="433791073">
    <w:abstractNumId w:val="55"/>
  </w:num>
  <w:num w:numId="4" w16cid:durableId="846676277">
    <w:abstractNumId w:val="33"/>
  </w:num>
  <w:num w:numId="5" w16cid:durableId="1929582598">
    <w:abstractNumId w:val="5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7457334">
    <w:abstractNumId w:val="38"/>
  </w:num>
  <w:num w:numId="7" w16cid:durableId="1906452977">
    <w:abstractNumId w:val="35"/>
  </w:num>
  <w:num w:numId="8" w16cid:durableId="393283942">
    <w:abstractNumId w:val="26"/>
  </w:num>
  <w:num w:numId="9" w16cid:durableId="1072854585">
    <w:abstractNumId w:val="3"/>
  </w:num>
  <w:num w:numId="10" w16cid:durableId="1718162291">
    <w:abstractNumId w:val="2"/>
  </w:num>
  <w:num w:numId="11" w16cid:durableId="1625043018">
    <w:abstractNumId w:val="44"/>
  </w:num>
  <w:num w:numId="12" w16cid:durableId="1060982210">
    <w:abstractNumId w:val="24"/>
  </w:num>
  <w:num w:numId="13" w16cid:durableId="2071685433">
    <w:abstractNumId w:val="29"/>
  </w:num>
  <w:num w:numId="14" w16cid:durableId="40906348">
    <w:abstractNumId w:val="58"/>
  </w:num>
  <w:num w:numId="15" w16cid:durableId="1409839135">
    <w:abstractNumId w:val="1"/>
  </w:num>
  <w:num w:numId="16" w16cid:durableId="1458792840">
    <w:abstractNumId w:val="57"/>
  </w:num>
  <w:num w:numId="17" w16cid:durableId="2113354949">
    <w:abstractNumId w:val="68"/>
  </w:num>
  <w:num w:numId="18" w16cid:durableId="609319490">
    <w:abstractNumId w:val="11"/>
  </w:num>
  <w:num w:numId="19" w16cid:durableId="587547106">
    <w:abstractNumId w:val="65"/>
  </w:num>
  <w:num w:numId="20" w16cid:durableId="1814986745">
    <w:abstractNumId w:val="40"/>
  </w:num>
  <w:num w:numId="21" w16cid:durableId="1011102882">
    <w:abstractNumId w:val="14"/>
  </w:num>
  <w:num w:numId="22" w16cid:durableId="105973450">
    <w:abstractNumId w:val="20"/>
  </w:num>
  <w:num w:numId="23" w16cid:durableId="584537113">
    <w:abstractNumId w:val="10"/>
  </w:num>
  <w:num w:numId="24" w16cid:durableId="47847645">
    <w:abstractNumId w:val="52"/>
  </w:num>
  <w:num w:numId="25" w16cid:durableId="1151286502">
    <w:abstractNumId w:val="15"/>
  </w:num>
  <w:num w:numId="26" w16cid:durableId="1978870958">
    <w:abstractNumId w:val="36"/>
  </w:num>
  <w:num w:numId="27" w16cid:durableId="512426627">
    <w:abstractNumId w:val="72"/>
  </w:num>
  <w:num w:numId="28" w16cid:durableId="790634601">
    <w:abstractNumId w:val="0"/>
  </w:num>
  <w:num w:numId="29" w16cid:durableId="1479764866">
    <w:abstractNumId w:val="28"/>
  </w:num>
  <w:num w:numId="30" w16cid:durableId="1785423210">
    <w:abstractNumId w:val="50"/>
  </w:num>
  <w:num w:numId="31" w16cid:durableId="2094862583">
    <w:abstractNumId w:val="8"/>
  </w:num>
  <w:num w:numId="32" w16cid:durableId="1431465959">
    <w:abstractNumId w:val="34"/>
  </w:num>
  <w:num w:numId="33" w16cid:durableId="815074659">
    <w:abstractNumId w:val="39"/>
  </w:num>
  <w:num w:numId="34" w16cid:durableId="913514295">
    <w:abstractNumId w:val="27"/>
  </w:num>
  <w:num w:numId="35" w16cid:durableId="1062363391">
    <w:abstractNumId w:val="43"/>
  </w:num>
  <w:num w:numId="36" w16cid:durableId="1962572109">
    <w:abstractNumId w:val="54"/>
  </w:num>
  <w:num w:numId="37" w16cid:durableId="95683590">
    <w:abstractNumId w:val="12"/>
  </w:num>
  <w:num w:numId="38" w16cid:durableId="1875148642">
    <w:abstractNumId w:val="30"/>
  </w:num>
  <w:num w:numId="39" w16cid:durableId="171920551">
    <w:abstractNumId w:val="49"/>
  </w:num>
  <w:num w:numId="40" w16cid:durableId="1921525592">
    <w:abstractNumId w:val="18"/>
  </w:num>
  <w:num w:numId="41" w16cid:durableId="1233852144">
    <w:abstractNumId w:val="23"/>
  </w:num>
  <w:num w:numId="42" w16cid:durableId="340473119">
    <w:abstractNumId w:val="69"/>
  </w:num>
  <w:num w:numId="43" w16cid:durableId="1136264406">
    <w:abstractNumId w:val="32"/>
  </w:num>
  <w:num w:numId="44" w16cid:durableId="1592808924">
    <w:abstractNumId w:val="17"/>
  </w:num>
  <w:num w:numId="45" w16cid:durableId="88623906">
    <w:abstractNumId w:val="19"/>
  </w:num>
  <w:num w:numId="46" w16cid:durableId="1244757263">
    <w:abstractNumId w:val="59"/>
  </w:num>
  <w:num w:numId="47" w16cid:durableId="959454805">
    <w:abstractNumId w:val="63"/>
  </w:num>
  <w:num w:numId="48" w16cid:durableId="1561750134">
    <w:abstractNumId w:val="77"/>
  </w:num>
  <w:num w:numId="49" w16cid:durableId="1873423865">
    <w:abstractNumId w:val="4"/>
  </w:num>
  <w:num w:numId="50" w16cid:durableId="1909530379">
    <w:abstractNumId w:val="73"/>
  </w:num>
  <w:num w:numId="51" w16cid:durableId="1262568438">
    <w:abstractNumId w:val="51"/>
  </w:num>
  <w:num w:numId="52" w16cid:durableId="1877546176">
    <w:abstractNumId w:val="56"/>
  </w:num>
  <w:num w:numId="53" w16cid:durableId="1334063738">
    <w:abstractNumId w:val="41"/>
  </w:num>
  <w:num w:numId="54" w16cid:durableId="1602449816">
    <w:abstractNumId w:val="22"/>
  </w:num>
  <w:num w:numId="55" w16cid:durableId="1695572990">
    <w:abstractNumId w:val="5"/>
  </w:num>
  <w:num w:numId="56" w16cid:durableId="2011374333">
    <w:abstractNumId w:val="45"/>
  </w:num>
  <w:num w:numId="57" w16cid:durableId="1596552017">
    <w:abstractNumId w:val="67"/>
  </w:num>
  <w:num w:numId="58" w16cid:durableId="426777291">
    <w:abstractNumId w:val="78"/>
  </w:num>
  <w:num w:numId="59" w16cid:durableId="1412120596">
    <w:abstractNumId w:val="79"/>
  </w:num>
  <w:num w:numId="60" w16cid:durableId="1829321377">
    <w:abstractNumId w:val="71"/>
  </w:num>
  <w:num w:numId="61" w16cid:durableId="593898250">
    <w:abstractNumId w:val="61"/>
  </w:num>
  <w:num w:numId="62" w16cid:durableId="1617371720">
    <w:abstractNumId w:val="74"/>
  </w:num>
  <w:num w:numId="63" w16cid:durableId="186020410">
    <w:abstractNumId w:val="62"/>
  </w:num>
  <w:num w:numId="64" w16cid:durableId="1930892317">
    <w:abstractNumId w:val="48"/>
  </w:num>
  <w:num w:numId="65" w16cid:durableId="1767116378">
    <w:abstractNumId w:val="21"/>
  </w:num>
  <w:num w:numId="66" w16cid:durableId="1438523867">
    <w:abstractNumId w:val="7"/>
  </w:num>
  <w:num w:numId="67" w16cid:durableId="830827369">
    <w:abstractNumId w:val="46"/>
  </w:num>
  <w:num w:numId="68" w16cid:durableId="985861667">
    <w:abstractNumId w:val="70"/>
  </w:num>
  <w:num w:numId="69" w16cid:durableId="590089010">
    <w:abstractNumId w:val="37"/>
  </w:num>
  <w:num w:numId="70" w16cid:durableId="1350525253">
    <w:abstractNumId w:val="42"/>
  </w:num>
  <w:num w:numId="71" w16cid:durableId="1559394853">
    <w:abstractNumId w:val="25"/>
  </w:num>
  <w:num w:numId="72" w16cid:durableId="721906103">
    <w:abstractNumId w:val="47"/>
  </w:num>
  <w:num w:numId="73" w16cid:durableId="902908124">
    <w:abstractNumId w:val="6"/>
  </w:num>
  <w:num w:numId="74" w16cid:durableId="1353191329">
    <w:abstractNumId w:val="9"/>
  </w:num>
  <w:num w:numId="75" w16cid:durableId="1644579874">
    <w:abstractNumId w:val="76"/>
  </w:num>
  <w:num w:numId="76" w16cid:durableId="70204195">
    <w:abstractNumId w:val="64"/>
  </w:num>
  <w:num w:numId="77" w16cid:durableId="842627273">
    <w:abstractNumId w:val="13"/>
  </w:num>
  <w:num w:numId="78" w16cid:durableId="1883248764">
    <w:abstractNumId w:val="66"/>
  </w:num>
  <w:num w:numId="79" w16cid:durableId="584070897">
    <w:abstractNumId w:val="75"/>
  </w:num>
  <w:num w:numId="80" w16cid:durableId="1737435448">
    <w:abstractNumId w:val="6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wtDQyMTE2NjM1tDBX0lEKTi0uzszPAykwqgUAUr42uSwAAAA="/>
  </w:docVars>
  <w:rsids>
    <w:rsidRoot w:val="009C316D"/>
    <w:rsid w:val="0000061A"/>
    <w:rsid w:val="00000A6B"/>
    <w:rsid w:val="00000EA4"/>
    <w:rsid w:val="0000195F"/>
    <w:rsid w:val="00002300"/>
    <w:rsid w:val="000023A2"/>
    <w:rsid w:val="00002C7C"/>
    <w:rsid w:val="000034B1"/>
    <w:rsid w:val="000036C4"/>
    <w:rsid w:val="000038BE"/>
    <w:rsid w:val="00003FAA"/>
    <w:rsid w:val="0000400B"/>
    <w:rsid w:val="00004D30"/>
    <w:rsid w:val="000056FC"/>
    <w:rsid w:val="000059DA"/>
    <w:rsid w:val="00005AC9"/>
    <w:rsid w:val="00005D26"/>
    <w:rsid w:val="00005E31"/>
    <w:rsid w:val="000061E7"/>
    <w:rsid w:val="00006ACD"/>
    <w:rsid w:val="00007991"/>
    <w:rsid w:val="00010178"/>
    <w:rsid w:val="00010371"/>
    <w:rsid w:val="000105EA"/>
    <w:rsid w:val="000106EF"/>
    <w:rsid w:val="00010FA7"/>
    <w:rsid w:val="000117DB"/>
    <w:rsid w:val="00011C50"/>
    <w:rsid w:val="00012597"/>
    <w:rsid w:val="00012AAF"/>
    <w:rsid w:val="00012D72"/>
    <w:rsid w:val="000131A1"/>
    <w:rsid w:val="00013444"/>
    <w:rsid w:val="000135FD"/>
    <w:rsid w:val="00013CBD"/>
    <w:rsid w:val="00013D7E"/>
    <w:rsid w:val="00014809"/>
    <w:rsid w:val="00014AB4"/>
    <w:rsid w:val="00014BC7"/>
    <w:rsid w:val="000155A8"/>
    <w:rsid w:val="0001563A"/>
    <w:rsid w:val="00015CD2"/>
    <w:rsid w:val="0001611B"/>
    <w:rsid w:val="000164AF"/>
    <w:rsid w:val="0001666F"/>
    <w:rsid w:val="00016ACF"/>
    <w:rsid w:val="00016D3B"/>
    <w:rsid w:val="000170A6"/>
    <w:rsid w:val="000174A7"/>
    <w:rsid w:val="00017BC5"/>
    <w:rsid w:val="00017CDB"/>
    <w:rsid w:val="0002052E"/>
    <w:rsid w:val="00020867"/>
    <w:rsid w:val="000208A3"/>
    <w:rsid w:val="000212C0"/>
    <w:rsid w:val="000215E2"/>
    <w:rsid w:val="000222DC"/>
    <w:rsid w:val="0002244F"/>
    <w:rsid w:val="0002296E"/>
    <w:rsid w:val="00022E5D"/>
    <w:rsid w:val="00023603"/>
    <w:rsid w:val="00023EE1"/>
    <w:rsid w:val="00023F50"/>
    <w:rsid w:val="000243EB"/>
    <w:rsid w:val="000249EE"/>
    <w:rsid w:val="00024E96"/>
    <w:rsid w:val="000251B1"/>
    <w:rsid w:val="00025443"/>
    <w:rsid w:val="0002586E"/>
    <w:rsid w:val="000259A5"/>
    <w:rsid w:val="00026AA5"/>
    <w:rsid w:val="000305EE"/>
    <w:rsid w:val="00031BB0"/>
    <w:rsid w:val="00031CE5"/>
    <w:rsid w:val="00032D51"/>
    <w:rsid w:val="00032F93"/>
    <w:rsid w:val="00033161"/>
    <w:rsid w:val="0003397F"/>
    <w:rsid w:val="00033B87"/>
    <w:rsid w:val="00033B99"/>
    <w:rsid w:val="00034C26"/>
    <w:rsid w:val="0003568C"/>
    <w:rsid w:val="000358EE"/>
    <w:rsid w:val="00035EC4"/>
    <w:rsid w:val="000362B7"/>
    <w:rsid w:val="00036377"/>
    <w:rsid w:val="00036867"/>
    <w:rsid w:val="00036CB9"/>
    <w:rsid w:val="00040566"/>
    <w:rsid w:val="00040852"/>
    <w:rsid w:val="000417EC"/>
    <w:rsid w:val="00042099"/>
    <w:rsid w:val="000420FA"/>
    <w:rsid w:val="0004238F"/>
    <w:rsid w:val="00042B87"/>
    <w:rsid w:val="0004332B"/>
    <w:rsid w:val="000433C6"/>
    <w:rsid w:val="00044830"/>
    <w:rsid w:val="000456E8"/>
    <w:rsid w:val="00045F38"/>
    <w:rsid w:val="00046822"/>
    <w:rsid w:val="000507CD"/>
    <w:rsid w:val="000511F5"/>
    <w:rsid w:val="000528BB"/>
    <w:rsid w:val="00052C67"/>
    <w:rsid w:val="00052C7D"/>
    <w:rsid w:val="00053503"/>
    <w:rsid w:val="0005371C"/>
    <w:rsid w:val="00053CE9"/>
    <w:rsid w:val="0005567C"/>
    <w:rsid w:val="00055ECB"/>
    <w:rsid w:val="00056294"/>
    <w:rsid w:val="000566A8"/>
    <w:rsid w:val="00056B0B"/>
    <w:rsid w:val="00060D90"/>
    <w:rsid w:val="000611AD"/>
    <w:rsid w:val="00061AFD"/>
    <w:rsid w:val="00062582"/>
    <w:rsid w:val="00062BBB"/>
    <w:rsid w:val="00064430"/>
    <w:rsid w:val="00064EA4"/>
    <w:rsid w:val="0006501C"/>
    <w:rsid w:val="000662D9"/>
    <w:rsid w:val="00066D9D"/>
    <w:rsid w:val="00066E03"/>
    <w:rsid w:val="00066FE8"/>
    <w:rsid w:val="000673B7"/>
    <w:rsid w:val="0006747D"/>
    <w:rsid w:val="0006C1B6"/>
    <w:rsid w:val="00070588"/>
    <w:rsid w:val="00072101"/>
    <w:rsid w:val="00072379"/>
    <w:rsid w:val="000739BC"/>
    <w:rsid w:val="00073B7A"/>
    <w:rsid w:val="00073DEE"/>
    <w:rsid w:val="00074166"/>
    <w:rsid w:val="00074855"/>
    <w:rsid w:val="00075E62"/>
    <w:rsid w:val="00076486"/>
    <w:rsid w:val="000768B3"/>
    <w:rsid w:val="00076A72"/>
    <w:rsid w:val="000774BB"/>
    <w:rsid w:val="00082A8D"/>
    <w:rsid w:val="000831D9"/>
    <w:rsid w:val="00083D14"/>
    <w:rsid w:val="00084072"/>
    <w:rsid w:val="00084114"/>
    <w:rsid w:val="00084210"/>
    <w:rsid w:val="000847C3"/>
    <w:rsid w:val="000855AD"/>
    <w:rsid w:val="00085932"/>
    <w:rsid w:val="000864F5"/>
    <w:rsid w:val="000864FE"/>
    <w:rsid w:val="00087A69"/>
    <w:rsid w:val="000909B0"/>
    <w:rsid w:val="000915CA"/>
    <w:rsid w:val="00091DED"/>
    <w:rsid w:val="000933FD"/>
    <w:rsid w:val="00094290"/>
    <w:rsid w:val="00094810"/>
    <w:rsid w:val="00094EFC"/>
    <w:rsid w:val="0009561B"/>
    <w:rsid w:val="00096043"/>
    <w:rsid w:val="00096525"/>
    <w:rsid w:val="00096917"/>
    <w:rsid w:val="00096C94"/>
    <w:rsid w:val="00097751"/>
    <w:rsid w:val="000979FC"/>
    <w:rsid w:val="00097DE1"/>
    <w:rsid w:val="000A101E"/>
    <w:rsid w:val="000A1A65"/>
    <w:rsid w:val="000A22CF"/>
    <w:rsid w:val="000A22FA"/>
    <w:rsid w:val="000A31DB"/>
    <w:rsid w:val="000A3532"/>
    <w:rsid w:val="000A49E5"/>
    <w:rsid w:val="000A4ACB"/>
    <w:rsid w:val="000A4FC8"/>
    <w:rsid w:val="000A50FA"/>
    <w:rsid w:val="000A60DA"/>
    <w:rsid w:val="000A6278"/>
    <w:rsid w:val="000A6E7D"/>
    <w:rsid w:val="000B0164"/>
    <w:rsid w:val="000B0418"/>
    <w:rsid w:val="000B048E"/>
    <w:rsid w:val="000B0841"/>
    <w:rsid w:val="000B0AFD"/>
    <w:rsid w:val="000B0E62"/>
    <w:rsid w:val="000B0F47"/>
    <w:rsid w:val="000B1D1E"/>
    <w:rsid w:val="000B2F83"/>
    <w:rsid w:val="000B397C"/>
    <w:rsid w:val="000B3EF3"/>
    <w:rsid w:val="000B4557"/>
    <w:rsid w:val="000B5C33"/>
    <w:rsid w:val="000B5F0C"/>
    <w:rsid w:val="000B5F34"/>
    <w:rsid w:val="000B5FF4"/>
    <w:rsid w:val="000B60EA"/>
    <w:rsid w:val="000B6290"/>
    <w:rsid w:val="000B661E"/>
    <w:rsid w:val="000B70A7"/>
    <w:rsid w:val="000B71D0"/>
    <w:rsid w:val="000B72C1"/>
    <w:rsid w:val="000B77FB"/>
    <w:rsid w:val="000C032B"/>
    <w:rsid w:val="000C101C"/>
    <w:rsid w:val="000C1A4F"/>
    <w:rsid w:val="000C1E43"/>
    <w:rsid w:val="000C2D0E"/>
    <w:rsid w:val="000C2F85"/>
    <w:rsid w:val="000C3C3F"/>
    <w:rsid w:val="000C4517"/>
    <w:rsid w:val="000C5D51"/>
    <w:rsid w:val="000C6387"/>
    <w:rsid w:val="000C76B2"/>
    <w:rsid w:val="000D00E4"/>
    <w:rsid w:val="000D0CAD"/>
    <w:rsid w:val="000D109C"/>
    <w:rsid w:val="000D1354"/>
    <w:rsid w:val="000D154D"/>
    <w:rsid w:val="000D164B"/>
    <w:rsid w:val="000D2067"/>
    <w:rsid w:val="000D26EB"/>
    <w:rsid w:val="000D26FB"/>
    <w:rsid w:val="000D4A72"/>
    <w:rsid w:val="000D4DA6"/>
    <w:rsid w:val="000D57AF"/>
    <w:rsid w:val="000D5DE8"/>
    <w:rsid w:val="000D6A1A"/>
    <w:rsid w:val="000D72AD"/>
    <w:rsid w:val="000D784E"/>
    <w:rsid w:val="000E0561"/>
    <w:rsid w:val="000E06D6"/>
    <w:rsid w:val="000E088D"/>
    <w:rsid w:val="000E09B4"/>
    <w:rsid w:val="000E100C"/>
    <w:rsid w:val="000E169A"/>
    <w:rsid w:val="000E2712"/>
    <w:rsid w:val="000E2729"/>
    <w:rsid w:val="000E283C"/>
    <w:rsid w:val="000E329E"/>
    <w:rsid w:val="000E3683"/>
    <w:rsid w:val="000E50D6"/>
    <w:rsid w:val="000E52E5"/>
    <w:rsid w:val="000E6967"/>
    <w:rsid w:val="000E7888"/>
    <w:rsid w:val="000E7922"/>
    <w:rsid w:val="000E7E4D"/>
    <w:rsid w:val="000F001E"/>
    <w:rsid w:val="000F03CD"/>
    <w:rsid w:val="000F2093"/>
    <w:rsid w:val="000F2198"/>
    <w:rsid w:val="000F2291"/>
    <w:rsid w:val="000F22C8"/>
    <w:rsid w:val="000F2824"/>
    <w:rsid w:val="000F3FEE"/>
    <w:rsid w:val="000F4301"/>
    <w:rsid w:val="000F4360"/>
    <w:rsid w:val="000F5115"/>
    <w:rsid w:val="000F7DC9"/>
    <w:rsid w:val="0010017D"/>
    <w:rsid w:val="00100CD8"/>
    <w:rsid w:val="00100ED0"/>
    <w:rsid w:val="0010189C"/>
    <w:rsid w:val="00101955"/>
    <w:rsid w:val="001029FD"/>
    <w:rsid w:val="0010306E"/>
    <w:rsid w:val="001030F3"/>
    <w:rsid w:val="00103191"/>
    <w:rsid w:val="00103340"/>
    <w:rsid w:val="00103B29"/>
    <w:rsid w:val="00104309"/>
    <w:rsid w:val="001046B9"/>
    <w:rsid w:val="00105337"/>
    <w:rsid w:val="00110224"/>
    <w:rsid w:val="00110953"/>
    <w:rsid w:val="00110975"/>
    <w:rsid w:val="00110CC6"/>
    <w:rsid w:val="00110D3A"/>
    <w:rsid w:val="00110FD9"/>
    <w:rsid w:val="00112373"/>
    <w:rsid w:val="00112A62"/>
    <w:rsid w:val="00112CBB"/>
    <w:rsid w:val="00113D62"/>
    <w:rsid w:val="00113DE5"/>
    <w:rsid w:val="00113FEA"/>
    <w:rsid w:val="001143B6"/>
    <w:rsid w:val="00114A32"/>
    <w:rsid w:val="001164BB"/>
    <w:rsid w:val="0011652E"/>
    <w:rsid w:val="001169AD"/>
    <w:rsid w:val="00116CC8"/>
    <w:rsid w:val="00116D72"/>
    <w:rsid w:val="00117AD3"/>
    <w:rsid w:val="00117DD9"/>
    <w:rsid w:val="001207EB"/>
    <w:rsid w:val="00121A6A"/>
    <w:rsid w:val="00121D7E"/>
    <w:rsid w:val="00121E3D"/>
    <w:rsid w:val="001226B1"/>
    <w:rsid w:val="00122E98"/>
    <w:rsid w:val="00123E32"/>
    <w:rsid w:val="00124A5F"/>
    <w:rsid w:val="00124E2B"/>
    <w:rsid w:val="00125342"/>
    <w:rsid w:val="001259F6"/>
    <w:rsid w:val="00125D4B"/>
    <w:rsid w:val="00126724"/>
    <w:rsid w:val="001267D0"/>
    <w:rsid w:val="00126D9E"/>
    <w:rsid w:val="00127B87"/>
    <w:rsid w:val="00127F96"/>
    <w:rsid w:val="00130234"/>
    <w:rsid w:val="00130409"/>
    <w:rsid w:val="001307B7"/>
    <w:rsid w:val="001324D2"/>
    <w:rsid w:val="0013273C"/>
    <w:rsid w:val="00132746"/>
    <w:rsid w:val="00132E3A"/>
    <w:rsid w:val="00133EBD"/>
    <w:rsid w:val="00134114"/>
    <w:rsid w:val="00134929"/>
    <w:rsid w:val="0013560E"/>
    <w:rsid w:val="00135F6C"/>
    <w:rsid w:val="00137D11"/>
    <w:rsid w:val="00140057"/>
    <w:rsid w:val="00140537"/>
    <w:rsid w:val="0014219D"/>
    <w:rsid w:val="00142378"/>
    <w:rsid w:val="00142BE6"/>
    <w:rsid w:val="00142DE1"/>
    <w:rsid w:val="0014301B"/>
    <w:rsid w:val="00143E7B"/>
    <w:rsid w:val="00144A85"/>
    <w:rsid w:val="0014535A"/>
    <w:rsid w:val="0014565C"/>
    <w:rsid w:val="00147F21"/>
    <w:rsid w:val="0015020B"/>
    <w:rsid w:val="001506A6"/>
    <w:rsid w:val="0015082B"/>
    <w:rsid w:val="00151380"/>
    <w:rsid w:val="00151ADD"/>
    <w:rsid w:val="00151E4C"/>
    <w:rsid w:val="00151FE6"/>
    <w:rsid w:val="00151FF2"/>
    <w:rsid w:val="001521A9"/>
    <w:rsid w:val="001521D0"/>
    <w:rsid w:val="00153797"/>
    <w:rsid w:val="00153A3C"/>
    <w:rsid w:val="00153CB1"/>
    <w:rsid w:val="00155D66"/>
    <w:rsid w:val="001561C4"/>
    <w:rsid w:val="001563A4"/>
    <w:rsid w:val="0015731F"/>
    <w:rsid w:val="00157974"/>
    <w:rsid w:val="00160260"/>
    <w:rsid w:val="00162CE0"/>
    <w:rsid w:val="0016361B"/>
    <w:rsid w:val="00163BAE"/>
    <w:rsid w:val="00163D41"/>
    <w:rsid w:val="00164508"/>
    <w:rsid w:val="0016530D"/>
    <w:rsid w:val="001661AC"/>
    <w:rsid w:val="001665A5"/>
    <w:rsid w:val="00166628"/>
    <w:rsid w:val="00167801"/>
    <w:rsid w:val="00167CC6"/>
    <w:rsid w:val="00167EED"/>
    <w:rsid w:val="001700A9"/>
    <w:rsid w:val="00170A3B"/>
    <w:rsid w:val="00170BC4"/>
    <w:rsid w:val="001718A2"/>
    <w:rsid w:val="00171961"/>
    <w:rsid w:val="00171A53"/>
    <w:rsid w:val="00172D81"/>
    <w:rsid w:val="00172E43"/>
    <w:rsid w:val="00173238"/>
    <w:rsid w:val="00173545"/>
    <w:rsid w:val="0017384B"/>
    <w:rsid w:val="00173CAE"/>
    <w:rsid w:val="001746F0"/>
    <w:rsid w:val="0017475E"/>
    <w:rsid w:val="0017532E"/>
    <w:rsid w:val="0017547C"/>
    <w:rsid w:val="0017552B"/>
    <w:rsid w:val="001763CA"/>
    <w:rsid w:val="00177413"/>
    <w:rsid w:val="001804A6"/>
    <w:rsid w:val="00180549"/>
    <w:rsid w:val="00180C7A"/>
    <w:rsid w:val="00181A72"/>
    <w:rsid w:val="00181A7D"/>
    <w:rsid w:val="0018238D"/>
    <w:rsid w:val="00182615"/>
    <w:rsid w:val="001827D9"/>
    <w:rsid w:val="0018417A"/>
    <w:rsid w:val="001860BA"/>
    <w:rsid w:val="001864B2"/>
    <w:rsid w:val="0018707D"/>
    <w:rsid w:val="00187464"/>
    <w:rsid w:val="0019053E"/>
    <w:rsid w:val="001905B6"/>
    <w:rsid w:val="00191701"/>
    <w:rsid w:val="001929F3"/>
    <w:rsid w:val="00192A44"/>
    <w:rsid w:val="00193718"/>
    <w:rsid w:val="00193ED5"/>
    <w:rsid w:val="0019409B"/>
    <w:rsid w:val="001940AC"/>
    <w:rsid w:val="00194667"/>
    <w:rsid w:val="00195270"/>
    <w:rsid w:val="00195853"/>
    <w:rsid w:val="00196500"/>
    <w:rsid w:val="00196A44"/>
    <w:rsid w:val="0019781E"/>
    <w:rsid w:val="00197DB8"/>
    <w:rsid w:val="00197F35"/>
    <w:rsid w:val="001A0072"/>
    <w:rsid w:val="001A0FEE"/>
    <w:rsid w:val="001A1C4F"/>
    <w:rsid w:val="001A229A"/>
    <w:rsid w:val="001A23A0"/>
    <w:rsid w:val="001A29EC"/>
    <w:rsid w:val="001A2B2C"/>
    <w:rsid w:val="001A2C66"/>
    <w:rsid w:val="001A2DE8"/>
    <w:rsid w:val="001A3225"/>
    <w:rsid w:val="001A3A30"/>
    <w:rsid w:val="001A3B93"/>
    <w:rsid w:val="001A43DD"/>
    <w:rsid w:val="001A4962"/>
    <w:rsid w:val="001A4980"/>
    <w:rsid w:val="001A49F0"/>
    <w:rsid w:val="001A4C2B"/>
    <w:rsid w:val="001A4E16"/>
    <w:rsid w:val="001A4F58"/>
    <w:rsid w:val="001A53E9"/>
    <w:rsid w:val="001A67B9"/>
    <w:rsid w:val="001A7BC5"/>
    <w:rsid w:val="001B0A33"/>
    <w:rsid w:val="001B0A7B"/>
    <w:rsid w:val="001B0B31"/>
    <w:rsid w:val="001B14C5"/>
    <w:rsid w:val="001B1910"/>
    <w:rsid w:val="001B1BAB"/>
    <w:rsid w:val="001B3B1F"/>
    <w:rsid w:val="001B408F"/>
    <w:rsid w:val="001B432B"/>
    <w:rsid w:val="001B439E"/>
    <w:rsid w:val="001B455E"/>
    <w:rsid w:val="001B48B6"/>
    <w:rsid w:val="001B672C"/>
    <w:rsid w:val="001C12AD"/>
    <w:rsid w:val="001C32AC"/>
    <w:rsid w:val="001C3E44"/>
    <w:rsid w:val="001C4574"/>
    <w:rsid w:val="001C4582"/>
    <w:rsid w:val="001C45DC"/>
    <w:rsid w:val="001C6399"/>
    <w:rsid w:val="001C71FF"/>
    <w:rsid w:val="001C760E"/>
    <w:rsid w:val="001C7D37"/>
    <w:rsid w:val="001C7D40"/>
    <w:rsid w:val="001D0A66"/>
    <w:rsid w:val="001D0A72"/>
    <w:rsid w:val="001D0C71"/>
    <w:rsid w:val="001D12AA"/>
    <w:rsid w:val="001D1872"/>
    <w:rsid w:val="001D2718"/>
    <w:rsid w:val="001D2CC1"/>
    <w:rsid w:val="001D302D"/>
    <w:rsid w:val="001D3F60"/>
    <w:rsid w:val="001D52F7"/>
    <w:rsid w:val="001D534B"/>
    <w:rsid w:val="001D58FB"/>
    <w:rsid w:val="001D69C9"/>
    <w:rsid w:val="001D6E6F"/>
    <w:rsid w:val="001D7464"/>
    <w:rsid w:val="001D7B2F"/>
    <w:rsid w:val="001E0359"/>
    <w:rsid w:val="001E0408"/>
    <w:rsid w:val="001E10A7"/>
    <w:rsid w:val="001E21A3"/>
    <w:rsid w:val="001E27D1"/>
    <w:rsid w:val="001E2E66"/>
    <w:rsid w:val="001E33D8"/>
    <w:rsid w:val="001E344F"/>
    <w:rsid w:val="001E3BA5"/>
    <w:rsid w:val="001E4561"/>
    <w:rsid w:val="001E4B5F"/>
    <w:rsid w:val="001E5288"/>
    <w:rsid w:val="001E59F7"/>
    <w:rsid w:val="001E66DA"/>
    <w:rsid w:val="001E6728"/>
    <w:rsid w:val="001E6B4B"/>
    <w:rsid w:val="001E6C5A"/>
    <w:rsid w:val="001E705C"/>
    <w:rsid w:val="001E7D51"/>
    <w:rsid w:val="001F09FA"/>
    <w:rsid w:val="001F0D2E"/>
    <w:rsid w:val="001F1066"/>
    <w:rsid w:val="001F10E4"/>
    <w:rsid w:val="001F14A8"/>
    <w:rsid w:val="001F1726"/>
    <w:rsid w:val="001F1B46"/>
    <w:rsid w:val="001F1E06"/>
    <w:rsid w:val="001F2F5E"/>
    <w:rsid w:val="001F3353"/>
    <w:rsid w:val="001F363F"/>
    <w:rsid w:val="001F3C86"/>
    <w:rsid w:val="001F3CCC"/>
    <w:rsid w:val="001F420F"/>
    <w:rsid w:val="001F55E8"/>
    <w:rsid w:val="001F6526"/>
    <w:rsid w:val="001F659A"/>
    <w:rsid w:val="001F69C3"/>
    <w:rsid w:val="001F717C"/>
    <w:rsid w:val="001F786C"/>
    <w:rsid w:val="00200FB0"/>
    <w:rsid w:val="00201BFB"/>
    <w:rsid w:val="00201EE0"/>
    <w:rsid w:val="0020211F"/>
    <w:rsid w:val="002023C3"/>
    <w:rsid w:val="00202DE3"/>
    <w:rsid w:val="00203233"/>
    <w:rsid w:val="00203608"/>
    <w:rsid w:val="002045AA"/>
    <w:rsid w:val="00204769"/>
    <w:rsid w:val="00205080"/>
    <w:rsid w:val="00206B48"/>
    <w:rsid w:val="00206B5D"/>
    <w:rsid w:val="00206C34"/>
    <w:rsid w:val="002075B4"/>
    <w:rsid w:val="002076B3"/>
    <w:rsid w:val="00210547"/>
    <w:rsid w:val="00210FF9"/>
    <w:rsid w:val="00211084"/>
    <w:rsid w:val="00211657"/>
    <w:rsid w:val="002142B3"/>
    <w:rsid w:val="002149A8"/>
    <w:rsid w:val="00214B9B"/>
    <w:rsid w:val="00214DCF"/>
    <w:rsid w:val="002150B3"/>
    <w:rsid w:val="00215618"/>
    <w:rsid w:val="002156D9"/>
    <w:rsid w:val="00215DA2"/>
    <w:rsid w:val="00215E27"/>
    <w:rsid w:val="0021636B"/>
    <w:rsid w:val="002169F1"/>
    <w:rsid w:val="00217651"/>
    <w:rsid w:val="00217946"/>
    <w:rsid w:val="0022054C"/>
    <w:rsid w:val="00220AFD"/>
    <w:rsid w:val="00220C1E"/>
    <w:rsid w:val="002218F1"/>
    <w:rsid w:val="00221A45"/>
    <w:rsid w:val="00221BBF"/>
    <w:rsid w:val="00222E3F"/>
    <w:rsid w:val="0022371E"/>
    <w:rsid w:val="00223B68"/>
    <w:rsid w:val="00223C5E"/>
    <w:rsid w:val="00224418"/>
    <w:rsid w:val="00224C11"/>
    <w:rsid w:val="002252C6"/>
    <w:rsid w:val="0022567F"/>
    <w:rsid w:val="00225C68"/>
    <w:rsid w:val="00225E5D"/>
    <w:rsid w:val="00225F10"/>
    <w:rsid w:val="00226561"/>
    <w:rsid w:val="00226CEB"/>
    <w:rsid w:val="0022702A"/>
    <w:rsid w:val="0022732E"/>
    <w:rsid w:val="00227373"/>
    <w:rsid w:val="002277ED"/>
    <w:rsid w:val="002278E1"/>
    <w:rsid w:val="00227A00"/>
    <w:rsid w:val="00227C6C"/>
    <w:rsid w:val="00230078"/>
    <w:rsid w:val="002302E9"/>
    <w:rsid w:val="00230C3C"/>
    <w:rsid w:val="00231A49"/>
    <w:rsid w:val="00231BA7"/>
    <w:rsid w:val="00231CAB"/>
    <w:rsid w:val="00231E2A"/>
    <w:rsid w:val="00232726"/>
    <w:rsid w:val="00232971"/>
    <w:rsid w:val="00232D24"/>
    <w:rsid w:val="002330A0"/>
    <w:rsid w:val="00233590"/>
    <w:rsid w:val="00234B83"/>
    <w:rsid w:val="00234C1F"/>
    <w:rsid w:val="0023569B"/>
    <w:rsid w:val="00235A1C"/>
    <w:rsid w:val="00235D78"/>
    <w:rsid w:val="00236059"/>
    <w:rsid w:val="00236225"/>
    <w:rsid w:val="0023644F"/>
    <w:rsid w:val="002368C7"/>
    <w:rsid w:val="00237185"/>
    <w:rsid w:val="0023783F"/>
    <w:rsid w:val="00237A3E"/>
    <w:rsid w:val="002404BC"/>
    <w:rsid w:val="00240BAD"/>
    <w:rsid w:val="00240CD8"/>
    <w:rsid w:val="00240E72"/>
    <w:rsid w:val="00241FE7"/>
    <w:rsid w:val="0024218D"/>
    <w:rsid w:val="00242263"/>
    <w:rsid w:val="002422DB"/>
    <w:rsid w:val="00242751"/>
    <w:rsid w:val="002427AD"/>
    <w:rsid w:val="00242BAD"/>
    <w:rsid w:val="00242C8F"/>
    <w:rsid w:val="002431F2"/>
    <w:rsid w:val="00243C2E"/>
    <w:rsid w:val="002443C9"/>
    <w:rsid w:val="0024520A"/>
    <w:rsid w:val="00245288"/>
    <w:rsid w:val="002459C8"/>
    <w:rsid w:val="002467BC"/>
    <w:rsid w:val="00246C39"/>
    <w:rsid w:val="00247A87"/>
    <w:rsid w:val="00247BA5"/>
    <w:rsid w:val="002500DF"/>
    <w:rsid w:val="00250368"/>
    <w:rsid w:val="002505ED"/>
    <w:rsid w:val="00250709"/>
    <w:rsid w:val="00250826"/>
    <w:rsid w:val="00250A9A"/>
    <w:rsid w:val="00250FA1"/>
    <w:rsid w:val="00251831"/>
    <w:rsid w:val="00251FF7"/>
    <w:rsid w:val="002529CE"/>
    <w:rsid w:val="002530E2"/>
    <w:rsid w:val="00253406"/>
    <w:rsid w:val="00253EE8"/>
    <w:rsid w:val="00255F68"/>
    <w:rsid w:val="002560DD"/>
    <w:rsid w:val="0025614F"/>
    <w:rsid w:val="002563D8"/>
    <w:rsid w:val="00256D43"/>
    <w:rsid w:val="002574DC"/>
    <w:rsid w:val="002603BE"/>
    <w:rsid w:val="0026151C"/>
    <w:rsid w:val="00261B49"/>
    <w:rsid w:val="0026205B"/>
    <w:rsid w:val="00262B65"/>
    <w:rsid w:val="00263688"/>
    <w:rsid w:val="0026370C"/>
    <w:rsid w:val="002647B8"/>
    <w:rsid w:val="00264F7C"/>
    <w:rsid w:val="00265187"/>
    <w:rsid w:val="00265926"/>
    <w:rsid w:val="0026620D"/>
    <w:rsid w:val="0026664F"/>
    <w:rsid w:val="00266673"/>
    <w:rsid w:val="00267385"/>
    <w:rsid w:val="002708C1"/>
    <w:rsid w:val="00272B61"/>
    <w:rsid w:val="00272F84"/>
    <w:rsid w:val="00273078"/>
    <w:rsid w:val="00273D95"/>
    <w:rsid w:val="00273E1A"/>
    <w:rsid w:val="00274164"/>
    <w:rsid w:val="00274D45"/>
    <w:rsid w:val="0027527E"/>
    <w:rsid w:val="00276881"/>
    <w:rsid w:val="002772AC"/>
    <w:rsid w:val="0028054D"/>
    <w:rsid w:val="00280664"/>
    <w:rsid w:val="0028159F"/>
    <w:rsid w:val="002820D5"/>
    <w:rsid w:val="0028251E"/>
    <w:rsid w:val="00283061"/>
    <w:rsid w:val="00283704"/>
    <w:rsid w:val="002839B3"/>
    <w:rsid w:val="00283D42"/>
    <w:rsid w:val="00283D98"/>
    <w:rsid w:val="00283F17"/>
    <w:rsid w:val="00284108"/>
    <w:rsid w:val="002857DC"/>
    <w:rsid w:val="0028614E"/>
    <w:rsid w:val="00286508"/>
    <w:rsid w:val="00286566"/>
    <w:rsid w:val="00286B07"/>
    <w:rsid w:val="00286D9D"/>
    <w:rsid w:val="0028725A"/>
    <w:rsid w:val="0028742F"/>
    <w:rsid w:val="00287DFD"/>
    <w:rsid w:val="002908C9"/>
    <w:rsid w:val="002908E0"/>
    <w:rsid w:val="00290FC9"/>
    <w:rsid w:val="00291A1F"/>
    <w:rsid w:val="00292919"/>
    <w:rsid w:val="002929E6"/>
    <w:rsid w:val="00292E8A"/>
    <w:rsid w:val="002932CF"/>
    <w:rsid w:val="00293DBC"/>
    <w:rsid w:val="002944F4"/>
    <w:rsid w:val="00294802"/>
    <w:rsid w:val="00294D80"/>
    <w:rsid w:val="002951EF"/>
    <w:rsid w:val="002952B7"/>
    <w:rsid w:val="00295419"/>
    <w:rsid w:val="0029555C"/>
    <w:rsid w:val="002958BA"/>
    <w:rsid w:val="00295BB9"/>
    <w:rsid w:val="00296601"/>
    <w:rsid w:val="00296924"/>
    <w:rsid w:val="00296CFD"/>
    <w:rsid w:val="002974AC"/>
    <w:rsid w:val="0029784D"/>
    <w:rsid w:val="002A01AA"/>
    <w:rsid w:val="002A0800"/>
    <w:rsid w:val="002A091C"/>
    <w:rsid w:val="002A0C91"/>
    <w:rsid w:val="002A18EC"/>
    <w:rsid w:val="002A2022"/>
    <w:rsid w:val="002A2076"/>
    <w:rsid w:val="002A242E"/>
    <w:rsid w:val="002A29B4"/>
    <w:rsid w:val="002A36D0"/>
    <w:rsid w:val="002A58B2"/>
    <w:rsid w:val="002A5B4D"/>
    <w:rsid w:val="002A5F99"/>
    <w:rsid w:val="002A6133"/>
    <w:rsid w:val="002A65E9"/>
    <w:rsid w:val="002A6D4A"/>
    <w:rsid w:val="002A7FEB"/>
    <w:rsid w:val="002B0368"/>
    <w:rsid w:val="002B0D45"/>
    <w:rsid w:val="002B140D"/>
    <w:rsid w:val="002B1440"/>
    <w:rsid w:val="002B188E"/>
    <w:rsid w:val="002B2696"/>
    <w:rsid w:val="002B288F"/>
    <w:rsid w:val="002B2D41"/>
    <w:rsid w:val="002B313B"/>
    <w:rsid w:val="002B3242"/>
    <w:rsid w:val="002B3F80"/>
    <w:rsid w:val="002B4AE9"/>
    <w:rsid w:val="002B5B35"/>
    <w:rsid w:val="002B62FE"/>
    <w:rsid w:val="002B6BB4"/>
    <w:rsid w:val="002B6E92"/>
    <w:rsid w:val="002B70C0"/>
    <w:rsid w:val="002B75C8"/>
    <w:rsid w:val="002C06CE"/>
    <w:rsid w:val="002C07AD"/>
    <w:rsid w:val="002C12F4"/>
    <w:rsid w:val="002C1924"/>
    <w:rsid w:val="002C1C06"/>
    <w:rsid w:val="002C20E9"/>
    <w:rsid w:val="002C2621"/>
    <w:rsid w:val="002C2702"/>
    <w:rsid w:val="002C2B51"/>
    <w:rsid w:val="002C2BA2"/>
    <w:rsid w:val="002C31B3"/>
    <w:rsid w:val="002C35B5"/>
    <w:rsid w:val="002C3EE9"/>
    <w:rsid w:val="002C40A3"/>
    <w:rsid w:val="002C4306"/>
    <w:rsid w:val="002C4548"/>
    <w:rsid w:val="002C456B"/>
    <w:rsid w:val="002C4AE5"/>
    <w:rsid w:val="002C5AFC"/>
    <w:rsid w:val="002C5F78"/>
    <w:rsid w:val="002C6669"/>
    <w:rsid w:val="002C7B04"/>
    <w:rsid w:val="002D06AF"/>
    <w:rsid w:val="002D0C5F"/>
    <w:rsid w:val="002D0C87"/>
    <w:rsid w:val="002D1E32"/>
    <w:rsid w:val="002D26E6"/>
    <w:rsid w:val="002D2FF7"/>
    <w:rsid w:val="002D30AC"/>
    <w:rsid w:val="002D3A92"/>
    <w:rsid w:val="002D40A8"/>
    <w:rsid w:val="002D4881"/>
    <w:rsid w:val="002D4A52"/>
    <w:rsid w:val="002D580F"/>
    <w:rsid w:val="002D5C35"/>
    <w:rsid w:val="002D5F7B"/>
    <w:rsid w:val="002D716B"/>
    <w:rsid w:val="002D741B"/>
    <w:rsid w:val="002D74EC"/>
    <w:rsid w:val="002E1416"/>
    <w:rsid w:val="002E2A14"/>
    <w:rsid w:val="002E2A3A"/>
    <w:rsid w:val="002E4671"/>
    <w:rsid w:val="002E471A"/>
    <w:rsid w:val="002E54B9"/>
    <w:rsid w:val="002E56EE"/>
    <w:rsid w:val="002E57C4"/>
    <w:rsid w:val="002E5F4C"/>
    <w:rsid w:val="002E60FD"/>
    <w:rsid w:val="002E62F4"/>
    <w:rsid w:val="002E7EF1"/>
    <w:rsid w:val="002F06AF"/>
    <w:rsid w:val="002F0B4C"/>
    <w:rsid w:val="002F0EE5"/>
    <w:rsid w:val="002F16C1"/>
    <w:rsid w:val="002F1EEF"/>
    <w:rsid w:val="002F28A2"/>
    <w:rsid w:val="002F38A7"/>
    <w:rsid w:val="002F4416"/>
    <w:rsid w:val="002F445D"/>
    <w:rsid w:val="002F4E05"/>
    <w:rsid w:val="002F5184"/>
    <w:rsid w:val="002F5B87"/>
    <w:rsid w:val="002F68C0"/>
    <w:rsid w:val="002F7F33"/>
    <w:rsid w:val="002F7FE1"/>
    <w:rsid w:val="00300293"/>
    <w:rsid w:val="003006C8"/>
    <w:rsid w:val="00300A99"/>
    <w:rsid w:val="003023F6"/>
    <w:rsid w:val="00302537"/>
    <w:rsid w:val="003027DF"/>
    <w:rsid w:val="003038FB"/>
    <w:rsid w:val="00303CDA"/>
    <w:rsid w:val="00304268"/>
    <w:rsid w:val="00304FF8"/>
    <w:rsid w:val="003059EC"/>
    <w:rsid w:val="003072FE"/>
    <w:rsid w:val="00307CD3"/>
    <w:rsid w:val="00307FEE"/>
    <w:rsid w:val="00310196"/>
    <w:rsid w:val="0031034B"/>
    <w:rsid w:val="00310484"/>
    <w:rsid w:val="003108BF"/>
    <w:rsid w:val="003108E0"/>
    <w:rsid w:val="00310CF2"/>
    <w:rsid w:val="00310FB0"/>
    <w:rsid w:val="00312DEA"/>
    <w:rsid w:val="0031392C"/>
    <w:rsid w:val="003144C2"/>
    <w:rsid w:val="003147A4"/>
    <w:rsid w:val="003150F0"/>
    <w:rsid w:val="003154CB"/>
    <w:rsid w:val="00315928"/>
    <w:rsid w:val="0031594C"/>
    <w:rsid w:val="00315A35"/>
    <w:rsid w:val="00316587"/>
    <w:rsid w:val="003168BF"/>
    <w:rsid w:val="00316A6C"/>
    <w:rsid w:val="003204CA"/>
    <w:rsid w:val="00320A0E"/>
    <w:rsid w:val="00321424"/>
    <w:rsid w:val="003219A5"/>
    <w:rsid w:val="00322210"/>
    <w:rsid w:val="00322349"/>
    <w:rsid w:val="00322680"/>
    <w:rsid w:val="00322AC1"/>
    <w:rsid w:val="003232C6"/>
    <w:rsid w:val="003242EF"/>
    <w:rsid w:val="00324778"/>
    <w:rsid w:val="00324BBC"/>
    <w:rsid w:val="00325676"/>
    <w:rsid w:val="00325E3C"/>
    <w:rsid w:val="00326B9A"/>
    <w:rsid w:val="00326C95"/>
    <w:rsid w:val="00326E68"/>
    <w:rsid w:val="00327A33"/>
    <w:rsid w:val="00327F1D"/>
    <w:rsid w:val="0033031E"/>
    <w:rsid w:val="003306D7"/>
    <w:rsid w:val="00330C27"/>
    <w:rsid w:val="00330F9C"/>
    <w:rsid w:val="0033138A"/>
    <w:rsid w:val="0033165D"/>
    <w:rsid w:val="00331765"/>
    <w:rsid w:val="00331BC1"/>
    <w:rsid w:val="00333710"/>
    <w:rsid w:val="003342E1"/>
    <w:rsid w:val="00334468"/>
    <w:rsid w:val="00334BAC"/>
    <w:rsid w:val="0033579F"/>
    <w:rsid w:val="00335DAE"/>
    <w:rsid w:val="00336000"/>
    <w:rsid w:val="00336223"/>
    <w:rsid w:val="00336A4D"/>
    <w:rsid w:val="00336BFC"/>
    <w:rsid w:val="00336D6A"/>
    <w:rsid w:val="003372B3"/>
    <w:rsid w:val="00337484"/>
    <w:rsid w:val="00337774"/>
    <w:rsid w:val="003379A7"/>
    <w:rsid w:val="00340BA1"/>
    <w:rsid w:val="0034249B"/>
    <w:rsid w:val="0034333D"/>
    <w:rsid w:val="00344638"/>
    <w:rsid w:val="00344D34"/>
    <w:rsid w:val="00344DC1"/>
    <w:rsid w:val="00345704"/>
    <w:rsid w:val="003467DC"/>
    <w:rsid w:val="00347A44"/>
    <w:rsid w:val="00347AFF"/>
    <w:rsid w:val="00350FFE"/>
    <w:rsid w:val="0035190C"/>
    <w:rsid w:val="003523FE"/>
    <w:rsid w:val="00352DD2"/>
    <w:rsid w:val="00353583"/>
    <w:rsid w:val="003541B0"/>
    <w:rsid w:val="00354EF4"/>
    <w:rsid w:val="0035532A"/>
    <w:rsid w:val="003558FB"/>
    <w:rsid w:val="003559F4"/>
    <w:rsid w:val="00356EE1"/>
    <w:rsid w:val="00357520"/>
    <w:rsid w:val="00357DEB"/>
    <w:rsid w:val="00360333"/>
    <w:rsid w:val="00360616"/>
    <w:rsid w:val="00361012"/>
    <w:rsid w:val="003611A6"/>
    <w:rsid w:val="003615C8"/>
    <w:rsid w:val="003619A4"/>
    <w:rsid w:val="003625A5"/>
    <w:rsid w:val="00362ABD"/>
    <w:rsid w:val="00363698"/>
    <w:rsid w:val="003636E1"/>
    <w:rsid w:val="00363856"/>
    <w:rsid w:val="00363E23"/>
    <w:rsid w:val="00364376"/>
    <w:rsid w:val="00364BE3"/>
    <w:rsid w:val="00364EDE"/>
    <w:rsid w:val="00365008"/>
    <w:rsid w:val="003650E4"/>
    <w:rsid w:val="00365431"/>
    <w:rsid w:val="0036580C"/>
    <w:rsid w:val="00366818"/>
    <w:rsid w:val="00367518"/>
    <w:rsid w:val="00370336"/>
    <w:rsid w:val="003708CB"/>
    <w:rsid w:val="00370B9D"/>
    <w:rsid w:val="00371B02"/>
    <w:rsid w:val="00371CA2"/>
    <w:rsid w:val="003722D6"/>
    <w:rsid w:val="003727DB"/>
    <w:rsid w:val="00373BDD"/>
    <w:rsid w:val="00374469"/>
    <w:rsid w:val="0037589A"/>
    <w:rsid w:val="00375D68"/>
    <w:rsid w:val="00376050"/>
    <w:rsid w:val="00376171"/>
    <w:rsid w:val="003766C3"/>
    <w:rsid w:val="00376867"/>
    <w:rsid w:val="00376DF8"/>
    <w:rsid w:val="00377278"/>
    <w:rsid w:val="0037750F"/>
    <w:rsid w:val="0037758A"/>
    <w:rsid w:val="00377809"/>
    <w:rsid w:val="00377A8D"/>
    <w:rsid w:val="00380077"/>
    <w:rsid w:val="00380513"/>
    <w:rsid w:val="00380C72"/>
    <w:rsid w:val="00381648"/>
    <w:rsid w:val="00381B13"/>
    <w:rsid w:val="00381FBE"/>
    <w:rsid w:val="00382C1C"/>
    <w:rsid w:val="00382F2C"/>
    <w:rsid w:val="00383BAB"/>
    <w:rsid w:val="00383DD3"/>
    <w:rsid w:val="00383DE9"/>
    <w:rsid w:val="00383E79"/>
    <w:rsid w:val="00383F73"/>
    <w:rsid w:val="00383FA6"/>
    <w:rsid w:val="00387037"/>
    <w:rsid w:val="003874A9"/>
    <w:rsid w:val="0038773C"/>
    <w:rsid w:val="00387FDD"/>
    <w:rsid w:val="00390298"/>
    <w:rsid w:val="003912F5"/>
    <w:rsid w:val="00391A03"/>
    <w:rsid w:val="003934C7"/>
    <w:rsid w:val="00393A37"/>
    <w:rsid w:val="00393E5F"/>
    <w:rsid w:val="00395596"/>
    <w:rsid w:val="00396350"/>
    <w:rsid w:val="0039664E"/>
    <w:rsid w:val="003969C3"/>
    <w:rsid w:val="00396C5B"/>
    <w:rsid w:val="0039763A"/>
    <w:rsid w:val="00397C48"/>
    <w:rsid w:val="00397EE9"/>
    <w:rsid w:val="003A0BAD"/>
    <w:rsid w:val="003A1C4F"/>
    <w:rsid w:val="003A2A00"/>
    <w:rsid w:val="003A3A10"/>
    <w:rsid w:val="003A3AC5"/>
    <w:rsid w:val="003A4353"/>
    <w:rsid w:val="003A4C73"/>
    <w:rsid w:val="003A4CE2"/>
    <w:rsid w:val="003A4DB1"/>
    <w:rsid w:val="003A59EF"/>
    <w:rsid w:val="003A5A4E"/>
    <w:rsid w:val="003A5CAD"/>
    <w:rsid w:val="003A6D1A"/>
    <w:rsid w:val="003A6F38"/>
    <w:rsid w:val="003A7611"/>
    <w:rsid w:val="003A7ADD"/>
    <w:rsid w:val="003B0251"/>
    <w:rsid w:val="003B0ADC"/>
    <w:rsid w:val="003B0C4A"/>
    <w:rsid w:val="003B0C91"/>
    <w:rsid w:val="003B119A"/>
    <w:rsid w:val="003B1373"/>
    <w:rsid w:val="003B331A"/>
    <w:rsid w:val="003B391F"/>
    <w:rsid w:val="003B3EA0"/>
    <w:rsid w:val="003B40D7"/>
    <w:rsid w:val="003B4DF1"/>
    <w:rsid w:val="003B4F96"/>
    <w:rsid w:val="003B5138"/>
    <w:rsid w:val="003B5143"/>
    <w:rsid w:val="003B528F"/>
    <w:rsid w:val="003B57DB"/>
    <w:rsid w:val="003B5EDF"/>
    <w:rsid w:val="003B5FE3"/>
    <w:rsid w:val="003B5FEA"/>
    <w:rsid w:val="003B6CCD"/>
    <w:rsid w:val="003B6FD5"/>
    <w:rsid w:val="003B7100"/>
    <w:rsid w:val="003B7586"/>
    <w:rsid w:val="003B7861"/>
    <w:rsid w:val="003C1AC0"/>
    <w:rsid w:val="003C1F9E"/>
    <w:rsid w:val="003C22D1"/>
    <w:rsid w:val="003C2404"/>
    <w:rsid w:val="003C2ECF"/>
    <w:rsid w:val="003C3330"/>
    <w:rsid w:val="003C3341"/>
    <w:rsid w:val="003C3C10"/>
    <w:rsid w:val="003C4332"/>
    <w:rsid w:val="003C47DD"/>
    <w:rsid w:val="003C4C81"/>
    <w:rsid w:val="003C5162"/>
    <w:rsid w:val="003C529C"/>
    <w:rsid w:val="003C5776"/>
    <w:rsid w:val="003C64B3"/>
    <w:rsid w:val="003C6601"/>
    <w:rsid w:val="003C6AD8"/>
    <w:rsid w:val="003C6BE7"/>
    <w:rsid w:val="003C786E"/>
    <w:rsid w:val="003D0480"/>
    <w:rsid w:val="003D08CB"/>
    <w:rsid w:val="003D156E"/>
    <w:rsid w:val="003D17AE"/>
    <w:rsid w:val="003D1A71"/>
    <w:rsid w:val="003D1B3E"/>
    <w:rsid w:val="003D1FC5"/>
    <w:rsid w:val="003D21E3"/>
    <w:rsid w:val="003D23F0"/>
    <w:rsid w:val="003D2662"/>
    <w:rsid w:val="003D29DC"/>
    <w:rsid w:val="003D30CA"/>
    <w:rsid w:val="003D39DF"/>
    <w:rsid w:val="003D3BF2"/>
    <w:rsid w:val="003D4346"/>
    <w:rsid w:val="003D4662"/>
    <w:rsid w:val="003D4BC8"/>
    <w:rsid w:val="003D5370"/>
    <w:rsid w:val="003D5786"/>
    <w:rsid w:val="003D7E65"/>
    <w:rsid w:val="003E12A6"/>
    <w:rsid w:val="003E1C70"/>
    <w:rsid w:val="003E1EFF"/>
    <w:rsid w:val="003E20AA"/>
    <w:rsid w:val="003E2D00"/>
    <w:rsid w:val="003E315D"/>
    <w:rsid w:val="003E327A"/>
    <w:rsid w:val="003E33DD"/>
    <w:rsid w:val="003E37B5"/>
    <w:rsid w:val="003E4F9A"/>
    <w:rsid w:val="003E5007"/>
    <w:rsid w:val="003E5F7A"/>
    <w:rsid w:val="003E67A9"/>
    <w:rsid w:val="003E6D90"/>
    <w:rsid w:val="003E7100"/>
    <w:rsid w:val="003E7631"/>
    <w:rsid w:val="003E78B4"/>
    <w:rsid w:val="003E79A1"/>
    <w:rsid w:val="003F0113"/>
    <w:rsid w:val="003F0371"/>
    <w:rsid w:val="003F12F4"/>
    <w:rsid w:val="003F140C"/>
    <w:rsid w:val="003F1BE4"/>
    <w:rsid w:val="003F1C88"/>
    <w:rsid w:val="003F1E8C"/>
    <w:rsid w:val="003F24AC"/>
    <w:rsid w:val="003F25A4"/>
    <w:rsid w:val="003F2A22"/>
    <w:rsid w:val="003F2BFA"/>
    <w:rsid w:val="003F36B1"/>
    <w:rsid w:val="003F4232"/>
    <w:rsid w:val="003F4A5B"/>
    <w:rsid w:val="003F4D0D"/>
    <w:rsid w:val="003F54E5"/>
    <w:rsid w:val="003F594A"/>
    <w:rsid w:val="003F5C07"/>
    <w:rsid w:val="003F620F"/>
    <w:rsid w:val="003F62D6"/>
    <w:rsid w:val="003F683D"/>
    <w:rsid w:val="003F69EA"/>
    <w:rsid w:val="003F76C7"/>
    <w:rsid w:val="003F7896"/>
    <w:rsid w:val="00400A68"/>
    <w:rsid w:val="00400B1D"/>
    <w:rsid w:val="00400CA2"/>
    <w:rsid w:val="00401283"/>
    <w:rsid w:val="004012E4"/>
    <w:rsid w:val="00401CEF"/>
    <w:rsid w:val="00401CF7"/>
    <w:rsid w:val="00401EF8"/>
    <w:rsid w:val="00402168"/>
    <w:rsid w:val="004024FB"/>
    <w:rsid w:val="00402639"/>
    <w:rsid w:val="00403535"/>
    <w:rsid w:val="00403C38"/>
    <w:rsid w:val="00403DD9"/>
    <w:rsid w:val="00404DF7"/>
    <w:rsid w:val="00404F2A"/>
    <w:rsid w:val="00405C8F"/>
    <w:rsid w:val="00405E45"/>
    <w:rsid w:val="0040709D"/>
    <w:rsid w:val="00410033"/>
    <w:rsid w:val="004100FF"/>
    <w:rsid w:val="00411A41"/>
    <w:rsid w:val="004138C1"/>
    <w:rsid w:val="00414417"/>
    <w:rsid w:val="00414EBE"/>
    <w:rsid w:val="00415021"/>
    <w:rsid w:val="00415647"/>
    <w:rsid w:val="0041572C"/>
    <w:rsid w:val="0041596F"/>
    <w:rsid w:val="00415CA9"/>
    <w:rsid w:val="00416520"/>
    <w:rsid w:val="00416C6B"/>
    <w:rsid w:val="0042008E"/>
    <w:rsid w:val="004202C3"/>
    <w:rsid w:val="0042094C"/>
    <w:rsid w:val="00422608"/>
    <w:rsid w:val="00422A80"/>
    <w:rsid w:val="00422AA5"/>
    <w:rsid w:val="00422B38"/>
    <w:rsid w:val="00422C23"/>
    <w:rsid w:val="00423FBD"/>
    <w:rsid w:val="00424719"/>
    <w:rsid w:val="0042511A"/>
    <w:rsid w:val="0042538D"/>
    <w:rsid w:val="00425CBC"/>
    <w:rsid w:val="00426310"/>
    <w:rsid w:val="00426391"/>
    <w:rsid w:val="0042677F"/>
    <w:rsid w:val="00427560"/>
    <w:rsid w:val="004277E2"/>
    <w:rsid w:val="004278FD"/>
    <w:rsid w:val="004300F9"/>
    <w:rsid w:val="004305D1"/>
    <w:rsid w:val="0043124A"/>
    <w:rsid w:val="00431BF8"/>
    <w:rsid w:val="00431EF0"/>
    <w:rsid w:val="00432AFD"/>
    <w:rsid w:val="00432FDA"/>
    <w:rsid w:val="004331D1"/>
    <w:rsid w:val="0043393D"/>
    <w:rsid w:val="00433AA1"/>
    <w:rsid w:val="00433B11"/>
    <w:rsid w:val="0043445E"/>
    <w:rsid w:val="00434F91"/>
    <w:rsid w:val="00435A0A"/>
    <w:rsid w:val="00435BDE"/>
    <w:rsid w:val="00436B60"/>
    <w:rsid w:val="00437BDC"/>
    <w:rsid w:val="00437E54"/>
    <w:rsid w:val="0044034F"/>
    <w:rsid w:val="00440481"/>
    <w:rsid w:val="00440D0A"/>
    <w:rsid w:val="00440E73"/>
    <w:rsid w:val="004410A7"/>
    <w:rsid w:val="004424E1"/>
    <w:rsid w:val="00442A7A"/>
    <w:rsid w:val="00442EC2"/>
    <w:rsid w:val="00443426"/>
    <w:rsid w:val="00443463"/>
    <w:rsid w:val="00443933"/>
    <w:rsid w:val="004445C6"/>
    <w:rsid w:val="00444720"/>
    <w:rsid w:val="00444966"/>
    <w:rsid w:val="00444A54"/>
    <w:rsid w:val="00444D5A"/>
    <w:rsid w:val="00444EBB"/>
    <w:rsid w:val="0044502F"/>
    <w:rsid w:val="004468F5"/>
    <w:rsid w:val="0044701C"/>
    <w:rsid w:val="00451668"/>
    <w:rsid w:val="0045221E"/>
    <w:rsid w:val="0045381E"/>
    <w:rsid w:val="00453996"/>
    <w:rsid w:val="004539F7"/>
    <w:rsid w:val="00455609"/>
    <w:rsid w:val="00456256"/>
    <w:rsid w:val="00456B2D"/>
    <w:rsid w:val="00457ACC"/>
    <w:rsid w:val="0046000E"/>
    <w:rsid w:val="00460E6B"/>
    <w:rsid w:val="00460F31"/>
    <w:rsid w:val="004610E0"/>
    <w:rsid w:val="00461856"/>
    <w:rsid w:val="00461BC5"/>
    <w:rsid w:val="0046265E"/>
    <w:rsid w:val="00462C77"/>
    <w:rsid w:val="0046304E"/>
    <w:rsid w:val="00463147"/>
    <w:rsid w:val="004632D8"/>
    <w:rsid w:val="004639BA"/>
    <w:rsid w:val="00464AA7"/>
    <w:rsid w:val="00465249"/>
    <w:rsid w:val="0046612D"/>
    <w:rsid w:val="004666E0"/>
    <w:rsid w:val="00470A3A"/>
    <w:rsid w:val="00470EA7"/>
    <w:rsid w:val="004728CE"/>
    <w:rsid w:val="00474818"/>
    <w:rsid w:val="0047491E"/>
    <w:rsid w:val="0047550B"/>
    <w:rsid w:val="004758F7"/>
    <w:rsid w:val="00475AFD"/>
    <w:rsid w:val="0047654E"/>
    <w:rsid w:val="00477229"/>
    <w:rsid w:val="00477609"/>
    <w:rsid w:val="00477D1A"/>
    <w:rsid w:val="00477E37"/>
    <w:rsid w:val="00481274"/>
    <w:rsid w:val="00481367"/>
    <w:rsid w:val="00481677"/>
    <w:rsid w:val="004837EF"/>
    <w:rsid w:val="00483C60"/>
    <w:rsid w:val="0048415B"/>
    <w:rsid w:val="00484458"/>
    <w:rsid w:val="0048479C"/>
    <w:rsid w:val="00484E86"/>
    <w:rsid w:val="0048530D"/>
    <w:rsid w:val="00485DBF"/>
    <w:rsid w:val="00486367"/>
    <w:rsid w:val="00487005"/>
    <w:rsid w:val="00487240"/>
    <w:rsid w:val="004878E9"/>
    <w:rsid w:val="00487E4F"/>
    <w:rsid w:val="00490896"/>
    <w:rsid w:val="00490B84"/>
    <w:rsid w:val="00491515"/>
    <w:rsid w:val="00491822"/>
    <w:rsid w:val="00493E59"/>
    <w:rsid w:val="00494330"/>
    <w:rsid w:val="00494E2C"/>
    <w:rsid w:val="00495D85"/>
    <w:rsid w:val="00495DD7"/>
    <w:rsid w:val="00496730"/>
    <w:rsid w:val="0049688E"/>
    <w:rsid w:val="00496D83"/>
    <w:rsid w:val="00497750"/>
    <w:rsid w:val="00497A64"/>
    <w:rsid w:val="00497F91"/>
    <w:rsid w:val="00497FDA"/>
    <w:rsid w:val="004A05F7"/>
    <w:rsid w:val="004A0E0B"/>
    <w:rsid w:val="004A1033"/>
    <w:rsid w:val="004A1AC3"/>
    <w:rsid w:val="004A25F2"/>
    <w:rsid w:val="004A3996"/>
    <w:rsid w:val="004A4542"/>
    <w:rsid w:val="004A4555"/>
    <w:rsid w:val="004A5347"/>
    <w:rsid w:val="004A551F"/>
    <w:rsid w:val="004A559E"/>
    <w:rsid w:val="004A5E7A"/>
    <w:rsid w:val="004A67FE"/>
    <w:rsid w:val="004A7C05"/>
    <w:rsid w:val="004A7F01"/>
    <w:rsid w:val="004A7F6C"/>
    <w:rsid w:val="004B0273"/>
    <w:rsid w:val="004B15C6"/>
    <w:rsid w:val="004B1A7F"/>
    <w:rsid w:val="004B2CC4"/>
    <w:rsid w:val="004B2ED7"/>
    <w:rsid w:val="004B347B"/>
    <w:rsid w:val="004B3772"/>
    <w:rsid w:val="004B3B80"/>
    <w:rsid w:val="004B3C14"/>
    <w:rsid w:val="004B404B"/>
    <w:rsid w:val="004B4296"/>
    <w:rsid w:val="004B46E4"/>
    <w:rsid w:val="004B5A01"/>
    <w:rsid w:val="004B5ED1"/>
    <w:rsid w:val="004B6083"/>
    <w:rsid w:val="004B62FA"/>
    <w:rsid w:val="004B6474"/>
    <w:rsid w:val="004B65B6"/>
    <w:rsid w:val="004B687A"/>
    <w:rsid w:val="004C06D5"/>
    <w:rsid w:val="004C1870"/>
    <w:rsid w:val="004C2242"/>
    <w:rsid w:val="004C288C"/>
    <w:rsid w:val="004C350B"/>
    <w:rsid w:val="004C375A"/>
    <w:rsid w:val="004C3C31"/>
    <w:rsid w:val="004C44EE"/>
    <w:rsid w:val="004C44FE"/>
    <w:rsid w:val="004C492C"/>
    <w:rsid w:val="004C4C70"/>
    <w:rsid w:val="004C5802"/>
    <w:rsid w:val="004C59B9"/>
    <w:rsid w:val="004C5E86"/>
    <w:rsid w:val="004C61F5"/>
    <w:rsid w:val="004C74D3"/>
    <w:rsid w:val="004C76A5"/>
    <w:rsid w:val="004C78FF"/>
    <w:rsid w:val="004C7DF6"/>
    <w:rsid w:val="004D00F3"/>
    <w:rsid w:val="004D015C"/>
    <w:rsid w:val="004D11FF"/>
    <w:rsid w:val="004D2102"/>
    <w:rsid w:val="004D2188"/>
    <w:rsid w:val="004D21C4"/>
    <w:rsid w:val="004D2E4C"/>
    <w:rsid w:val="004D2F55"/>
    <w:rsid w:val="004D3360"/>
    <w:rsid w:val="004D3514"/>
    <w:rsid w:val="004D3619"/>
    <w:rsid w:val="004D3AEF"/>
    <w:rsid w:val="004D3C9D"/>
    <w:rsid w:val="004D47A1"/>
    <w:rsid w:val="004D4D15"/>
    <w:rsid w:val="004D5761"/>
    <w:rsid w:val="004D58D9"/>
    <w:rsid w:val="004D5FD7"/>
    <w:rsid w:val="004D6428"/>
    <w:rsid w:val="004D67B5"/>
    <w:rsid w:val="004D70AF"/>
    <w:rsid w:val="004D70C2"/>
    <w:rsid w:val="004D7267"/>
    <w:rsid w:val="004E03DA"/>
    <w:rsid w:val="004E0C4B"/>
    <w:rsid w:val="004E0EAA"/>
    <w:rsid w:val="004E1A9D"/>
    <w:rsid w:val="004E247B"/>
    <w:rsid w:val="004E37B7"/>
    <w:rsid w:val="004E3B62"/>
    <w:rsid w:val="004E4407"/>
    <w:rsid w:val="004E4644"/>
    <w:rsid w:val="004E4B19"/>
    <w:rsid w:val="004E50B1"/>
    <w:rsid w:val="004E5D1B"/>
    <w:rsid w:val="004E5E68"/>
    <w:rsid w:val="004E5E73"/>
    <w:rsid w:val="004E6045"/>
    <w:rsid w:val="004E6704"/>
    <w:rsid w:val="004E6D42"/>
    <w:rsid w:val="004E6E07"/>
    <w:rsid w:val="004E6F37"/>
    <w:rsid w:val="004E7C1C"/>
    <w:rsid w:val="004F0478"/>
    <w:rsid w:val="004F1E9A"/>
    <w:rsid w:val="004F6329"/>
    <w:rsid w:val="004F63A4"/>
    <w:rsid w:val="004F6541"/>
    <w:rsid w:val="004F6809"/>
    <w:rsid w:val="004F6DC3"/>
    <w:rsid w:val="004F7F87"/>
    <w:rsid w:val="00500CC2"/>
    <w:rsid w:val="00501997"/>
    <w:rsid w:val="005025D9"/>
    <w:rsid w:val="005026DB"/>
    <w:rsid w:val="005027BE"/>
    <w:rsid w:val="00502978"/>
    <w:rsid w:val="00503651"/>
    <w:rsid w:val="005047ED"/>
    <w:rsid w:val="00505437"/>
    <w:rsid w:val="00505A26"/>
    <w:rsid w:val="00506B32"/>
    <w:rsid w:val="0050712F"/>
    <w:rsid w:val="00507498"/>
    <w:rsid w:val="0050758A"/>
    <w:rsid w:val="00507751"/>
    <w:rsid w:val="005101EE"/>
    <w:rsid w:val="00510693"/>
    <w:rsid w:val="005107DC"/>
    <w:rsid w:val="0051098B"/>
    <w:rsid w:val="00510E3E"/>
    <w:rsid w:val="00511829"/>
    <w:rsid w:val="00511FF9"/>
    <w:rsid w:val="005129A9"/>
    <w:rsid w:val="005135EF"/>
    <w:rsid w:val="005139CC"/>
    <w:rsid w:val="00515095"/>
    <w:rsid w:val="0051656A"/>
    <w:rsid w:val="00516B31"/>
    <w:rsid w:val="00517BF3"/>
    <w:rsid w:val="00520261"/>
    <w:rsid w:val="00521CBA"/>
    <w:rsid w:val="00521CE1"/>
    <w:rsid w:val="00522739"/>
    <w:rsid w:val="00522798"/>
    <w:rsid w:val="0052298F"/>
    <w:rsid w:val="005249CC"/>
    <w:rsid w:val="00524AE5"/>
    <w:rsid w:val="00524FAD"/>
    <w:rsid w:val="00525776"/>
    <w:rsid w:val="005258D0"/>
    <w:rsid w:val="00525A06"/>
    <w:rsid w:val="00525B34"/>
    <w:rsid w:val="0052603A"/>
    <w:rsid w:val="005260F7"/>
    <w:rsid w:val="00526D4F"/>
    <w:rsid w:val="00526F82"/>
    <w:rsid w:val="0052706C"/>
    <w:rsid w:val="00527234"/>
    <w:rsid w:val="005278E0"/>
    <w:rsid w:val="00527CA4"/>
    <w:rsid w:val="00527E0C"/>
    <w:rsid w:val="0052C385"/>
    <w:rsid w:val="00530161"/>
    <w:rsid w:val="00530199"/>
    <w:rsid w:val="00530FC8"/>
    <w:rsid w:val="00531D73"/>
    <w:rsid w:val="005323A6"/>
    <w:rsid w:val="00532B0D"/>
    <w:rsid w:val="00532F5D"/>
    <w:rsid w:val="00533ED8"/>
    <w:rsid w:val="005342C6"/>
    <w:rsid w:val="00534F13"/>
    <w:rsid w:val="0053519F"/>
    <w:rsid w:val="005362BD"/>
    <w:rsid w:val="00536312"/>
    <w:rsid w:val="00536751"/>
    <w:rsid w:val="0053697F"/>
    <w:rsid w:val="00536A4D"/>
    <w:rsid w:val="00536ADF"/>
    <w:rsid w:val="00536BA7"/>
    <w:rsid w:val="0053769D"/>
    <w:rsid w:val="0054059D"/>
    <w:rsid w:val="005405FF"/>
    <w:rsid w:val="00541F8D"/>
    <w:rsid w:val="005421D4"/>
    <w:rsid w:val="00542C89"/>
    <w:rsid w:val="00543A1F"/>
    <w:rsid w:val="00543F11"/>
    <w:rsid w:val="00544B85"/>
    <w:rsid w:val="00544BE5"/>
    <w:rsid w:val="00544F94"/>
    <w:rsid w:val="00544FB2"/>
    <w:rsid w:val="00545B65"/>
    <w:rsid w:val="00547090"/>
    <w:rsid w:val="00547160"/>
    <w:rsid w:val="00547453"/>
    <w:rsid w:val="00547AD1"/>
    <w:rsid w:val="0055086D"/>
    <w:rsid w:val="005509F8"/>
    <w:rsid w:val="00550D9E"/>
    <w:rsid w:val="00550DB7"/>
    <w:rsid w:val="005510CD"/>
    <w:rsid w:val="0055151F"/>
    <w:rsid w:val="0055415F"/>
    <w:rsid w:val="005557A2"/>
    <w:rsid w:val="00555A55"/>
    <w:rsid w:val="00555D1E"/>
    <w:rsid w:val="005568C7"/>
    <w:rsid w:val="00556DCD"/>
    <w:rsid w:val="0055714A"/>
    <w:rsid w:val="00561A99"/>
    <w:rsid w:val="00561B9F"/>
    <w:rsid w:val="0056248D"/>
    <w:rsid w:val="0056258B"/>
    <w:rsid w:val="005625AA"/>
    <w:rsid w:val="00562F37"/>
    <w:rsid w:val="00563C1C"/>
    <w:rsid w:val="00565157"/>
    <w:rsid w:val="005652C6"/>
    <w:rsid w:val="005661EB"/>
    <w:rsid w:val="00566976"/>
    <w:rsid w:val="005672DC"/>
    <w:rsid w:val="00567663"/>
    <w:rsid w:val="005678D8"/>
    <w:rsid w:val="00570D61"/>
    <w:rsid w:val="00571000"/>
    <w:rsid w:val="00571577"/>
    <w:rsid w:val="0057243F"/>
    <w:rsid w:val="005724F9"/>
    <w:rsid w:val="00573CB6"/>
    <w:rsid w:val="00573D18"/>
    <w:rsid w:val="00573DDD"/>
    <w:rsid w:val="005744AF"/>
    <w:rsid w:val="00574ABC"/>
    <w:rsid w:val="005754D2"/>
    <w:rsid w:val="005758A9"/>
    <w:rsid w:val="00575BC9"/>
    <w:rsid w:val="00576803"/>
    <w:rsid w:val="0057772A"/>
    <w:rsid w:val="005778C1"/>
    <w:rsid w:val="00577955"/>
    <w:rsid w:val="00580984"/>
    <w:rsid w:val="00580A8E"/>
    <w:rsid w:val="00580FDE"/>
    <w:rsid w:val="00581820"/>
    <w:rsid w:val="005819B3"/>
    <w:rsid w:val="00582141"/>
    <w:rsid w:val="00582538"/>
    <w:rsid w:val="00582828"/>
    <w:rsid w:val="00582A41"/>
    <w:rsid w:val="00582A97"/>
    <w:rsid w:val="00584206"/>
    <w:rsid w:val="005843DB"/>
    <w:rsid w:val="005849B8"/>
    <w:rsid w:val="00584C72"/>
    <w:rsid w:val="00584E46"/>
    <w:rsid w:val="0058568A"/>
    <w:rsid w:val="00586023"/>
    <w:rsid w:val="0058616E"/>
    <w:rsid w:val="005867CF"/>
    <w:rsid w:val="0058744E"/>
    <w:rsid w:val="005900A3"/>
    <w:rsid w:val="00590BD6"/>
    <w:rsid w:val="005911DE"/>
    <w:rsid w:val="005916E1"/>
    <w:rsid w:val="00591B00"/>
    <w:rsid w:val="00591F09"/>
    <w:rsid w:val="00591F1F"/>
    <w:rsid w:val="00592548"/>
    <w:rsid w:val="0059274E"/>
    <w:rsid w:val="00592C81"/>
    <w:rsid w:val="005939A4"/>
    <w:rsid w:val="00593A7D"/>
    <w:rsid w:val="00595111"/>
    <w:rsid w:val="005955BD"/>
    <w:rsid w:val="00595CED"/>
    <w:rsid w:val="00597276"/>
    <w:rsid w:val="00597E85"/>
    <w:rsid w:val="005A01D8"/>
    <w:rsid w:val="005A0595"/>
    <w:rsid w:val="005A108C"/>
    <w:rsid w:val="005A12F5"/>
    <w:rsid w:val="005A1B5C"/>
    <w:rsid w:val="005A23D1"/>
    <w:rsid w:val="005A2902"/>
    <w:rsid w:val="005A355A"/>
    <w:rsid w:val="005A4976"/>
    <w:rsid w:val="005A4DDB"/>
    <w:rsid w:val="005A5C98"/>
    <w:rsid w:val="005A602A"/>
    <w:rsid w:val="005A6477"/>
    <w:rsid w:val="005A6FD3"/>
    <w:rsid w:val="005B103B"/>
    <w:rsid w:val="005B236D"/>
    <w:rsid w:val="005B248B"/>
    <w:rsid w:val="005B2610"/>
    <w:rsid w:val="005B46D0"/>
    <w:rsid w:val="005B4F29"/>
    <w:rsid w:val="005B5E99"/>
    <w:rsid w:val="005B60FC"/>
    <w:rsid w:val="005B676E"/>
    <w:rsid w:val="005B6E6F"/>
    <w:rsid w:val="005B76AB"/>
    <w:rsid w:val="005C0314"/>
    <w:rsid w:val="005C12DE"/>
    <w:rsid w:val="005C1406"/>
    <w:rsid w:val="005C17D1"/>
    <w:rsid w:val="005C376B"/>
    <w:rsid w:val="005C3897"/>
    <w:rsid w:val="005C3979"/>
    <w:rsid w:val="005C3E99"/>
    <w:rsid w:val="005C6214"/>
    <w:rsid w:val="005C732A"/>
    <w:rsid w:val="005D043D"/>
    <w:rsid w:val="005D2110"/>
    <w:rsid w:val="005D2D16"/>
    <w:rsid w:val="005D2D7C"/>
    <w:rsid w:val="005D30FE"/>
    <w:rsid w:val="005D35AF"/>
    <w:rsid w:val="005D3B90"/>
    <w:rsid w:val="005D3C25"/>
    <w:rsid w:val="005D3D0A"/>
    <w:rsid w:val="005D5160"/>
    <w:rsid w:val="005D5168"/>
    <w:rsid w:val="005D53A1"/>
    <w:rsid w:val="005D5851"/>
    <w:rsid w:val="005D69AB"/>
    <w:rsid w:val="005D6DBE"/>
    <w:rsid w:val="005D7B16"/>
    <w:rsid w:val="005D7C2E"/>
    <w:rsid w:val="005E03FA"/>
    <w:rsid w:val="005E0CFC"/>
    <w:rsid w:val="005E1248"/>
    <w:rsid w:val="005E1F05"/>
    <w:rsid w:val="005E2388"/>
    <w:rsid w:val="005E308C"/>
    <w:rsid w:val="005E3F09"/>
    <w:rsid w:val="005E3F23"/>
    <w:rsid w:val="005E4485"/>
    <w:rsid w:val="005E482E"/>
    <w:rsid w:val="005E4F09"/>
    <w:rsid w:val="005E55D0"/>
    <w:rsid w:val="005E5F1C"/>
    <w:rsid w:val="005E6743"/>
    <w:rsid w:val="005E6CF2"/>
    <w:rsid w:val="005F0340"/>
    <w:rsid w:val="005F064E"/>
    <w:rsid w:val="005F17AA"/>
    <w:rsid w:val="005F2937"/>
    <w:rsid w:val="005F2D10"/>
    <w:rsid w:val="005F3C67"/>
    <w:rsid w:val="005F4AC3"/>
    <w:rsid w:val="005F4BA9"/>
    <w:rsid w:val="005F5A63"/>
    <w:rsid w:val="005F60E7"/>
    <w:rsid w:val="005F6705"/>
    <w:rsid w:val="005F6B97"/>
    <w:rsid w:val="005F6EC3"/>
    <w:rsid w:val="005F750D"/>
    <w:rsid w:val="005F7AE9"/>
    <w:rsid w:val="005F7BCB"/>
    <w:rsid w:val="0060003D"/>
    <w:rsid w:val="00600063"/>
    <w:rsid w:val="00600228"/>
    <w:rsid w:val="00601672"/>
    <w:rsid w:val="00602AB9"/>
    <w:rsid w:val="006031B3"/>
    <w:rsid w:val="00603AC0"/>
    <w:rsid w:val="0060425F"/>
    <w:rsid w:val="00604980"/>
    <w:rsid w:val="00604B13"/>
    <w:rsid w:val="00604FB4"/>
    <w:rsid w:val="00605234"/>
    <w:rsid w:val="00605415"/>
    <w:rsid w:val="00605B27"/>
    <w:rsid w:val="00605F04"/>
    <w:rsid w:val="00607501"/>
    <w:rsid w:val="00610B15"/>
    <w:rsid w:val="006112FC"/>
    <w:rsid w:val="006116A7"/>
    <w:rsid w:val="0061295B"/>
    <w:rsid w:val="00614CFB"/>
    <w:rsid w:val="00614E70"/>
    <w:rsid w:val="006154FB"/>
    <w:rsid w:val="00615F5F"/>
    <w:rsid w:val="0061689C"/>
    <w:rsid w:val="00616D34"/>
    <w:rsid w:val="00617406"/>
    <w:rsid w:val="006178B8"/>
    <w:rsid w:val="006178C8"/>
    <w:rsid w:val="006205C9"/>
    <w:rsid w:val="0062154F"/>
    <w:rsid w:val="00622770"/>
    <w:rsid w:val="00622A8B"/>
    <w:rsid w:val="00622AE0"/>
    <w:rsid w:val="0062300F"/>
    <w:rsid w:val="00623909"/>
    <w:rsid w:val="00624588"/>
    <w:rsid w:val="00624B83"/>
    <w:rsid w:val="006267B3"/>
    <w:rsid w:val="00626CE3"/>
    <w:rsid w:val="00626FAA"/>
    <w:rsid w:val="006270FE"/>
    <w:rsid w:val="00627679"/>
    <w:rsid w:val="00627B52"/>
    <w:rsid w:val="0063034F"/>
    <w:rsid w:val="0063040A"/>
    <w:rsid w:val="00630B0C"/>
    <w:rsid w:val="00630FC5"/>
    <w:rsid w:val="00631978"/>
    <w:rsid w:val="0063218C"/>
    <w:rsid w:val="00632355"/>
    <w:rsid w:val="006335A6"/>
    <w:rsid w:val="00633D06"/>
    <w:rsid w:val="00633F85"/>
    <w:rsid w:val="00634418"/>
    <w:rsid w:val="006344DA"/>
    <w:rsid w:val="00634792"/>
    <w:rsid w:val="00634C30"/>
    <w:rsid w:val="00634DDF"/>
    <w:rsid w:val="00634E10"/>
    <w:rsid w:val="00635167"/>
    <w:rsid w:val="006352D6"/>
    <w:rsid w:val="00635E6D"/>
    <w:rsid w:val="00636CDF"/>
    <w:rsid w:val="0064017D"/>
    <w:rsid w:val="00640284"/>
    <w:rsid w:val="00640AD8"/>
    <w:rsid w:val="00640B7C"/>
    <w:rsid w:val="00641332"/>
    <w:rsid w:val="00642796"/>
    <w:rsid w:val="006428D2"/>
    <w:rsid w:val="00642C9C"/>
    <w:rsid w:val="00642DAF"/>
    <w:rsid w:val="00643266"/>
    <w:rsid w:val="00643322"/>
    <w:rsid w:val="00643BBE"/>
    <w:rsid w:val="00643D93"/>
    <w:rsid w:val="00643F5E"/>
    <w:rsid w:val="006446B2"/>
    <w:rsid w:val="00644ACA"/>
    <w:rsid w:val="00645B50"/>
    <w:rsid w:val="00645F95"/>
    <w:rsid w:val="00646867"/>
    <w:rsid w:val="00646C72"/>
    <w:rsid w:val="00650229"/>
    <w:rsid w:val="00650C7E"/>
    <w:rsid w:val="00651069"/>
    <w:rsid w:val="00651BF0"/>
    <w:rsid w:val="00651C17"/>
    <w:rsid w:val="0065208E"/>
    <w:rsid w:val="00652C7D"/>
    <w:rsid w:val="00652F14"/>
    <w:rsid w:val="00652FB9"/>
    <w:rsid w:val="006533ED"/>
    <w:rsid w:val="00653944"/>
    <w:rsid w:val="0065421B"/>
    <w:rsid w:val="00654BEA"/>
    <w:rsid w:val="00654BEE"/>
    <w:rsid w:val="00654E03"/>
    <w:rsid w:val="006554AD"/>
    <w:rsid w:val="0065618F"/>
    <w:rsid w:val="00656208"/>
    <w:rsid w:val="00656C2A"/>
    <w:rsid w:val="00656F0A"/>
    <w:rsid w:val="00657019"/>
    <w:rsid w:val="006572EF"/>
    <w:rsid w:val="00657869"/>
    <w:rsid w:val="006579A7"/>
    <w:rsid w:val="00657A5E"/>
    <w:rsid w:val="0066042A"/>
    <w:rsid w:val="00661165"/>
    <w:rsid w:val="0066130B"/>
    <w:rsid w:val="006613FB"/>
    <w:rsid w:val="00661652"/>
    <w:rsid w:val="0066233B"/>
    <w:rsid w:val="00662D5D"/>
    <w:rsid w:val="0066308A"/>
    <w:rsid w:val="00663DB2"/>
    <w:rsid w:val="00664391"/>
    <w:rsid w:val="00664AB2"/>
    <w:rsid w:val="0066548F"/>
    <w:rsid w:val="00665AE9"/>
    <w:rsid w:val="00667154"/>
    <w:rsid w:val="0066772F"/>
    <w:rsid w:val="00667737"/>
    <w:rsid w:val="00670449"/>
    <w:rsid w:val="0067125B"/>
    <w:rsid w:val="0067211C"/>
    <w:rsid w:val="00672712"/>
    <w:rsid w:val="00672D8B"/>
    <w:rsid w:val="00673F1B"/>
    <w:rsid w:val="006740AC"/>
    <w:rsid w:val="006746B8"/>
    <w:rsid w:val="006749B9"/>
    <w:rsid w:val="00674C79"/>
    <w:rsid w:val="0067561B"/>
    <w:rsid w:val="00675CB0"/>
    <w:rsid w:val="0067675F"/>
    <w:rsid w:val="00676AB1"/>
    <w:rsid w:val="00677BC6"/>
    <w:rsid w:val="0068027A"/>
    <w:rsid w:val="006807C3"/>
    <w:rsid w:val="006809D1"/>
    <w:rsid w:val="00680E3A"/>
    <w:rsid w:val="006826D3"/>
    <w:rsid w:val="00682823"/>
    <w:rsid w:val="00683D64"/>
    <w:rsid w:val="00683F9E"/>
    <w:rsid w:val="006841E4"/>
    <w:rsid w:val="00684608"/>
    <w:rsid w:val="00684756"/>
    <w:rsid w:val="00685B0E"/>
    <w:rsid w:val="00685DF9"/>
    <w:rsid w:val="00685F3D"/>
    <w:rsid w:val="0068677D"/>
    <w:rsid w:val="006867B1"/>
    <w:rsid w:val="00686CE0"/>
    <w:rsid w:val="00687053"/>
    <w:rsid w:val="00687353"/>
    <w:rsid w:val="006902BC"/>
    <w:rsid w:val="006904C0"/>
    <w:rsid w:val="00690E5A"/>
    <w:rsid w:val="0069200C"/>
    <w:rsid w:val="00692AE9"/>
    <w:rsid w:val="0069300E"/>
    <w:rsid w:val="006931B8"/>
    <w:rsid w:val="0069336B"/>
    <w:rsid w:val="00693543"/>
    <w:rsid w:val="006937BF"/>
    <w:rsid w:val="006948F3"/>
    <w:rsid w:val="0069524C"/>
    <w:rsid w:val="0069562F"/>
    <w:rsid w:val="00695C85"/>
    <w:rsid w:val="0069688A"/>
    <w:rsid w:val="006969B6"/>
    <w:rsid w:val="00696B1A"/>
    <w:rsid w:val="0069702A"/>
    <w:rsid w:val="006A0235"/>
    <w:rsid w:val="006A06D4"/>
    <w:rsid w:val="006A1417"/>
    <w:rsid w:val="006A1A7B"/>
    <w:rsid w:val="006A1BC1"/>
    <w:rsid w:val="006A2A23"/>
    <w:rsid w:val="006A2E80"/>
    <w:rsid w:val="006A2F3E"/>
    <w:rsid w:val="006A3352"/>
    <w:rsid w:val="006A3ABE"/>
    <w:rsid w:val="006A55D3"/>
    <w:rsid w:val="006A5782"/>
    <w:rsid w:val="006A59C2"/>
    <w:rsid w:val="006A5C8A"/>
    <w:rsid w:val="006A6399"/>
    <w:rsid w:val="006A65D0"/>
    <w:rsid w:val="006A69E1"/>
    <w:rsid w:val="006B0360"/>
    <w:rsid w:val="006B0A26"/>
    <w:rsid w:val="006B1C63"/>
    <w:rsid w:val="006B1EE4"/>
    <w:rsid w:val="006B20BC"/>
    <w:rsid w:val="006B22DD"/>
    <w:rsid w:val="006B25FC"/>
    <w:rsid w:val="006B2F30"/>
    <w:rsid w:val="006B31C2"/>
    <w:rsid w:val="006B360E"/>
    <w:rsid w:val="006B3729"/>
    <w:rsid w:val="006B3B43"/>
    <w:rsid w:val="006B515A"/>
    <w:rsid w:val="006B59D3"/>
    <w:rsid w:val="006B6501"/>
    <w:rsid w:val="006B6F9B"/>
    <w:rsid w:val="006B7A12"/>
    <w:rsid w:val="006B7B81"/>
    <w:rsid w:val="006C1D2D"/>
    <w:rsid w:val="006C2199"/>
    <w:rsid w:val="006C2652"/>
    <w:rsid w:val="006C29A0"/>
    <w:rsid w:val="006C30B9"/>
    <w:rsid w:val="006C3B4F"/>
    <w:rsid w:val="006C47AA"/>
    <w:rsid w:val="006C48AA"/>
    <w:rsid w:val="006C4977"/>
    <w:rsid w:val="006C5A08"/>
    <w:rsid w:val="006C6047"/>
    <w:rsid w:val="006C77AA"/>
    <w:rsid w:val="006C7B75"/>
    <w:rsid w:val="006D0CE3"/>
    <w:rsid w:val="006D0D6A"/>
    <w:rsid w:val="006D0F59"/>
    <w:rsid w:val="006D2B8C"/>
    <w:rsid w:val="006D3DB4"/>
    <w:rsid w:val="006D4246"/>
    <w:rsid w:val="006D4311"/>
    <w:rsid w:val="006D487A"/>
    <w:rsid w:val="006D5479"/>
    <w:rsid w:val="006D5877"/>
    <w:rsid w:val="006D5B48"/>
    <w:rsid w:val="006D5B80"/>
    <w:rsid w:val="006D652B"/>
    <w:rsid w:val="006D66C1"/>
    <w:rsid w:val="006D76E6"/>
    <w:rsid w:val="006E041E"/>
    <w:rsid w:val="006E0C4C"/>
    <w:rsid w:val="006E10C5"/>
    <w:rsid w:val="006E158D"/>
    <w:rsid w:val="006E18B0"/>
    <w:rsid w:val="006E1C6A"/>
    <w:rsid w:val="006E21C1"/>
    <w:rsid w:val="006E2379"/>
    <w:rsid w:val="006E277C"/>
    <w:rsid w:val="006E3162"/>
    <w:rsid w:val="006E3ABA"/>
    <w:rsid w:val="006E3DCE"/>
    <w:rsid w:val="006E4669"/>
    <w:rsid w:val="006E5576"/>
    <w:rsid w:val="006E59F8"/>
    <w:rsid w:val="006E6400"/>
    <w:rsid w:val="006E6802"/>
    <w:rsid w:val="006E695C"/>
    <w:rsid w:val="006E6FE3"/>
    <w:rsid w:val="006E732F"/>
    <w:rsid w:val="006E7340"/>
    <w:rsid w:val="006E7AB3"/>
    <w:rsid w:val="006E7FF8"/>
    <w:rsid w:val="006F0A4C"/>
    <w:rsid w:val="006F0E82"/>
    <w:rsid w:val="006F198F"/>
    <w:rsid w:val="006F230A"/>
    <w:rsid w:val="006F2880"/>
    <w:rsid w:val="006F34B7"/>
    <w:rsid w:val="006F384C"/>
    <w:rsid w:val="006F3A68"/>
    <w:rsid w:val="006F40DD"/>
    <w:rsid w:val="006F4238"/>
    <w:rsid w:val="006F478F"/>
    <w:rsid w:val="006F5D19"/>
    <w:rsid w:val="006F6295"/>
    <w:rsid w:val="006F6418"/>
    <w:rsid w:val="006F6498"/>
    <w:rsid w:val="006F6CDE"/>
    <w:rsid w:val="006F7EA4"/>
    <w:rsid w:val="0070075D"/>
    <w:rsid w:val="00700B1A"/>
    <w:rsid w:val="00700C81"/>
    <w:rsid w:val="00700E6A"/>
    <w:rsid w:val="0070115E"/>
    <w:rsid w:val="0070147F"/>
    <w:rsid w:val="00701D0D"/>
    <w:rsid w:val="007029DC"/>
    <w:rsid w:val="00702B03"/>
    <w:rsid w:val="00702BCD"/>
    <w:rsid w:val="00702EEF"/>
    <w:rsid w:val="00704931"/>
    <w:rsid w:val="00704BFA"/>
    <w:rsid w:val="00705361"/>
    <w:rsid w:val="007057CA"/>
    <w:rsid w:val="007063D2"/>
    <w:rsid w:val="007063F6"/>
    <w:rsid w:val="00706A4C"/>
    <w:rsid w:val="00707384"/>
    <w:rsid w:val="0070785E"/>
    <w:rsid w:val="00710174"/>
    <w:rsid w:val="00711199"/>
    <w:rsid w:val="00711A2D"/>
    <w:rsid w:val="00711D5C"/>
    <w:rsid w:val="00711ED6"/>
    <w:rsid w:val="0071206E"/>
    <w:rsid w:val="007123D9"/>
    <w:rsid w:val="007128CD"/>
    <w:rsid w:val="0071307F"/>
    <w:rsid w:val="00714031"/>
    <w:rsid w:val="00714BC5"/>
    <w:rsid w:val="0071505B"/>
    <w:rsid w:val="00716218"/>
    <w:rsid w:val="007164BB"/>
    <w:rsid w:val="00717324"/>
    <w:rsid w:val="007176E8"/>
    <w:rsid w:val="00717851"/>
    <w:rsid w:val="00720200"/>
    <w:rsid w:val="007202D6"/>
    <w:rsid w:val="00720506"/>
    <w:rsid w:val="0072094E"/>
    <w:rsid w:val="00721609"/>
    <w:rsid w:val="00721747"/>
    <w:rsid w:val="00721B39"/>
    <w:rsid w:val="0072343C"/>
    <w:rsid w:val="007238A2"/>
    <w:rsid w:val="00723B89"/>
    <w:rsid w:val="00723E48"/>
    <w:rsid w:val="007240E7"/>
    <w:rsid w:val="00724AF8"/>
    <w:rsid w:val="007256BF"/>
    <w:rsid w:val="00725762"/>
    <w:rsid w:val="00725EAE"/>
    <w:rsid w:val="007268E3"/>
    <w:rsid w:val="00726C5E"/>
    <w:rsid w:val="0072708A"/>
    <w:rsid w:val="00727CA4"/>
    <w:rsid w:val="0073098F"/>
    <w:rsid w:val="00730F26"/>
    <w:rsid w:val="00731379"/>
    <w:rsid w:val="007317D0"/>
    <w:rsid w:val="00731EA7"/>
    <w:rsid w:val="00732B3D"/>
    <w:rsid w:val="00732ED7"/>
    <w:rsid w:val="00733605"/>
    <w:rsid w:val="007338E3"/>
    <w:rsid w:val="00734128"/>
    <w:rsid w:val="00735574"/>
    <w:rsid w:val="00735F88"/>
    <w:rsid w:val="007362CB"/>
    <w:rsid w:val="00736571"/>
    <w:rsid w:val="00736B4F"/>
    <w:rsid w:val="00737C3A"/>
    <w:rsid w:val="00740907"/>
    <w:rsid w:val="00740DD6"/>
    <w:rsid w:val="00742364"/>
    <w:rsid w:val="007428AE"/>
    <w:rsid w:val="00742EBD"/>
    <w:rsid w:val="00743854"/>
    <w:rsid w:val="00743994"/>
    <w:rsid w:val="00743C66"/>
    <w:rsid w:val="00744372"/>
    <w:rsid w:val="007455CC"/>
    <w:rsid w:val="00745C1C"/>
    <w:rsid w:val="00745D46"/>
    <w:rsid w:val="00745E7B"/>
    <w:rsid w:val="0074636B"/>
    <w:rsid w:val="00746392"/>
    <w:rsid w:val="007466BE"/>
    <w:rsid w:val="00746C9C"/>
    <w:rsid w:val="007474EA"/>
    <w:rsid w:val="007475DA"/>
    <w:rsid w:val="0075015E"/>
    <w:rsid w:val="0075041A"/>
    <w:rsid w:val="0075041B"/>
    <w:rsid w:val="007508A7"/>
    <w:rsid w:val="00751356"/>
    <w:rsid w:val="00752847"/>
    <w:rsid w:val="00752864"/>
    <w:rsid w:val="0075294D"/>
    <w:rsid w:val="007531F2"/>
    <w:rsid w:val="00754282"/>
    <w:rsid w:val="007544D5"/>
    <w:rsid w:val="007547CF"/>
    <w:rsid w:val="0075498A"/>
    <w:rsid w:val="00754BA3"/>
    <w:rsid w:val="00754E4E"/>
    <w:rsid w:val="007574FB"/>
    <w:rsid w:val="00757598"/>
    <w:rsid w:val="007605C9"/>
    <w:rsid w:val="00760ECA"/>
    <w:rsid w:val="00762111"/>
    <w:rsid w:val="007626CB"/>
    <w:rsid w:val="00762C3A"/>
    <w:rsid w:val="00762E7E"/>
    <w:rsid w:val="0076341E"/>
    <w:rsid w:val="007636BC"/>
    <w:rsid w:val="00764094"/>
    <w:rsid w:val="007650F9"/>
    <w:rsid w:val="007661C0"/>
    <w:rsid w:val="0076674A"/>
    <w:rsid w:val="00766E03"/>
    <w:rsid w:val="007671F8"/>
    <w:rsid w:val="0076752A"/>
    <w:rsid w:val="00767882"/>
    <w:rsid w:val="00767B8A"/>
    <w:rsid w:val="00767C18"/>
    <w:rsid w:val="00767C93"/>
    <w:rsid w:val="00767D8B"/>
    <w:rsid w:val="00767EF6"/>
    <w:rsid w:val="0077024B"/>
    <w:rsid w:val="007702D6"/>
    <w:rsid w:val="00770399"/>
    <w:rsid w:val="00771236"/>
    <w:rsid w:val="007722A8"/>
    <w:rsid w:val="00772AE4"/>
    <w:rsid w:val="00773570"/>
    <w:rsid w:val="007739EB"/>
    <w:rsid w:val="00774009"/>
    <w:rsid w:val="00774438"/>
    <w:rsid w:val="0077488F"/>
    <w:rsid w:val="00774F60"/>
    <w:rsid w:val="007754B8"/>
    <w:rsid w:val="00776AE8"/>
    <w:rsid w:val="007775E3"/>
    <w:rsid w:val="00777B2A"/>
    <w:rsid w:val="00780B19"/>
    <w:rsid w:val="007817CB"/>
    <w:rsid w:val="00782B1C"/>
    <w:rsid w:val="00782DFD"/>
    <w:rsid w:val="00782E74"/>
    <w:rsid w:val="00783692"/>
    <w:rsid w:val="0078441D"/>
    <w:rsid w:val="00784461"/>
    <w:rsid w:val="00784890"/>
    <w:rsid w:val="00784B7D"/>
    <w:rsid w:val="00785390"/>
    <w:rsid w:val="007857A1"/>
    <w:rsid w:val="00785E33"/>
    <w:rsid w:val="0078613D"/>
    <w:rsid w:val="007863C7"/>
    <w:rsid w:val="007863E4"/>
    <w:rsid w:val="00786847"/>
    <w:rsid w:val="007868B6"/>
    <w:rsid w:val="00786B51"/>
    <w:rsid w:val="00786BF9"/>
    <w:rsid w:val="00787478"/>
    <w:rsid w:val="0078762D"/>
    <w:rsid w:val="007879FB"/>
    <w:rsid w:val="00790717"/>
    <w:rsid w:val="00790864"/>
    <w:rsid w:val="007908FD"/>
    <w:rsid w:val="00791787"/>
    <w:rsid w:val="00792363"/>
    <w:rsid w:val="00793447"/>
    <w:rsid w:val="00794510"/>
    <w:rsid w:val="00794CC9"/>
    <w:rsid w:val="007951C2"/>
    <w:rsid w:val="00795433"/>
    <w:rsid w:val="007956EC"/>
    <w:rsid w:val="00796187"/>
    <w:rsid w:val="00797FD3"/>
    <w:rsid w:val="007A0405"/>
    <w:rsid w:val="007A0481"/>
    <w:rsid w:val="007A078A"/>
    <w:rsid w:val="007A1095"/>
    <w:rsid w:val="007A1ED5"/>
    <w:rsid w:val="007A43F5"/>
    <w:rsid w:val="007A44E0"/>
    <w:rsid w:val="007A4E89"/>
    <w:rsid w:val="007A52CD"/>
    <w:rsid w:val="007A5414"/>
    <w:rsid w:val="007A5573"/>
    <w:rsid w:val="007A5797"/>
    <w:rsid w:val="007A586F"/>
    <w:rsid w:val="007A6215"/>
    <w:rsid w:val="007A6E6E"/>
    <w:rsid w:val="007A7D95"/>
    <w:rsid w:val="007B003C"/>
    <w:rsid w:val="007B03BD"/>
    <w:rsid w:val="007B083D"/>
    <w:rsid w:val="007B0DF9"/>
    <w:rsid w:val="007B1030"/>
    <w:rsid w:val="007B2956"/>
    <w:rsid w:val="007B3794"/>
    <w:rsid w:val="007B3B69"/>
    <w:rsid w:val="007B3E38"/>
    <w:rsid w:val="007B4160"/>
    <w:rsid w:val="007B426A"/>
    <w:rsid w:val="007B5447"/>
    <w:rsid w:val="007B54A7"/>
    <w:rsid w:val="007C025A"/>
    <w:rsid w:val="007C0991"/>
    <w:rsid w:val="007C1B28"/>
    <w:rsid w:val="007C1C68"/>
    <w:rsid w:val="007C20C5"/>
    <w:rsid w:val="007C20E8"/>
    <w:rsid w:val="007C2716"/>
    <w:rsid w:val="007C2B8C"/>
    <w:rsid w:val="007C3501"/>
    <w:rsid w:val="007C353F"/>
    <w:rsid w:val="007C3E6A"/>
    <w:rsid w:val="007C49DB"/>
    <w:rsid w:val="007C4F9D"/>
    <w:rsid w:val="007C51A5"/>
    <w:rsid w:val="007C5389"/>
    <w:rsid w:val="007C56B4"/>
    <w:rsid w:val="007C5E0F"/>
    <w:rsid w:val="007C6770"/>
    <w:rsid w:val="007C68B2"/>
    <w:rsid w:val="007C6CBD"/>
    <w:rsid w:val="007C76A9"/>
    <w:rsid w:val="007D00C4"/>
    <w:rsid w:val="007D0654"/>
    <w:rsid w:val="007D0697"/>
    <w:rsid w:val="007D08E3"/>
    <w:rsid w:val="007D09FD"/>
    <w:rsid w:val="007D0E17"/>
    <w:rsid w:val="007D12C6"/>
    <w:rsid w:val="007D1596"/>
    <w:rsid w:val="007D1B0F"/>
    <w:rsid w:val="007D1B86"/>
    <w:rsid w:val="007D2547"/>
    <w:rsid w:val="007D2CF9"/>
    <w:rsid w:val="007D382D"/>
    <w:rsid w:val="007D396D"/>
    <w:rsid w:val="007D3E6B"/>
    <w:rsid w:val="007D50C7"/>
    <w:rsid w:val="007D616A"/>
    <w:rsid w:val="007D64DC"/>
    <w:rsid w:val="007D67E6"/>
    <w:rsid w:val="007D6E78"/>
    <w:rsid w:val="007D6EB6"/>
    <w:rsid w:val="007D741E"/>
    <w:rsid w:val="007D7C14"/>
    <w:rsid w:val="007D7FE5"/>
    <w:rsid w:val="007E09EB"/>
    <w:rsid w:val="007E19F6"/>
    <w:rsid w:val="007E27D6"/>
    <w:rsid w:val="007E2D7E"/>
    <w:rsid w:val="007E400B"/>
    <w:rsid w:val="007E4233"/>
    <w:rsid w:val="007E485C"/>
    <w:rsid w:val="007E52D5"/>
    <w:rsid w:val="007E5DF6"/>
    <w:rsid w:val="007E6669"/>
    <w:rsid w:val="007E6FA0"/>
    <w:rsid w:val="007E7000"/>
    <w:rsid w:val="007E7060"/>
    <w:rsid w:val="007E731A"/>
    <w:rsid w:val="007E7A37"/>
    <w:rsid w:val="007E7A38"/>
    <w:rsid w:val="007F021F"/>
    <w:rsid w:val="007F0C86"/>
    <w:rsid w:val="007F0F01"/>
    <w:rsid w:val="007F18CA"/>
    <w:rsid w:val="007F211D"/>
    <w:rsid w:val="007F2785"/>
    <w:rsid w:val="007F28F3"/>
    <w:rsid w:val="007F2DCE"/>
    <w:rsid w:val="007F3827"/>
    <w:rsid w:val="007F4244"/>
    <w:rsid w:val="007F46A1"/>
    <w:rsid w:val="007F5271"/>
    <w:rsid w:val="007F5BD6"/>
    <w:rsid w:val="007F62AE"/>
    <w:rsid w:val="007F62C2"/>
    <w:rsid w:val="007F6BDE"/>
    <w:rsid w:val="007F6DDE"/>
    <w:rsid w:val="007F75EC"/>
    <w:rsid w:val="008001CE"/>
    <w:rsid w:val="00800858"/>
    <w:rsid w:val="008018EF"/>
    <w:rsid w:val="00801E92"/>
    <w:rsid w:val="0080210A"/>
    <w:rsid w:val="0080218F"/>
    <w:rsid w:val="008025E5"/>
    <w:rsid w:val="008037FE"/>
    <w:rsid w:val="008038B0"/>
    <w:rsid w:val="00803DF1"/>
    <w:rsid w:val="00804086"/>
    <w:rsid w:val="00804D3F"/>
    <w:rsid w:val="0080596E"/>
    <w:rsid w:val="0080642F"/>
    <w:rsid w:val="00806D11"/>
    <w:rsid w:val="00806EBC"/>
    <w:rsid w:val="00807400"/>
    <w:rsid w:val="00807FA0"/>
    <w:rsid w:val="0081022C"/>
    <w:rsid w:val="00810768"/>
    <w:rsid w:val="0081082D"/>
    <w:rsid w:val="008121E7"/>
    <w:rsid w:val="008124D2"/>
    <w:rsid w:val="008128BE"/>
    <w:rsid w:val="00812B31"/>
    <w:rsid w:val="00812BFA"/>
    <w:rsid w:val="00812CD7"/>
    <w:rsid w:val="00813595"/>
    <w:rsid w:val="008139D2"/>
    <w:rsid w:val="008139F7"/>
    <w:rsid w:val="00814555"/>
    <w:rsid w:val="008149AA"/>
    <w:rsid w:val="00814A43"/>
    <w:rsid w:val="00814B01"/>
    <w:rsid w:val="00815B6A"/>
    <w:rsid w:val="008161AD"/>
    <w:rsid w:val="00817D76"/>
    <w:rsid w:val="00820A32"/>
    <w:rsid w:val="00820A41"/>
    <w:rsid w:val="00822C65"/>
    <w:rsid w:val="00822E91"/>
    <w:rsid w:val="00823109"/>
    <w:rsid w:val="0082391D"/>
    <w:rsid w:val="0082404C"/>
    <w:rsid w:val="008240F9"/>
    <w:rsid w:val="00824452"/>
    <w:rsid w:val="0082517F"/>
    <w:rsid w:val="00826027"/>
    <w:rsid w:val="00826061"/>
    <w:rsid w:val="008260C9"/>
    <w:rsid w:val="00826209"/>
    <w:rsid w:val="00826267"/>
    <w:rsid w:val="00827CEF"/>
    <w:rsid w:val="008302F9"/>
    <w:rsid w:val="00830DC2"/>
    <w:rsid w:val="00831878"/>
    <w:rsid w:val="00832A60"/>
    <w:rsid w:val="008330C7"/>
    <w:rsid w:val="008331EE"/>
    <w:rsid w:val="0083382D"/>
    <w:rsid w:val="00833D4B"/>
    <w:rsid w:val="008341AE"/>
    <w:rsid w:val="00834483"/>
    <w:rsid w:val="00834ED5"/>
    <w:rsid w:val="00834F64"/>
    <w:rsid w:val="008357B3"/>
    <w:rsid w:val="00835E8A"/>
    <w:rsid w:val="00835EAC"/>
    <w:rsid w:val="008361FB"/>
    <w:rsid w:val="008373F1"/>
    <w:rsid w:val="00837724"/>
    <w:rsid w:val="00837927"/>
    <w:rsid w:val="00837EBC"/>
    <w:rsid w:val="0084096F"/>
    <w:rsid w:val="00840C97"/>
    <w:rsid w:val="00840F44"/>
    <w:rsid w:val="008413B7"/>
    <w:rsid w:val="00841735"/>
    <w:rsid w:val="00841E7E"/>
    <w:rsid w:val="008423EF"/>
    <w:rsid w:val="008425B3"/>
    <w:rsid w:val="008426C3"/>
    <w:rsid w:val="00842FCE"/>
    <w:rsid w:val="00843917"/>
    <w:rsid w:val="008440D1"/>
    <w:rsid w:val="00844198"/>
    <w:rsid w:val="0084440F"/>
    <w:rsid w:val="00844877"/>
    <w:rsid w:val="0084536F"/>
    <w:rsid w:val="00845543"/>
    <w:rsid w:val="008457ED"/>
    <w:rsid w:val="00846399"/>
    <w:rsid w:val="00846F05"/>
    <w:rsid w:val="0084702F"/>
    <w:rsid w:val="0084742A"/>
    <w:rsid w:val="00847C38"/>
    <w:rsid w:val="00850189"/>
    <w:rsid w:val="008502CE"/>
    <w:rsid w:val="00850520"/>
    <w:rsid w:val="008507D8"/>
    <w:rsid w:val="00850BA5"/>
    <w:rsid w:val="00850FAA"/>
    <w:rsid w:val="0085156F"/>
    <w:rsid w:val="0085244B"/>
    <w:rsid w:val="008527F7"/>
    <w:rsid w:val="00852836"/>
    <w:rsid w:val="008528E1"/>
    <w:rsid w:val="00852DC0"/>
    <w:rsid w:val="00852F6C"/>
    <w:rsid w:val="0085411D"/>
    <w:rsid w:val="008545A9"/>
    <w:rsid w:val="008551F8"/>
    <w:rsid w:val="008556A7"/>
    <w:rsid w:val="0085601B"/>
    <w:rsid w:val="00856632"/>
    <w:rsid w:val="00856FDC"/>
    <w:rsid w:val="00857B43"/>
    <w:rsid w:val="0086023B"/>
    <w:rsid w:val="008607E1"/>
    <w:rsid w:val="0086144B"/>
    <w:rsid w:val="00862127"/>
    <w:rsid w:val="00862F50"/>
    <w:rsid w:val="0086370D"/>
    <w:rsid w:val="008648A0"/>
    <w:rsid w:val="00864F5B"/>
    <w:rsid w:val="008658A6"/>
    <w:rsid w:val="00867C9D"/>
    <w:rsid w:val="00870144"/>
    <w:rsid w:val="00870463"/>
    <w:rsid w:val="008706F6"/>
    <w:rsid w:val="00870BBE"/>
    <w:rsid w:val="00870D7C"/>
    <w:rsid w:val="00871797"/>
    <w:rsid w:val="00872610"/>
    <w:rsid w:val="00873EDC"/>
    <w:rsid w:val="00874220"/>
    <w:rsid w:val="00874678"/>
    <w:rsid w:val="00874886"/>
    <w:rsid w:val="008754A6"/>
    <w:rsid w:val="00875AA8"/>
    <w:rsid w:val="008761F3"/>
    <w:rsid w:val="008763B6"/>
    <w:rsid w:val="00876D2D"/>
    <w:rsid w:val="008770FE"/>
    <w:rsid w:val="00877865"/>
    <w:rsid w:val="008807A1"/>
    <w:rsid w:val="00881020"/>
    <w:rsid w:val="0088156F"/>
    <w:rsid w:val="008818F6"/>
    <w:rsid w:val="008826A1"/>
    <w:rsid w:val="008828E5"/>
    <w:rsid w:val="00882CF4"/>
    <w:rsid w:val="00882F8B"/>
    <w:rsid w:val="008833B3"/>
    <w:rsid w:val="00883BF9"/>
    <w:rsid w:val="0088433A"/>
    <w:rsid w:val="00884638"/>
    <w:rsid w:val="0088572B"/>
    <w:rsid w:val="00885886"/>
    <w:rsid w:val="00885B5E"/>
    <w:rsid w:val="00885F1D"/>
    <w:rsid w:val="00886699"/>
    <w:rsid w:val="008868D2"/>
    <w:rsid w:val="00887C7C"/>
    <w:rsid w:val="00887C98"/>
    <w:rsid w:val="0088CE57"/>
    <w:rsid w:val="008909A9"/>
    <w:rsid w:val="00890BE4"/>
    <w:rsid w:val="008915E9"/>
    <w:rsid w:val="00891C8F"/>
    <w:rsid w:val="0089264B"/>
    <w:rsid w:val="008928DB"/>
    <w:rsid w:val="00892AB5"/>
    <w:rsid w:val="008934B2"/>
    <w:rsid w:val="00893800"/>
    <w:rsid w:val="00893D90"/>
    <w:rsid w:val="008944C7"/>
    <w:rsid w:val="00894BA1"/>
    <w:rsid w:val="0089530F"/>
    <w:rsid w:val="0089580A"/>
    <w:rsid w:val="00895D53"/>
    <w:rsid w:val="0089653E"/>
    <w:rsid w:val="00896563"/>
    <w:rsid w:val="00897094"/>
    <w:rsid w:val="00897A09"/>
    <w:rsid w:val="00897A95"/>
    <w:rsid w:val="00897E26"/>
    <w:rsid w:val="008A0864"/>
    <w:rsid w:val="008A1973"/>
    <w:rsid w:val="008A1F4A"/>
    <w:rsid w:val="008A28AD"/>
    <w:rsid w:val="008A2A70"/>
    <w:rsid w:val="008A3C7A"/>
    <w:rsid w:val="008A3D46"/>
    <w:rsid w:val="008A45CB"/>
    <w:rsid w:val="008A4B6E"/>
    <w:rsid w:val="008A586F"/>
    <w:rsid w:val="008A5D90"/>
    <w:rsid w:val="008A6093"/>
    <w:rsid w:val="008A7305"/>
    <w:rsid w:val="008A7C6D"/>
    <w:rsid w:val="008B006A"/>
    <w:rsid w:val="008B1677"/>
    <w:rsid w:val="008B1D47"/>
    <w:rsid w:val="008B3347"/>
    <w:rsid w:val="008B3B44"/>
    <w:rsid w:val="008B3BC9"/>
    <w:rsid w:val="008B4241"/>
    <w:rsid w:val="008B44FC"/>
    <w:rsid w:val="008B480D"/>
    <w:rsid w:val="008B64C1"/>
    <w:rsid w:val="008B66BF"/>
    <w:rsid w:val="008B6814"/>
    <w:rsid w:val="008C1049"/>
    <w:rsid w:val="008C2037"/>
    <w:rsid w:val="008C3362"/>
    <w:rsid w:val="008C33B6"/>
    <w:rsid w:val="008C3532"/>
    <w:rsid w:val="008C35DE"/>
    <w:rsid w:val="008C391B"/>
    <w:rsid w:val="008C48C5"/>
    <w:rsid w:val="008C4AE2"/>
    <w:rsid w:val="008C504C"/>
    <w:rsid w:val="008C50EB"/>
    <w:rsid w:val="008C5141"/>
    <w:rsid w:val="008C567C"/>
    <w:rsid w:val="008C5CA7"/>
    <w:rsid w:val="008C60FE"/>
    <w:rsid w:val="008C6B66"/>
    <w:rsid w:val="008C6F00"/>
    <w:rsid w:val="008C70E7"/>
    <w:rsid w:val="008C75B6"/>
    <w:rsid w:val="008D0ECA"/>
    <w:rsid w:val="008D116B"/>
    <w:rsid w:val="008D1692"/>
    <w:rsid w:val="008D1E02"/>
    <w:rsid w:val="008D2583"/>
    <w:rsid w:val="008D25BB"/>
    <w:rsid w:val="008D25BD"/>
    <w:rsid w:val="008D2831"/>
    <w:rsid w:val="008D3B3B"/>
    <w:rsid w:val="008D4CDD"/>
    <w:rsid w:val="008D5259"/>
    <w:rsid w:val="008D5500"/>
    <w:rsid w:val="008D65E8"/>
    <w:rsid w:val="008D6D6B"/>
    <w:rsid w:val="008D752E"/>
    <w:rsid w:val="008D79A4"/>
    <w:rsid w:val="008D7E7D"/>
    <w:rsid w:val="008E0744"/>
    <w:rsid w:val="008E0B93"/>
    <w:rsid w:val="008E10BD"/>
    <w:rsid w:val="008E1665"/>
    <w:rsid w:val="008E2F20"/>
    <w:rsid w:val="008E4A50"/>
    <w:rsid w:val="008E6261"/>
    <w:rsid w:val="008E682F"/>
    <w:rsid w:val="008E6D03"/>
    <w:rsid w:val="008E7177"/>
    <w:rsid w:val="008E7A79"/>
    <w:rsid w:val="008F009D"/>
    <w:rsid w:val="008F0FC1"/>
    <w:rsid w:val="008F1996"/>
    <w:rsid w:val="008F2B90"/>
    <w:rsid w:val="008F3819"/>
    <w:rsid w:val="008F38A5"/>
    <w:rsid w:val="008F413E"/>
    <w:rsid w:val="008F4227"/>
    <w:rsid w:val="008F46A5"/>
    <w:rsid w:val="008F4FD7"/>
    <w:rsid w:val="008F52A8"/>
    <w:rsid w:val="008F52D4"/>
    <w:rsid w:val="008F67DD"/>
    <w:rsid w:val="008F698C"/>
    <w:rsid w:val="008F71C3"/>
    <w:rsid w:val="008F74B6"/>
    <w:rsid w:val="008F77A9"/>
    <w:rsid w:val="008F792C"/>
    <w:rsid w:val="009003AD"/>
    <w:rsid w:val="009011EA"/>
    <w:rsid w:val="00901C9D"/>
    <w:rsid w:val="00902D05"/>
    <w:rsid w:val="00902EAE"/>
    <w:rsid w:val="00902FC4"/>
    <w:rsid w:val="009030D3"/>
    <w:rsid w:val="00903344"/>
    <w:rsid w:val="0090345A"/>
    <w:rsid w:val="00904346"/>
    <w:rsid w:val="00904561"/>
    <w:rsid w:val="00904742"/>
    <w:rsid w:val="00905145"/>
    <w:rsid w:val="00905266"/>
    <w:rsid w:val="00905801"/>
    <w:rsid w:val="00905B14"/>
    <w:rsid w:val="00905E54"/>
    <w:rsid w:val="009062C6"/>
    <w:rsid w:val="009063D2"/>
    <w:rsid w:val="00907065"/>
    <w:rsid w:val="00907C1D"/>
    <w:rsid w:val="00910244"/>
    <w:rsid w:val="00910CC3"/>
    <w:rsid w:val="00910EDC"/>
    <w:rsid w:val="00910EDE"/>
    <w:rsid w:val="009111BB"/>
    <w:rsid w:val="00911633"/>
    <w:rsid w:val="0091187D"/>
    <w:rsid w:val="009127FF"/>
    <w:rsid w:val="00913B66"/>
    <w:rsid w:val="009145D0"/>
    <w:rsid w:val="00914B21"/>
    <w:rsid w:val="00914E5E"/>
    <w:rsid w:val="00914FB1"/>
    <w:rsid w:val="00915DDD"/>
    <w:rsid w:val="009167B1"/>
    <w:rsid w:val="00917599"/>
    <w:rsid w:val="0091777B"/>
    <w:rsid w:val="009178B3"/>
    <w:rsid w:val="00917E7D"/>
    <w:rsid w:val="00920049"/>
    <w:rsid w:val="00920F76"/>
    <w:rsid w:val="00922968"/>
    <w:rsid w:val="00923016"/>
    <w:rsid w:val="00923062"/>
    <w:rsid w:val="00923322"/>
    <w:rsid w:val="009238D1"/>
    <w:rsid w:val="00923B29"/>
    <w:rsid w:val="00923B38"/>
    <w:rsid w:val="00924537"/>
    <w:rsid w:val="00924763"/>
    <w:rsid w:val="00924949"/>
    <w:rsid w:val="00924BA2"/>
    <w:rsid w:val="009251AD"/>
    <w:rsid w:val="009258CC"/>
    <w:rsid w:val="00925A32"/>
    <w:rsid w:val="009263CB"/>
    <w:rsid w:val="00926571"/>
    <w:rsid w:val="0092664D"/>
    <w:rsid w:val="0092742E"/>
    <w:rsid w:val="0092782D"/>
    <w:rsid w:val="00927A02"/>
    <w:rsid w:val="00930805"/>
    <w:rsid w:val="0093098C"/>
    <w:rsid w:val="00930C15"/>
    <w:rsid w:val="00930D5E"/>
    <w:rsid w:val="00931196"/>
    <w:rsid w:val="0093145C"/>
    <w:rsid w:val="009314F0"/>
    <w:rsid w:val="009318F9"/>
    <w:rsid w:val="00931BC1"/>
    <w:rsid w:val="009328F3"/>
    <w:rsid w:val="00933419"/>
    <w:rsid w:val="009336F5"/>
    <w:rsid w:val="00933B8F"/>
    <w:rsid w:val="0093461E"/>
    <w:rsid w:val="009347EA"/>
    <w:rsid w:val="00934A78"/>
    <w:rsid w:val="009350D3"/>
    <w:rsid w:val="009355E3"/>
    <w:rsid w:val="009355E9"/>
    <w:rsid w:val="00935B98"/>
    <w:rsid w:val="00935D71"/>
    <w:rsid w:val="00937015"/>
    <w:rsid w:val="009370F9"/>
    <w:rsid w:val="00937DE4"/>
    <w:rsid w:val="00940022"/>
    <w:rsid w:val="00940C2C"/>
    <w:rsid w:val="00941C20"/>
    <w:rsid w:val="009423A8"/>
    <w:rsid w:val="009428C1"/>
    <w:rsid w:val="00942F2F"/>
    <w:rsid w:val="0094347C"/>
    <w:rsid w:val="009438CE"/>
    <w:rsid w:val="00943983"/>
    <w:rsid w:val="0094432B"/>
    <w:rsid w:val="0094462C"/>
    <w:rsid w:val="009447E8"/>
    <w:rsid w:val="00944CDD"/>
    <w:rsid w:val="00945715"/>
    <w:rsid w:val="009462F6"/>
    <w:rsid w:val="00946302"/>
    <w:rsid w:val="009468F5"/>
    <w:rsid w:val="00946B13"/>
    <w:rsid w:val="00946BE1"/>
    <w:rsid w:val="0094775B"/>
    <w:rsid w:val="00951590"/>
    <w:rsid w:val="0095165C"/>
    <w:rsid w:val="00951D70"/>
    <w:rsid w:val="00952643"/>
    <w:rsid w:val="00952B6A"/>
    <w:rsid w:val="009531C5"/>
    <w:rsid w:val="009538BF"/>
    <w:rsid w:val="00953AAA"/>
    <w:rsid w:val="00953C78"/>
    <w:rsid w:val="0095408C"/>
    <w:rsid w:val="009545DB"/>
    <w:rsid w:val="00954CD6"/>
    <w:rsid w:val="009563E8"/>
    <w:rsid w:val="00956746"/>
    <w:rsid w:val="00956B34"/>
    <w:rsid w:val="00956D04"/>
    <w:rsid w:val="00956D54"/>
    <w:rsid w:val="009571B1"/>
    <w:rsid w:val="00960155"/>
    <w:rsid w:val="009610BB"/>
    <w:rsid w:val="009613C9"/>
    <w:rsid w:val="009615DA"/>
    <w:rsid w:val="00961D13"/>
    <w:rsid w:val="0096254D"/>
    <w:rsid w:val="00962945"/>
    <w:rsid w:val="009638CA"/>
    <w:rsid w:val="00964533"/>
    <w:rsid w:val="0096548A"/>
    <w:rsid w:val="0096563E"/>
    <w:rsid w:val="00965B28"/>
    <w:rsid w:val="00965FAB"/>
    <w:rsid w:val="0096642C"/>
    <w:rsid w:val="00966BF8"/>
    <w:rsid w:val="00967672"/>
    <w:rsid w:val="00967C7D"/>
    <w:rsid w:val="00967CA2"/>
    <w:rsid w:val="00970507"/>
    <w:rsid w:val="00970E04"/>
    <w:rsid w:val="00970E66"/>
    <w:rsid w:val="0097143C"/>
    <w:rsid w:val="00971A43"/>
    <w:rsid w:val="00971C62"/>
    <w:rsid w:val="009722DC"/>
    <w:rsid w:val="009727DE"/>
    <w:rsid w:val="009727F8"/>
    <w:rsid w:val="00973234"/>
    <w:rsid w:val="0097336D"/>
    <w:rsid w:val="009745BC"/>
    <w:rsid w:val="00974CE2"/>
    <w:rsid w:val="009751E6"/>
    <w:rsid w:val="00975304"/>
    <w:rsid w:val="00975A91"/>
    <w:rsid w:val="00975E6C"/>
    <w:rsid w:val="009765F5"/>
    <w:rsid w:val="00976FE4"/>
    <w:rsid w:val="00977209"/>
    <w:rsid w:val="00980668"/>
    <w:rsid w:val="009808C6"/>
    <w:rsid w:val="00980E8B"/>
    <w:rsid w:val="009813A2"/>
    <w:rsid w:val="00981B20"/>
    <w:rsid w:val="00982171"/>
    <w:rsid w:val="00982441"/>
    <w:rsid w:val="009824B7"/>
    <w:rsid w:val="00984557"/>
    <w:rsid w:val="009849E5"/>
    <w:rsid w:val="00984A13"/>
    <w:rsid w:val="00984F86"/>
    <w:rsid w:val="00984F92"/>
    <w:rsid w:val="0098530D"/>
    <w:rsid w:val="0098559B"/>
    <w:rsid w:val="00985642"/>
    <w:rsid w:val="0098684C"/>
    <w:rsid w:val="00986E9B"/>
    <w:rsid w:val="00986F8C"/>
    <w:rsid w:val="0098730B"/>
    <w:rsid w:val="0098755E"/>
    <w:rsid w:val="00987666"/>
    <w:rsid w:val="009878D0"/>
    <w:rsid w:val="00990166"/>
    <w:rsid w:val="009902F4"/>
    <w:rsid w:val="009905AA"/>
    <w:rsid w:val="009905C0"/>
    <w:rsid w:val="009909B2"/>
    <w:rsid w:val="00990C23"/>
    <w:rsid w:val="00991243"/>
    <w:rsid w:val="00991780"/>
    <w:rsid w:val="009927C1"/>
    <w:rsid w:val="00992B18"/>
    <w:rsid w:val="0099310D"/>
    <w:rsid w:val="00993528"/>
    <w:rsid w:val="0099546F"/>
    <w:rsid w:val="00996A9D"/>
    <w:rsid w:val="009973A2"/>
    <w:rsid w:val="0099740C"/>
    <w:rsid w:val="0099758D"/>
    <w:rsid w:val="00997900"/>
    <w:rsid w:val="009979F1"/>
    <w:rsid w:val="009A0311"/>
    <w:rsid w:val="009A04EE"/>
    <w:rsid w:val="009A06C9"/>
    <w:rsid w:val="009A0DC3"/>
    <w:rsid w:val="009A161E"/>
    <w:rsid w:val="009A2560"/>
    <w:rsid w:val="009A3870"/>
    <w:rsid w:val="009A39A0"/>
    <w:rsid w:val="009A4573"/>
    <w:rsid w:val="009A4855"/>
    <w:rsid w:val="009A4CD0"/>
    <w:rsid w:val="009A4E4B"/>
    <w:rsid w:val="009A5E57"/>
    <w:rsid w:val="009A63D6"/>
    <w:rsid w:val="009A65BE"/>
    <w:rsid w:val="009A6CB0"/>
    <w:rsid w:val="009A6E57"/>
    <w:rsid w:val="009A71C5"/>
    <w:rsid w:val="009B03EE"/>
    <w:rsid w:val="009B041A"/>
    <w:rsid w:val="009B05A6"/>
    <w:rsid w:val="009B0A31"/>
    <w:rsid w:val="009B1117"/>
    <w:rsid w:val="009B1763"/>
    <w:rsid w:val="009B1FC6"/>
    <w:rsid w:val="009B22AD"/>
    <w:rsid w:val="009B2364"/>
    <w:rsid w:val="009B26EB"/>
    <w:rsid w:val="009B2A30"/>
    <w:rsid w:val="009B2DC5"/>
    <w:rsid w:val="009B2EBE"/>
    <w:rsid w:val="009B2F1F"/>
    <w:rsid w:val="009B4886"/>
    <w:rsid w:val="009B4DA3"/>
    <w:rsid w:val="009B5702"/>
    <w:rsid w:val="009B5C5E"/>
    <w:rsid w:val="009B669D"/>
    <w:rsid w:val="009B6CDA"/>
    <w:rsid w:val="009B6ED1"/>
    <w:rsid w:val="009B7C1C"/>
    <w:rsid w:val="009C0168"/>
    <w:rsid w:val="009C109C"/>
    <w:rsid w:val="009C1689"/>
    <w:rsid w:val="009C2014"/>
    <w:rsid w:val="009C212C"/>
    <w:rsid w:val="009C2F11"/>
    <w:rsid w:val="009C316D"/>
    <w:rsid w:val="009C3181"/>
    <w:rsid w:val="009C3215"/>
    <w:rsid w:val="009C369E"/>
    <w:rsid w:val="009C3D53"/>
    <w:rsid w:val="009C4177"/>
    <w:rsid w:val="009C41B1"/>
    <w:rsid w:val="009C4BCC"/>
    <w:rsid w:val="009C5272"/>
    <w:rsid w:val="009C5BB8"/>
    <w:rsid w:val="009C604F"/>
    <w:rsid w:val="009C6075"/>
    <w:rsid w:val="009C694F"/>
    <w:rsid w:val="009C6A1F"/>
    <w:rsid w:val="009C6E49"/>
    <w:rsid w:val="009C7849"/>
    <w:rsid w:val="009C7B1F"/>
    <w:rsid w:val="009C7B3F"/>
    <w:rsid w:val="009C7C7C"/>
    <w:rsid w:val="009C7D12"/>
    <w:rsid w:val="009D028A"/>
    <w:rsid w:val="009D068E"/>
    <w:rsid w:val="009D094E"/>
    <w:rsid w:val="009D0C87"/>
    <w:rsid w:val="009D1F29"/>
    <w:rsid w:val="009D22C7"/>
    <w:rsid w:val="009D2324"/>
    <w:rsid w:val="009D23BC"/>
    <w:rsid w:val="009D256C"/>
    <w:rsid w:val="009D2B54"/>
    <w:rsid w:val="009D2E21"/>
    <w:rsid w:val="009D337C"/>
    <w:rsid w:val="009D3C43"/>
    <w:rsid w:val="009D4A56"/>
    <w:rsid w:val="009D4C3F"/>
    <w:rsid w:val="009D565F"/>
    <w:rsid w:val="009D6021"/>
    <w:rsid w:val="009D67C4"/>
    <w:rsid w:val="009D71CA"/>
    <w:rsid w:val="009D7226"/>
    <w:rsid w:val="009D72D9"/>
    <w:rsid w:val="009D752B"/>
    <w:rsid w:val="009D7567"/>
    <w:rsid w:val="009D7B49"/>
    <w:rsid w:val="009E099E"/>
    <w:rsid w:val="009E134A"/>
    <w:rsid w:val="009E1AD7"/>
    <w:rsid w:val="009E21AC"/>
    <w:rsid w:val="009E2573"/>
    <w:rsid w:val="009E26EC"/>
    <w:rsid w:val="009E34F9"/>
    <w:rsid w:val="009E3DCE"/>
    <w:rsid w:val="009E3FF2"/>
    <w:rsid w:val="009E4844"/>
    <w:rsid w:val="009E48C6"/>
    <w:rsid w:val="009E4B5E"/>
    <w:rsid w:val="009E4EE8"/>
    <w:rsid w:val="009E5BD8"/>
    <w:rsid w:val="009E6231"/>
    <w:rsid w:val="009E65D0"/>
    <w:rsid w:val="009E6A55"/>
    <w:rsid w:val="009E7C9D"/>
    <w:rsid w:val="009F0111"/>
    <w:rsid w:val="009F0117"/>
    <w:rsid w:val="009F0B7E"/>
    <w:rsid w:val="009F165C"/>
    <w:rsid w:val="009F17E7"/>
    <w:rsid w:val="009F229E"/>
    <w:rsid w:val="009F2DA9"/>
    <w:rsid w:val="009F3655"/>
    <w:rsid w:val="009F4D2A"/>
    <w:rsid w:val="009F5952"/>
    <w:rsid w:val="009F5E0F"/>
    <w:rsid w:val="009F6AEA"/>
    <w:rsid w:val="009F6E6C"/>
    <w:rsid w:val="009F733E"/>
    <w:rsid w:val="009F7ECA"/>
    <w:rsid w:val="00A006A5"/>
    <w:rsid w:val="00A00BF3"/>
    <w:rsid w:val="00A00E8D"/>
    <w:rsid w:val="00A01738"/>
    <w:rsid w:val="00A018A2"/>
    <w:rsid w:val="00A02201"/>
    <w:rsid w:val="00A02A46"/>
    <w:rsid w:val="00A02EC1"/>
    <w:rsid w:val="00A02F27"/>
    <w:rsid w:val="00A03073"/>
    <w:rsid w:val="00A031E8"/>
    <w:rsid w:val="00A03AE3"/>
    <w:rsid w:val="00A042C4"/>
    <w:rsid w:val="00A04487"/>
    <w:rsid w:val="00A044CA"/>
    <w:rsid w:val="00A04EA5"/>
    <w:rsid w:val="00A052EA"/>
    <w:rsid w:val="00A05362"/>
    <w:rsid w:val="00A057C5"/>
    <w:rsid w:val="00A068DF"/>
    <w:rsid w:val="00A06B6C"/>
    <w:rsid w:val="00A06BD6"/>
    <w:rsid w:val="00A078A9"/>
    <w:rsid w:val="00A10326"/>
    <w:rsid w:val="00A10A76"/>
    <w:rsid w:val="00A10FF4"/>
    <w:rsid w:val="00A113D8"/>
    <w:rsid w:val="00A11CDA"/>
    <w:rsid w:val="00A1238D"/>
    <w:rsid w:val="00A13D44"/>
    <w:rsid w:val="00A14B5D"/>
    <w:rsid w:val="00A1544E"/>
    <w:rsid w:val="00A15626"/>
    <w:rsid w:val="00A15C41"/>
    <w:rsid w:val="00A16964"/>
    <w:rsid w:val="00A17587"/>
    <w:rsid w:val="00A20994"/>
    <w:rsid w:val="00A2175D"/>
    <w:rsid w:val="00A22329"/>
    <w:rsid w:val="00A2296B"/>
    <w:rsid w:val="00A236BB"/>
    <w:rsid w:val="00A236F5"/>
    <w:rsid w:val="00A23858"/>
    <w:rsid w:val="00A2387C"/>
    <w:rsid w:val="00A2481E"/>
    <w:rsid w:val="00A2496A"/>
    <w:rsid w:val="00A2539D"/>
    <w:rsid w:val="00A26465"/>
    <w:rsid w:val="00A27469"/>
    <w:rsid w:val="00A275BD"/>
    <w:rsid w:val="00A27730"/>
    <w:rsid w:val="00A277BE"/>
    <w:rsid w:val="00A27B7E"/>
    <w:rsid w:val="00A27ECC"/>
    <w:rsid w:val="00A30542"/>
    <w:rsid w:val="00A31572"/>
    <w:rsid w:val="00A31E6E"/>
    <w:rsid w:val="00A31F2C"/>
    <w:rsid w:val="00A32653"/>
    <w:rsid w:val="00A327C2"/>
    <w:rsid w:val="00A341E2"/>
    <w:rsid w:val="00A34E6B"/>
    <w:rsid w:val="00A351B4"/>
    <w:rsid w:val="00A35C0A"/>
    <w:rsid w:val="00A35E51"/>
    <w:rsid w:val="00A3609E"/>
    <w:rsid w:val="00A36105"/>
    <w:rsid w:val="00A36E1D"/>
    <w:rsid w:val="00A40494"/>
    <w:rsid w:val="00A4097F"/>
    <w:rsid w:val="00A41DC3"/>
    <w:rsid w:val="00A41EEB"/>
    <w:rsid w:val="00A42163"/>
    <w:rsid w:val="00A43518"/>
    <w:rsid w:val="00A436A8"/>
    <w:rsid w:val="00A438E7"/>
    <w:rsid w:val="00A464FB"/>
    <w:rsid w:val="00A46DB6"/>
    <w:rsid w:val="00A470B7"/>
    <w:rsid w:val="00A47B99"/>
    <w:rsid w:val="00A51CB9"/>
    <w:rsid w:val="00A52B06"/>
    <w:rsid w:val="00A53DAF"/>
    <w:rsid w:val="00A54F5B"/>
    <w:rsid w:val="00A56308"/>
    <w:rsid w:val="00A56898"/>
    <w:rsid w:val="00A56EC8"/>
    <w:rsid w:val="00A5747B"/>
    <w:rsid w:val="00A57B0D"/>
    <w:rsid w:val="00A603B8"/>
    <w:rsid w:val="00A612BE"/>
    <w:rsid w:val="00A614DF"/>
    <w:rsid w:val="00A617E2"/>
    <w:rsid w:val="00A6206D"/>
    <w:rsid w:val="00A62B7F"/>
    <w:rsid w:val="00A6448D"/>
    <w:rsid w:val="00A647FD"/>
    <w:rsid w:val="00A65073"/>
    <w:rsid w:val="00A65BEB"/>
    <w:rsid w:val="00A6635F"/>
    <w:rsid w:val="00A66446"/>
    <w:rsid w:val="00A6679A"/>
    <w:rsid w:val="00A67CE8"/>
    <w:rsid w:val="00A67EFD"/>
    <w:rsid w:val="00A7047B"/>
    <w:rsid w:val="00A7048D"/>
    <w:rsid w:val="00A7074F"/>
    <w:rsid w:val="00A709EF"/>
    <w:rsid w:val="00A713FD"/>
    <w:rsid w:val="00A72381"/>
    <w:rsid w:val="00A727EC"/>
    <w:rsid w:val="00A72E61"/>
    <w:rsid w:val="00A73335"/>
    <w:rsid w:val="00A73C42"/>
    <w:rsid w:val="00A741CC"/>
    <w:rsid w:val="00A7458E"/>
    <w:rsid w:val="00A746EA"/>
    <w:rsid w:val="00A7486C"/>
    <w:rsid w:val="00A7690C"/>
    <w:rsid w:val="00A76A17"/>
    <w:rsid w:val="00A77FD0"/>
    <w:rsid w:val="00A77FD6"/>
    <w:rsid w:val="00A802DF"/>
    <w:rsid w:val="00A807D2"/>
    <w:rsid w:val="00A80AEC"/>
    <w:rsid w:val="00A80CA0"/>
    <w:rsid w:val="00A81080"/>
    <w:rsid w:val="00A813BB"/>
    <w:rsid w:val="00A81B03"/>
    <w:rsid w:val="00A81B9E"/>
    <w:rsid w:val="00A834B9"/>
    <w:rsid w:val="00A834CC"/>
    <w:rsid w:val="00A8373E"/>
    <w:rsid w:val="00A84964"/>
    <w:rsid w:val="00A8517D"/>
    <w:rsid w:val="00A862F1"/>
    <w:rsid w:val="00A86EFE"/>
    <w:rsid w:val="00A87170"/>
    <w:rsid w:val="00A9006A"/>
    <w:rsid w:val="00A901DC"/>
    <w:rsid w:val="00A90A1B"/>
    <w:rsid w:val="00A917FB"/>
    <w:rsid w:val="00A92C6D"/>
    <w:rsid w:val="00A9307C"/>
    <w:rsid w:val="00A93404"/>
    <w:rsid w:val="00A938E9"/>
    <w:rsid w:val="00A953CA"/>
    <w:rsid w:val="00A95769"/>
    <w:rsid w:val="00A957EF"/>
    <w:rsid w:val="00A95C21"/>
    <w:rsid w:val="00A95CE0"/>
    <w:rsid w:val="00A95DC4"/>
    <w:rsid w:val="00A963DF"/>
    <w:rsid w:val="00A97270"/>
    <w:rsid w:val="00A978AB"/>
    <w:rsid w:val="00AA0299"/>
    <w:rsid w:val="00AA04D6"/>
    <w:rsid w:val="00AA057C"/>
    <w:rsid w:val="00AA0A3F"/>
    <w:rsid w:val="00AA0DE2"/>
    <w:rsid w:val="00AA0EE6"/>
    <w:rsid w:val="00AA1263"/>
    <w:rsid w:val="00AA1D24"/>
    <w:rsid w:val="00AA1D56"/>
    <w:rsid w:val="00AA1E6F"/>
    <w:rsid w:val="00AA2D1C"/>
    <w:rsid w:val="00AA5100"/>
    <w:rsid w:val="00AA6703"/>
    <w:rsid w:val="00AA6AFC"/>
    <w:rsid w:val="00AA7099"/>
    <w:rsid w:val="00AA738D"/>
    <w:rsid w:val="00AA762B"/>
    <w:rsid w:val="00AA764D"/>
    <w:rsid w:val="00AA79D8"/>
    <w:rsid w:val="00AA7C15"/>
    <w:rsid w:val="00AA7CC5"/>
    <w:rsid w:val="00AB0301"/>
    <w:rsid w:val="00AB25FD"/>
    <w:rsid w:val="00AB3333"/>
    <w:rsid w:val="00AB39E2"/>
    <w:rsid w:val="00AB3CBD"/>
    <w:rsid w:val="00AB469D"/>
    <w:rsid w:val="00AB4E4A"/>
    <w:rsid w:val="00AB5027"/>
    <w:rsid w:val="00AB536D"/>
    <w:rsid w:val="00AB56BE"/>
    <w:rsid w:val="00AB59DE"/>
    <w:rsid w:val="00AB61C8"/>
    <w:rsid w:val="00AC057C"/>
    <w:rsid w:val="00AC1368"/>
    <w:rsid w:val="00AC179C"/>
    <w:rsid w:val="00AC1E86"/>
    <w:rsid w:val="00AC2539"/>
    <w:rsid w:val="00AC2BEA"/>
    <w:rsid w:val="00AC2EF4"/>
    <w:rsid w:val="00AC3AE6"/>
    <w:rsid w:val="00AC3C71"/>
    <w:rsid w:val="00AC3F5F"/>
    <w:rsid w:val="00AC4562"/>
    <w:rsid w:val="00AC5160"/>
    <w:rsid w:val="00AC572B"/>
    <w:rsid w:val="00AC5757"/>
    <w:rsid w:val="00AC605B"/>
    <w:rsid w:val="00AC798F"/>
    <w:rsid w:val="00AC7A05"/>
    <w:rsid w:val="00AC7D07"/>
    <w:rsid w:val="00AC7DAA"/>
    <w:rsid w:val="00AD02ED"/>
    <w:rsid w:val="00AD036A"/>
    <w:rsid w:val="00AD06BF"/>
    <w:rsid w:val="00AD0E65"/>
    <w:rsid w:val="00AD1457"/>
    <w:rsid w:val="00AD17A1"/>
    <w:rsid w:val="00AD2506"/>
    <w:rsid w:val="00AD32BF"/>
    <w:rsid w:val="00AD32F4"/>
    <w:rsid w:val="00AD33EE"/>
    <w:rsid w:val="00AD452E"/>
    <w:rsid w:val="00AD5758"/>
    <w:rsid w:val="00AD6356"/>
    <w:rsid w:val="00AD6412"/>
    <w:rsid w:val="00AD6D2E"/>
    <w:rsid w:val="00AD7721"/>
    <w:rsid w:val="00AD7D6C"/>
    <w:rsid w:val="00AE0104"/>
    <w:rsid w:val="00AE0E12"/>
    <w:rsid w:val="00AE18AB"/>
    <w:rsid w:val="00AE1EFC"/>
    <w:rsid w:val="00AE28D2"/>
    <w:rsid w:val="00AE31B6"/>
    <w:rsid w:val="00AE345B"/>
    <w:rsid w:val="00AE3838"/>
    <w:rsid w:val="00AE3BCF"/>
    <w:rsid w:val="00AE432F"/>
    <w:rsid w:val="00AE45C3"/>
    <w:rsid w:val="00AE522A"/>
    <w:rsid w:val="00AE6889"/>
    <w:rsid w:val="00AE711C"/>
    <w:rsid w:val="00AE74AE"/>
    <w:rsid w:val="00AE76EB"/>
    <w:rsid w:val="00AE7821"/>
    <w:rsid w:val="00AE7A9B"/>
    <w:rsid w:val="00AE7DCF"/>
    <w:rsid w:val="00AF15D8"/>
    <w:rsid w:val="00AF16F4"/>
    <w:rsid w:val="00AF1951"/>
    <w:rsid w:val="00AF1A35"/>
    <w:rsid w:val="00AF2467"/>
    <w:rsid w:val="00AF2504"/>
    <w:rsid w:val="00AF2575"/>
    <w:rsid w:val="00AF2A1B"/>
    <w:rsid w:val="00AF45BA"/>
    <w:rsid w:val="00AF52FE"/>
    <w:rsid w:val="00AF5AFC"/>
    <w:rsid w:val="00AF5E5F"/>
    <w:rsid w:val="00AF6C01"/>
    <w:rsid w:val="00AF6CFC"/>
    <w:rsid w:val="00AF7078"/>
    <w:rsid w:val="00AF7A8F"/>
    <w:rsid w:val="00AF7AFA"/>
    <w:rsid w:val="00AF7DFD"/>
    <w:rsid w:val="00B0001D"/>
    <w:rsid w:val="00B008AF"/>
    <w:rsid w:val="00B00955"/>
    <w:rsid w:val="00B01364"/>
    <w:rsid w:val="00B028CA"/>
    <w:rsid w:val="00B03757"/>
    <w:rsid w:val="00B03833"/>
    <w:rsid w:val="00B03F03"/>
    <w:rsid w:val="00B04451"/>
    <w:rsid w:val="00B0450D"/>
    <w:rsid w:val="00B04F5E"/>
    <w:rsid w:val="00B05D62"/>
    <w:rsid w:val="00B0639E"/>
    <w:rsid w:val="00B067BC"/>
    <w:rsid w:val="00B06DA1"/>
    <w:rsid w:val="00B07E6D"/>
    <w:rsid w:val="00B10574"/>
    <w:rsid w:val="00B10E19"/>
    <w:rsid w:val="00B1116E"/>
    <w:rsid w:val="00B11486"/>
    <w:rsid w:val="00B11699"/>
    <w:rsid w:val="00B11AF9"/>
    <w:rsid w:val="00B11BAB"/>
    <w:rsid w:val="00B11E2C"/>
    <w:rsid w:val="00B12362"/>
    <w:rsid w:val="00B12CC8"/>
    <w:rsid w:val="00B12CF5"/>
    <w:rsid w:val="00B14362"/>
    <w:rsid w:val="00B14801"/>
    <w:rsid w:val="00B14C40"/>
    <w:rsid w:val="00B14FBD"/>
    <w:rsid w:val="00B16170"/>
    <w:rsid w:val="00B161D6"/>
    <w:rsid w:val="00B1695F"/>
    <w:rsid w:val="00B1697B"/>
    <w:rsid w:val="00B17BF7"/>
    <w:rsid w:val="00B17DD2"/>
    <w:rsid w:val="00B2089D"/>
    <w:rsid w:val="00B20C48"/>
    <w:rsid w:val="00B213A1"/>
    <w:rsid w:val="00B21794"/>
    <w:rsid w:val="00B218AF"/>
    <w:rsid w:val="00B21B38"/>
    <w:rsid w:val="00B22950"/>
    <w:rsid w:val="00B232A5"/>
    <w:rsid w:val="00B23BA8"/>
    <w:rsid w:val="00B243BA"/>
    <w:rsid w:val="00B24F99"/>
    <w:rsid w:val="00B251AA"/>
    <w:rsid w:val="00B25C4A"/>
    <w:rsid w:val="00B25EF1"/>
    <w:rsid w:val="00B26D9E"/>
    <w:rsid w:val="00B30116"/>
    <w:rsid w:val="00B302A0"/>
    <w:rsid w:val="00B303EA"/>
    <w:rsid w:val="00B30B47"/>
    <w:rsid w:val="00B30F63"/>
    <w:rsid w:val="00B3103D"/>
    <w:rsid w:val="00B3127E"/>
    <w:rsid w:val="00B312F0"/>
    <w:rsid w:val="00B31861"/>
    <w:rsid w:val="00B31975"/>
    <w:rsid w:val="00B31ABA"/>
    <w:rsid w:val="00B33125"/>
    <w:rsid w:val="00B332EE"/>
    <w:rsid w:val="00B333E7"/>
    <w:rsid w:val="00B33B62"/>
    <w:rsid w:val="00B34070"/>
    <w:rsid w:val="00B34605"/>
    <w:rsid w:val="00B348AB"/>
    <w:rsid w:val="00B34C4A"/>
    <w:rsid w:val="00B35C81"/>
    <w:rsid w:val="00B367E6"/>
    <w:rsid w:val="00B36832"/>
    <w:rsid w:val="00B36AB2"/>
    <w:rsid w:val="00B36B9B"/>
    <w:rsid w:val="00B4019D"/>
    <w:rsid w:val="00B403A7"/>
    <w:rsid w:val="00B4084D"/>
    <w:rsid w:val="00B40986"/>
    <w:rsid w:val="00B40E56"/>
    <w:rsid w:val="00B4102D"/>
    <w:rsid w:val="00B41076"/>
    <w:rsid w:val="00B4114C"/>
    <w:rsid w:val="00B41544"/>
    <w:rsid w:val="00B425BA"/>
    <w:rsid w:val="00B42A76"/>
    <w:rsid w:val="00B43141"/>
    <w:rsid w:val="00B4345A"/>
    <w:rsid w:val="00B43826"/>
    <w:rsid w:val="00B43B09"/>
    <w:rsid w:val="00B457ED"/>
    <w:rsid w:val="00B45D62"/>
    <w:rsid w:val="00B46153"/>
    <w:rsid w:val="00B462F6"/>
    <w:rsid w:val="00B463FD"/>
    <w:rsid w:val="00B46A80"/>
    <w:rsid w:val="00B4747F"/>
    <w:rsid w:val="00B47719"/>
    <w:rsid w:val="00B50251"/>
    <w:rsid w:val="00B5051E"/>
    <w:rsid w:val="00B50C6E"/>
    <w:rsid w:val="00B50D0B"/>
    <w:rsid w:val="00B52082"/>
    <w:rsid w:val="00B5212F"/>
    <w:rsid w:val="00B5368E"/>
    <w:rsid w:val="00B537F9"/>
    <w:rsid w:val="00B543CC"/>
    <w:rsid w:val="00B54632"/>
    <w:rsid w:val="00B54B2A"/>
    <w:rsid w:val="00B553FC"/>
    <w:rsid w:val="00B55C36"/>
    <w:rsid w:val="00B55C5C"/>
    <w:rsid w:val="00B56251"/>
    <w:rsid w:val="00B572CC"/>
    <w:rsid w:val="00B5772C"/>
    <w:rsid w:val="00B600D9"/>
    <w:rsid w:val="00B606D9"/>
    <w:rsid w:val="00B612B5"/>
    <w:rsid w:val="00B61D89"/>
    <w:rsid w:val="00B6273A"/>
    <w:rsid w:val="00B62BC6"/>
    <w:rsid w:val="00B62EA1"/>
    <w:rsid w:val="00B63026"/>
    <w:rsid w:val="00B63208"/>
    <w:rsid w:val="00B632E3"/>
    <w:rsid w:val="00B63D33"/>
    <w:rsid w:val="00B6402F"/>
    <w:rsid w:val="00B64B96"/>
    <w:rsid w:val="00B6545A"/>
    <w:rsid w:val="00B65D92"/>
    <w:rsid w:val="00B66810"/>
    <w:rsid w:val="00B6690C"/>
    <w:rsid w:val="00B66C38"/>
    <w:rsid w:val="00B66E9A"/>
    <w:rsid w:val="00B67401"/>
    <w:rsid w:val="00B67B60"/>
    <w:rsid w:val="00B70ED5"/>
    <w:rsid w:val="00B712A5"/>
    <w:rsid w:val="00B718BF"/>
    <w:rsid w:val="00B72725"/>
    <w:rsid w:val="00B727C3"/>
    <w:rsid w:val="00B727E9"/>
    <w:rsid w:val="00B72DE7"/>
    <w:rsid w:val="00B737B1"/>
    <w:rsid w:val="00B739DD"/>
    <w:rsid w:val="00B73D06"/>
    <w:rsid w:val="00B74BED"/>
    <w:rsid w:val="00B75779"/>
    <w:rsid w:val="00B76381"/>
    <w:rsid w:val="00B76B71"/>
    <w:rsid w:val="00B80569"/>
    <w:rsid w:val="00B80B6D"/>
    <w:rsid w:val="00B819D4"/>
    <w:rsid w:val="00B81F02"/>
    <w:rsid w:val="00B83257"/>
    <w:rsid w:val="00B837A2"/>
    <w:rsid w:val="00B83AAF"/>
    <w:rsid w:val="00B83FBC"/>
    <w:rsid w:val="00B84537"/>
    <w:rsid w:val="00B8474B"/>
    <w:rsid w:val="00B84770"/>
    <w:rsid w:val="00B8522F"/>
    <w:rsid w:val="00B85C9B"/>
    <w:rsid w:val="00B85E7E"/>
    <w:rsid w:val="00B86586"/>
    <w:rsid w:val="00B865BB"/>
    <w:rsid w:val="00B86A5B"/>
    <w:rsid w:val="00B90809"/>
    <w:rsid w:val="00B90A10"/>
    <w:rsid w:val="00B90BB4"/>
    <w:rsid w:val="00B90BE7"/>
    <w:rsid w:val="00B91A89"/>
    <w:rsid w:val="00B91C2A"/>
    <w:rsid w:val="00B93A9C"/>
    <w:rsid w:val="00B94F62"/>
    <w:rsid w:val="00B95260"/>
    <w:rsid w:val="00B9545E"/>
    <w:rsid w:val="00B9556D"/>
    <w:rsid w:val="00B962F2"/>
    <w:rsid w:val="00B96632"/>
    <w:rsid w:val="00B96860"/>
    <w:rsid w:val="00B96C3B"/>
    <w:rsid w:val="00B971E4"/>
    <w:rsid w:val="00B9736D"/>
    <w:rsid w:val="00BA035F"/>
    <w:rsid w:val="00BA0D80"/>
    <w:rsid w:val="00BA1135"/>
    <w:rsid w:val="00BA12F1"/>
    <w:rsid w:val="00BA17AF"/>
    <w:rsid w:val="00BA1A87"/>
    <w:rsid w:val="00BA2656"/>
    <w:rsid w:val="00BA2C99"/>
    <w:rsid w:val="00BA2F64"/>
    <w:rsid w:val="00BA445D"/>
    <w:rsid w:val="00BA47B3"/>
    <w:rsid w:val="00BA4971"/>
    <w:rsid w:val="00BA5697"/>
    <w:rsid w:val="00BA6249"/>
    <w:rsid w:val="00BA67B8"/>
    <w:rsid w:val="00BA689A"/>
    <w:rsid w:val="00BA7333"/>
    <w:rsid w:val="00BA777A"/>
    <w:rsid w:val="00BA79EE"/>
    <w:rsid w:val="00BB0230"/>
    <w:rsid w:val="00BB086E"/>
    <w:rsid w:val="00BB0D19"/>
    <w:rsid w:val="00BB0FB7"/>
    <w:rsid w:val="00BB130B"/>
    <w:rsid w:val="00BB135A"/>
    <w:rsid w:val="00BB13E4"/>
    <w:rsid w:val="00BB14EA"/>
    <w:rsid w:val="00BB2A04"/>
    <w:rsid w:val="00BB3426"/>
    <w:rsid w:val="00BB3561"/>
    <w:rsid w:val="00BB38CE"/>
    <w:rsid w:val="00BB39A2"/>
    <w:rsid w:val="00BB3E6B"/>
    <w:rsid w:val="00BB4038"/>
    <w:rsid w:val="00BB4445"/>
    <w:rsid w:val="00BB4DD7"/>
    <w:rsid w:val="00BB588F"/>
    <w:rsid w:val="00BB62F4"/>
    <w:rsid w:val="00BB74A7"/>
    <w:rsid w:val="00BB78AD"/>
    <w:rsid w:val="00BB7923"/>
    <w:rsid w:val="00BB7C99"/>
    <w:rsid w:val="00BB7E98"/>
    <w:rsid w:val="00BC0823"/>
    <w:rsid w:val="00BC08FD"/>
    <w:rsid w:val="00BC0928"/>
    <w:rsid w:val="00BC0F19"/>
    <w:rsid w:val="00BC10E9"/>
    <w:rsid w:val="00BC202D"/>
    <w:rsid w:val="00BC2425"/>
    <w:rsid w:val="00BC2B40"/>
    <w:rsid w:val="00BC3B54"/>
    <w:rsid w:val="00BC4653"/>
    <w:rsid w:val="00BC4C23"/>
    <w:rsid w:val="00BC5697"/>
    <w:rsid w:val="00BC6068"/>
    <w:rsid w:val="00BC7C4C"/>
    <w:rsid w:val="00BC7C6E"/>
    <w:rsid w:val="00BD0415"/>
    <w:rsid w:val="00BD0631"/>
    <w:rsid w:val="00BD1B19"/>
    <w:rsid w:val="00BD2C98"/>
    <w:rsid w:val="00BD2E9B"/>
    <w:rsid w:val="00BD34EB"/>
    <w:rsid w:val="00BD40EB"/>
    <w:rsid w:val="00BD42AB"/>
    <w:rsid w:val="00BD55A9"/>
    <w:rsid w:val="00BD62C5"/>
    <w:rsid w:val="00BD685B"/>
    <w:rsid w:val="00BD7324"/>
    <w:rsid w:val="00BE094D"/>
    <w:rsid w:val="00BE18E4"/>
    <w:rsid w:val="00BE1ABA"/>
    <w:rsid w:val="00BE1D4A"/>
    <w:rsid w:val="00BE212F"/>
    <w:rsid w:val="00BE2196"/>
    <w:rsid w:val="00BE2808"/>
    <w:rsid w:val="00BE3067"/>
    <w:rsid w:val="00BE359F"/>
    <w:rsid w:val="00BE3877"/>
    <w:rsid w:val="00BE3A1B"/>
    <w:rsid w:val="00BE3C74"/>
    <w:rsid w:val="00BE3F96"/>
    <w:rsid w:val="00BE4A5E"/>
    <w:rsid w:val="00BE5770"/>
    <w:rsid w:val="00BE5880"/>
    <w:rsid w:val="00BE5A7B"/>
    <w:rsid w:val="00BE5FC7"/>
    <w:rsid w:val="00BE6469"/>
    <w:rsid w:val="00BE6D02"/>
    <w:rsid w:val="00BE73A1"/>
    <w:rsid w:val="00BE73A3"/>
    <w:rsid w:val="00BE7B5A"/>
    <w:rsid w:val="00BF0139"/>
    <w:rsid w:val="00BF03AE"/>
    <w:rsid w:val="00BF0695"/>
    <w:rsid w:val="00BF090E"/>
    <w:rsid w:val="00BF0B1B"/>
    <w:rsid w:val="00BF144D"/>
    <w:rsid w:val="00BF2E63"/>
    <w:rsid w:val="00BF3CA0"/>
    <w:rsid w:val="00BF3CE2"/>
    <w:rsid w:val="00BF4230"/>
    <w:rsid w:val="00BF456F"/>
    <w:rsid w:val="00BF4922"/>
    <w:rsid w:val="00BF4A1F"/>
    <w:rsid w:val="00BF54C5"/>
    <w:rsid w:val="00BF6526"/>
    <w:rsid w:val="00BF6B92"/>
    <w:rsid w:val="00C00A88"/>
    <w:rsid w:val="00C00F7A"/>
    <w:rsid w:val="00C01600"/>
    <w:rsid w:val="00C018C1"/>
    <w:rsid w:val="00C02404"/>
    <w:rsid w:val="00C02867"/>
    <w:rsid w:val="00C029A2"/>
    <w:rsid w:val="00C02A74"/>
    <w:rsid w:val="00C02BFB"/>
    <w:rsid w:val="00C02E58"/>
    <w:rsid w:val="00C03375"/>
    <w:rsid w:val="00C034A5"/>
    <w:rsid w:val="00C03541"/>
    <w:rsid w:val="00C0355B"/>
    <w:rsid w:val="00C03A0F"/>
    <w:rsid w:val="00C0414D"/>
    <w:rsid w:val="00C0622C"/>
    <w:rsid w:val="00C062C8"/>
    <w:rsid w:val="00C10BD1"/>
    <w:rsid w:val="00C10C66"/>
    <w:rsid w:val="00C10D0F"/>
    <w:rsid w:val="00C11411"/>
    <w:rsid w:val="00C1160D"/>
    <w:rsid w:val="00C133E8"/>
    <w:rsid w:val="00C1451B"/>
    <w:rsid w:val="00C14B1A"/>
    <w:rsid w:val="00C14EFB"/>
    <w:rsid w:val="00C1512E"/>
    <w:rsid w:val="00C15D02"/>
    <w:rsid w:val="00C16257"/>
    <w:rsid w:val="00C16538"/>
    <w:rsid w:val="00C16695"/>
    <w:rsid w:val="00C17DC9"/>
    <w:rsid w:val="00C20CD1"/>
    <w:rsid w:val="00C21111"/>
    <w:rsid w:val="00C223E4"/>
    <w:rsid w:val="00C22C48"/>
    <w:rsid w:val="00C22ECE"/>
    <w:rsid w:val="00C24503"/>
    <w:rsid w:val="00C25C1B"/>
    <w:rsid w:val="00C25DE5"/>
    <w:rsid w:val="00C25FF2"/>
    <w:rsid w:val="00C26781"/>
    <w:rsid w:val="00C26B77"/>
    <w:rsid w:val="00C3012D"/>
    <w:rsid w:val="00C31593"/>
    <w:rsid w:val="00C31FA0"/>
    <w:rsid w:val="00C3301B"/>
    <w:rsid w:val="00C33049"/>
    <w:rsid w:val="00C33546"/>
    <w:rsid w:val="00C33748"/>
    <w:rsid w:val="00C34463"/>
    <w:rsid w:val="00C34A7A"/>
    <w:rsid w:val="00C35243"/>
    <w:rsid w:val="00C353EE"/>
    <w:rsid w:val="00C3561E"/>
    <w:rsid w:val="00C36B67"/>
    <w:rsid w:val="00C37304"/>
    <w:rsid w:val="00C3739A"/>
    <w:rsid w:val="00C37BB0"/>
    <w:rsid w:val="00C37E42"/>
    <w:rsid w:val="00C4092C"/>
    <w:rsid w:val="00C40F1A"/>
    <w:rsid w:val="00C40FB9"/>
    <w:rsid w:val="00C41B06"/>
    <w:rsid w:val="00C421F4"/>
    <w:rsid w:val="00C42433"/>
    <w:rsid w:val="00C426C2"/>
    <w:rsid w:val="00C42B46"/>
    <w:rsid w:val="00C43B10"/>
    <w:rsid w:val="00C44105"/>
    <w:rsid w:val="00C44749"/>
    <w:rsid w:val="00C4498C"/>
    <w:rsid w:val="00C44B6F"/>
    <w:rsid w:val="00C45025"/>
    <w:rsid w:val="00C45116"/>
    <w:rsid w:val="00C45981"/>
    <w:rsid w:val="00C4662A"/>
    <w:rsid w:val="00C468F5"/>
    <w:rsid w:val="00C50708"/>
    <w:rsid w:val="00C50F5D"/>
    <w:rsid w:val="00C50FF8"/>
    <w:rsid w:val="00C510A7"/>
    <w:rsid w:val="00C517E7"/>
    <w:rsid w:val="00C51B06"/>
    <w:rsid w:val="00C5228B"/>
    <w:rsid w:val="00C52E4A"/>
    <w:rsid w:val="00C54425"/>
    <w:rsid w:val="00C546A8"/>
    <w:rsid w:val="00C54712"/>
    <w:rsid w:val="00C54E68"/>
    <w:rsid w:val="00C55DF6"/>
    <w:rsid w:val="00C56399"/>
    <w:rsid w:val="00C56EF2"/>
    <w:rsid w:val="00C573FA"/>
    <w:rsid w:val="00C574E5"/>
    <w:rsid w:val="00C575EA"/>
    <w:rsid w:val="00C60027"/>
    <w:rsid w:val="00C600DB"/>
    <w:rsid w:val="00C6012C"/>
    <w:rsid w:val="00C60977"/>
    <w:rsid w:val="00C609AB"/>
    <w:rsid w:val="00C60F35"/>
    <w:rsid w:val="00C61297"/>
    <w:rsid w:val="00C622FA"/>
    <w:rsid w:val="00C625F8"/>
    <w:rsid w:val="00C6382A"/>
    <w:rsid w:val="00C63D50"/>
    <w:rsid w:val="00C642CB"/>
    <w:rsid w:val="00C64BF6"/>
    <w:rsid w:val="00C64D20"/>
    <w:rsid w:val="00C6525C"/>
    <w:rsid w:val="00C654F8"/>
    <w:rsid w:val="00C65A74"/>
    <w:rsid w:val="00C667A3"/>
    <w:rsid w:val="00C66B70"/>
    <w:rsid w:val="00C6755F"/>
    <w:rsid w:val="00C7052B"/>
    <w:rsid w:val="00C707D4"/>
    <w:rsid w:val="00C7096C"/>
    <w:rsid w:val="00C71150"/>
    <w:rsid w:val="00C712EA"/>
    <w:rsid w:val="00C71B18"/>
    <w:rsid w:val="00C7226D"/>
    <w:rsid w:val="00C73496"/>
    <w:rsid w:val="00C7356B"/>
    <w:rsid w:val="00C7391B"/>
    <w:rsid w:val="00C739B6"/>
    <w:rsid w:val="00C7427F"/>
    <w:rsid w:val="00C74B58"/>
    <w:rsid w:val="00C74B96"/>
    <w:rsid w:val="00C75350"/>
    <w:rsid w:val="00C760A3"/>
    <w:rsid w:val="00C76BA3"/>
    <w:rsid w:val="00C76CC2"/>
    <w:rsid w:val="00C77276"/>
    <w:rsid w:val="00C77315"/>
    <w:rsid w:val="00C77522"/>
    <w:rsid w:val="00C778F9"/>
    <w:rsid w:val="00C80163"/>
    <w:rsid w:val="00C8043B"/>
    <w:rsid w:val="00C80BC7"/>
    <w:rsid w:val="00C80DA8"/>
    <w:rsid w:val="00C8165A"/>
    <w:rsid w:val="00C82479"/>
    <w:rsid w:val="00C82C3D"/>
    <w:rsid w:val="00C83092"/>
    <w:rsid w:val="00C83A80"/>
    <w:rsid w:val="00C83DAE"/>
    <w:rsid w:val="00C84183"/>
    <w:rsid w:val="00C84270"/>
    <w:rsid w:val="00C85E67"/>
    <w:rsid w:val="00C86118"/>
    <w:rsid w:val="00C869C5"/>
    <w:rsid w:val="00C874FF"/>
    <w:rsid w:val="00C87B90"/>
    <w:rsid w:val="00C90300"/>
    <w:rsid w:val="00C90354"/>
    <w:rsid w:val="00C904EF"/>
    <w:rsid w:val="00C90DAD"/>
    <w:rsid w:val="00C91115"/>
    <w:rsid w:val="00C91B57"/>
    <w:rsid w:val="00C932C3"/>
    <w:rsid w:val="00C93CDF"/>
    <w:rsid w:val="00C93EC1"/>
    <w:rsid w:val="00C94350"/>
    <w:rsid w:val="00C94623"/>
    <w:rsid w:val="00C960FD"/>
    <w:rsid w:val="00C9770F"/>
    <w:rsid w:val="00C97DB3"/>
    <w:rsid w:val="00C97EBF"/>
    <w:rsid w:val="00CA174E"/>
    <w:rsid w:val="00CA24C4"/>
    <w:rsid w:val="00CA2AA5"/>
    <w:rsid w:val="00CA2AD2"/>
    <w:rsid w:val="00CA2DF5"/>
    <w:rsid w:val="00CA2EA8"/>
    <w:rsid w:val="00CA361F"/>
    <w:rsid w:val="00CA38E2"/>
    <w:rsid w:val="00CA436D"/>
    <w:rsid w:val="00CA480D"/>
    <w:rsid w:val="00CA60C8"/>
    <w:rsid w:val="00CA652C"/>
    <w:rsid w:val="00CA76B2"/>
    <w:rsid w:val="00CA7B20"/>
    <w:rsid w:val="00CA7C1A"/>
    <w:rsid w:val="00CA7CF0"/>
    <w:rsid w:val="00CA7E88"/>
    <w:rsid w:val="00CB08A2"/>
    <w:rsid w:val="00CB15F0"/>
    <w:rsid w:val="00CB1A41"/>
    <w:rsid w:val="00CB1E19"/>
    <w:rsid w:val="00CB26F1"/>
    <w:rsid w:val="00CB27C0"/>
    <w:rsid w:val="00CB2BE5"/>
    <w:rsid w:val="00CB2EF4"/>
    <w:rsid w:val="00CB32BA"/>
    <w:rsid w:val="00CB348F"/>
    <w:rsid w:val="00CB3F6B"/>
    <w:rsid w:val="00CB434C"/>
    <w:rsid w:val="00CB4823"/>
    <w:rsid w:val="00CB4949"/>
    <w:rsid w:val="00CB7428"/>
    <w:rsid w:val="00CB7494"/>
    <w:rsid w:val="00CC10D8"/>
    <w:rsid w:val="00CC13D3"/>
    <w:rsid w:val="00CC1A79"/>
    <w:rsid w:val="00CC28DB"/>
    <w:rsid w:val="00CC3432"/>
    <w:rsid w:val="00CC3442"/>
    <w:rsid w:val="00CC38FF"/>
    <w:rsid w:val="00CC3943"/>
    <w:rsid w:val="00CC3A48"/>
    <w:rsid w:val="00CC3A54"/>
    <w:rsid w:val="00CC3AE5"/>
    <w:rsid w:val="00CC3EC7"/>
    <w:rsid w:val="00CC3F0D"/>
    <w:rsid w:val="00CC42FA"/>
    <w:rsid w:val="00CC4489"/>
    <w:rsid w:val="00CC54E7"/>
    <w:rsid w:val="00CC551E"/>
    <w:rsid w:val="00CC57EA"/>
    <w:rsid w:val="00CC5AFA"/>
    <w:rsid w:val="00CC6953"/>
    <w:rsid w:val="00CC793D"/>
    <w:rsid w:val="00CC7F83"/>
    <w:rsid w:val="00CC7FB1"/>
    <w:rsid w:val="00CD0A5D"/>
    <w:rsid w:val="00CD12DC"/>
    <w:rsid w:val="00CD1347"/>
    <w:rsid w:val="00CD15F0"/>
    <w:rsid w:val="00CD17BB"/>
    <w:rsid w:val="00CD19D7"/>
    <w:rsid w:val="00CD21DF"/>
    <w:rsid w:val="00CD2C77"/>
    <w:rsid w:val="00CD3FA2"/>
    <w:rsid w:val="00CD3FD8"/>
    <w:rsid w:val="00CD4675"/>
    <w:rsid w:val="00CD481E"/>
    <w:rsid w:val="00CD5612"/>
    <w:rsid w:val="00CD5629"/>
    <w:rsid w:val="00CD5630"/>
    <w:rsid w:val="00CD56D0"/>
    <w:rsid w:val="00CD5933"/>
    <w:rsid w:val="00CD6297"/>
    <w:rsid w:val="00CD64D6"/>
    <w:rsid w:val="00CD64F2"/>
    <w:rsid w:val="00CD719E"/>
    <w:rsid w:val="00CD741C"/>
    <w:rsid w:val="00CE0A2C"/>
    <w:rsid w:val="00CE0B00"/>
    <w:rsid w:val="00CE0F40"/>
    <w:rsid w:val="00CE1174"/>
    <w:rsid w:val="00CE2901"/>
    <w:rsid w:val="00CE2FF1"/>
    <w:rsid w:val="00CE3713"/>
    <w:rsid w:val="00CE3810"/>
    <w:rsid w:val="00CE4389"/>
    <w:rsid w:val="00CE6435"/>
    <w:rsid w:val="00CE6C39"/>
    <w:rsid w:val="00CE734C"/>
    <w:rsid w:val="00CE7754"/>
    <w:rsid w:val="00CF01CD"/>
    <w:rsid w:val="00CF09A8"/>
    <w:rsid w:val="00CF0EF1"/>
    <w:rsid w:val="00CF1B77"/>
    <w:rsid w:val="00CF2E2F"/>
    <w:rsid w:val="00CF40BD"/>
    <w:rsid w:val="00CF40F1"/>
    <w:rsid w:val="00CF46D0"/>
    <w:rsid w:val="00CF49C9"/>
    <w:rsid w:val="00CF545C"/>
    <w:rsid w:val="00CF6420"/>
    <w:rsid w:val="00CF65EB"/>
    <w:rsid w:val="00CF67C4"/>
    <w:rsid w:val="00CF73F2"/>
    <w:rsid w:val="00CF79B7"/>
    <w:rsid w:val="00D00A35"/>
    <w:rsid w:val="00D00FC8"/>
    <w:rsid w:val="00D019BB"/>
    <w:rsid w:val="00D01FFF"/>
    <w:rsid w:val="00D02B11"/>
    <w:rsid w:val="00D039C4"/>
    <w:rsid w:val="00D03DAA"/>
    <w:rsid w:val="00D04436"/>
    <w:rsid w:val="00D04A23"/>
    <w:rsid w:val="00D04A5E"/>
    <w:rsid w:val="00D06274"/>
    <w:rsid w:val="00D065D4"/>
    <w:rsid w:val="00D06773"/>
    <w:rsid w:val="00D067F0"/>
    <w:rsid w:val="00D06D22"/>
    <w:rsid w:val="00D11B1F"/>
    <w:rsid w:val="00D11EA7"/>
    <w:rsid w:val="00D135DC"/>
    <w:rsid w:val="00D13750"/>
    <w:rsid w:val="00D1397A"/>
    <w:rsid w:val="00D15459"/>
    <w:rsid w:val="00D15814"/>
    <w:rsid w:val="00D15B7B"/>
    <w:rsid w:val="00D1641B"/>
    <w:rsid w:val="00D17CE5"/>
    <w:rsid w:val="00D2037F"/>
    <w:rsid w:val="00D219D7"/>
    <w:rsid w:val="00D21CF1"/>
    <w:rsid w:val="00D21E2F"/>
    <w:rsid w:val="00D22A84"/>
    <w:rsid w:val="00D24586"/>
    <w:rsid w:val="00D249E9"/>
    <w:rsid w:val="00D24C14"/>
    <w:rsid w:val="00D24D77"/>
    <w:rsid w:val="00D24FDA"/>
    <w:rsid w:val="00D2581C"/>
    <w:rsid w:val="00D26AD7"/>
    <w:rsid w:val="00D26B31"/>
    <w:rsid w:val="00D26FB1"/>
    <w:rsid w:val="00D27639"/>
    <w:rsid w:val="00D30782"/>
    <w:rsid w:val="00D31845"/>
    <w:rsid w:val="00D31A8F"/>
    <w:rsid w:val="00D32478"/>
    <w:rsid w:val="00D329EA"/>
    <w:rsid w:val="00D32D66"/>
    <w:rsid w:val="00D32E7B"/>
    <w:rsid w:val="00D33305"/>
    <w:rsid w:val="00D333D3"/>
    <w:rsid w:val="00D338AF"/>
    <w:rsid w:val="00D339B9"/>
    <w:rsid w:val="00D33F99"/>
    <w:rsid w:val="00D34FD6"/>
    <w:rsid w:val="00D3543B"/>
    <w:rsid w:val="00D35AF8"/>
    <w:rsid w:val="00D36273"/>
    <w:rsid w:val="00D36442"/>
    <w:rsid w:val="00D36EA6"/>
    <w:rsid w:val="00D36FF2"/>
    <w:rsid w:val="00D370FD"/>
    <w:rsid w:val="00D3767B"/>
    <w:rsid w:val="00D37E13"/>
    <w:rsid w:val="00D37EE0"/>
    <w:rsid w:val="00D407E3"/>
    <w:rsid w:val="00D40E32"/>
    <w:rsid w:val="00D4105A"/>
    <w:rsid w:val="00D41431"/>
    <w:rsid w:val="00D4155E"/>
    <w:rsid w:val="00D418C6"/>
    <w:rsid w:val="00D41E94"/>
    <w:rsid w:val="00D42DC1"/>
    <w:rsid w:val="00D42E06"/>
    <w:rsid w:val="00D42F76"/>
    <w:rsid w:val="00D43415"/>
    <w:rsid w:val="00D43567"/>
    <w:rsid w:val="00D435FA"/>
    <w:rsid w:val="00D43DDC"/>
    <w:rsid w:val="00D43F66"/>
    <w:rsid w:val="00D442F1"/>
    <w:rsid w:val="00D443BF"/>
    <w:rsid w:val="00D44453"/>
    <w:rsid w:val="00D4476C"/>
    <w:rsid w:val="00D4488D"/>
    <w:rsid w:val="00D44D39"/>
    <w:rsid w:val="00D4503E"/>
    <w:rsid w:val="00D4525C"/>
    <w:rsid w:val="00D45330"/>
    <w:rsid w:val="00D45507"/>
    <w:rsid w:val="00D45E18"/>
    <w:rsid w:val="00D46C4B"/>
    <w:rsid w:val="00D47006"/>
    <w:rsid w:val="00D47242"/>
    <w:rsid w:val="00D479B3"/>
    <w:rsid w:val="00D47A05"/>
    <w:rsid w:val="00D5075A"/>
    <w:rsid w:val="00D51050"/>
    <w:rsid w:val="00D52406"/>
    <w:rsid w:val="00D52499"/>
    <w:rsid w:val="00D53090"/>
    <w:rsid w:val="00D54112"/>
    <w:rsid w:val="00D54303"/>
    <w:rsid w:val="00D5435A"/>
    <w:rsid w:val="00D549C6"/>
    <w:rsid w:val="00D54A46"/>
    <w:rsid w:val="00D54BB6"/>
    <w:rsid w:val="00D54EDF"/>
    <w:rsid w:val="00D54F93"/>
    <w:rsid w:val="00D554A5"/>
    <w:rsid w:val="00D55867"/>
    <w:rsid w:val="00D55941"/>
    <w:rsid w:val="00D56E5A"/>
    <w:rsid w:val="00D5706C"/>
    <w:rsid w:val="00D577F5"/>
    <w:rsid w:val="00D610B7"/>
    <w:rsid w:val="00D618AA"/>
    <w:rsid w:val="00D6254F"/>
    <w:rsid w:val="00D63932"/>
    <w:rsid w:val="00D63FF7"/>
    <w:rsid w:val="00D6436C"/>
    <w:rsid w:val="00D64F08"/>
    <w:rsid w:val="00D66385"/>
    <w:rsid w:val="00D66C7C"/>
    <w:rsid w:val="00D66D68"/>
    <w:rsid w:val="00D673C7"/>
    <w:rsid w:val="00D67833"/>
    <w:rsid w:val="00D67EE7"/>
    <w:rsid w:val="00D700CF"/>
    <w:rsid w:val="00D709C0"/>
    <w:rsid w:val="00D70E30"/>
    <w:rsid w:val="00D712CA"/>
    <w:rsid w:val="00D7147B"/>
    <w:rsid w:val="00D7176A"/>
    <w:rsid w:val="00D7271B"/>
    <w:rsid w:val="00D7278C"/>
    <w:rsid w:val="00D72F2F"/>
    <w:rsid w:val="00D73BF8"/>
    <w:rsid w:val="00D73DB5"/>
    <w:rsid w:val="00D7444D"/>
    <w:rsid w:val="00D749F8"/>
    <w:rsid w:val="00D74A6A"/>
    <w:rsid w:val="00D74F58"/>
    <w:rsid w:val="00D75176"/>
    <w:rsid w:val="00D766EC"/>
    <w:rsid w:val="00D76A86"/>
    <w:rsid w:val="00D76EA1"/>
    <w:rsid w:val="00D76F64"/>
    <w:rsid w:val="00D8002E"/>
    <w:rsid w:val="00D8006C"/>
    <w:rsid w:val="00D8023B"/>
    <w:rsid w:val="00D816F4"/>
    <w:rsid w:val="00D818D0"/>
    <w:rsid w:val="00D81B78"/>
    <w:rsid w:val="00D81D76"/>
    <w:rsid w:val="00D8257A"/>
    <w:rsid w:val="00D8324C"/>
    <w:rsid w:val="00D834FB"/>
    <w:rsid w:val="00D854D9"/>
    <w:rsid w:val="00D861B3"/>
    <w:rsid w:val="00D870E9"/>
    <w:rsid w:val="00D9058B"/>
    <w:rsid w:val="00D906BD"/>
    <w:rsid w:val="00D90715"/>
    <w:rsid w:val="00D90802"/>
    <w:rsid w:val="00D90C26"/>
    <w:rsid w:val="00D90E3D"/>
    <w:rsid w:val="00D912F4"/>
    <w:rsid w:val="00D91BDD"/>
    <w:rsid w:val="00D91BF3"/>
    <w:rsid w:val="00D91DB0"/>
    <w:rsid w:val="00D926BE"/>
    <w:rsid w:val="00D9306F"/>
    <w:rsid w:val="00D93A50"/>
    <w:rsid w:val="00D94521"/>
    <w:rsid w:val="00D94B25"/>
    <w:rsid w:val="00D95284"/>
    <w:rsid w:val="00D96302"/>
    <w:rsid w:val="00D972DD"/>
    <w:rsid w:val="00D97438"/>
    <w:rsid w:val="00D97E54"/>
    <w:rsid w:val="00DA0562"/>
    <w:rsid w:val="00DA198D"/>
    <w:rsid w:val="00DA1AC4"/>
    <w:rsid w:val="00DA1F13"/>
    <w:rsid w:val="00DA23B0"/>
    <w:rsid w:val="00DA250C"/>
    <w:rsid w:val="00DA2535"/>
    <w:rsid w:val="00DA29DC"/>
    <w:rsid w:val="00DA3130"/>
    <w:rsid w:val="00DA31C7"/>
    <w:rsid w:val="00DA3847"/>
    <w:rsid w:val="00DA394B"/>
    <w:rsid w:val="00DA3FB4"/>
    <w:rsid w:val="00DA4C98"/>
    <w:rsid w:val="00DA5873"/>
    <w:rsid w:val="00DA5957"/>
    <w:rsid w:val="00DA64A2"/>
    <w:rsid w:val="00DA69B2"/>
    <w:rsid w:val="00DA7374"/>
    <w:rsid w:val="00DB01A5"/>
    <w:rsid w:val="00DB108F"/>
    <w:rsid w:val="00DB1388"/>
    <w:rsid w:val="00DB13CF"/>
    <w:rsid w:val="00DB1AF7"/>
    <w:rsid w:val="00DB20FC"/>
    <w:rsid w:val="00DB227E"/>
    <w:rsid w:val="00DB2E60"/>
    <w:rsid w:val="00DB36F7"/>
    <w:rsid w:val="00DB37F4"/>
    <w:rsid w:val="00DB3C26"/>
    <w:rsid w:val="00DB3E0A"/>
    <w:rsid w:val="00DB450E"/>
    <w:rsid w:val="00DB48DF"/>
    <w:rsid w:val="00DB4BB5"/>
    <w:rsid w:val="00DB5DC8"/>
    <w:rsid w:val="00DB78FA"/>
    <w:rsid w:val="00DC0B83"/>
    <w:rsid w:val="00DC1DAC"/>
    <w:rsid w:val="00DC27CD"/>
    <w:rsid w:val="00DC3913"/>
    <w:rsid w:val="00DC393F"/>
    <w:rsid w:val="00DC3BE5"/>
    <w:rsid w:val="00DC4904"/>
    <w:rsid w:val="00DC4EF1"/>
    <w:rsid w:val="00DC5C2B"/>
    <w:rsid w:val="00DC5DB7"/>
    <w:rsid w:val="00DC6AA5"/>
    <w:rsid w:val="00DC7228"/>
    <w:rsid w:val="00DC76FE"/>
    <w:rsid w:val="00DC7749"/>
    <w:rsid w:val="00DD0488"/>
    <w:rsid w:val="00DD0C5C"/>
    <w:rsid w:val="00DD0F0F"/>
    <w:rsid w:val="00DD1A18"/>
    <w:rsid w:val="00DD1D1B"/>
    <w:rsid w:val="00DD221E"/>
    <w:rsid w:val="00DD260B"/>
    <w:rsid w:val="00DD2969"/>
    <w:rsid w:val="00DD29CC"/>
    <w:rsid w:val="00DD2A8E"/>
    <w:rsid w:val="00DD439C"/>
    <w:rsid w:val="00DD4A1F"/>
    <w:rsid w:val="00DD4E20"/>
    <w:rsid w:val="00DD4EC0"/>
    <w:rsid w:val="00DD541F"/>
    <w:rsid w:val="00DD6712"/>
    <w:rsid w:val="00DD6D65"/>
    <w:rsid w:val="00DD719F"/>
    <w:rsid w:val="00DD77B8"/>
    <w:rsid w:val="00DD77EF"/>
    <w:rsid w:val="00DE001C"/>
    <w:rsid w:val="00DE0877"/>
    <w:rsid w:val="00DE0D95"/>
    <w:rsid w:val="00DE0E14"/>
    <w:rsid w:val="00DE1447"/>
    <w:rsid w:val="00DE184D"/>
    <w:rsid w:val="00DE264A"/>
    <w:rsid w:val="00DE3062"/>
    <w:rsid w:val="00DE345C"/>
    <w:rsid w:val="00DE34AC"/>
    <w:rsid w:val="00DE46F2"/>
    <w:rsid w:val="00DE4787"/>
    <w:rsid w:val="00DE489F"/>
    <w:rsid w:val="00DE52BC"/>
    <w:rsid w:val="00DE5330"/>
    <w:rsid w:val="00DE5B6B"/>
    <w:rsid w:val="00DE6B1D"/>
    <w:rsid w:val="00DE6C17"/>
    <w:rsid w:val="00DE72D8"/>
    <w:rsid w:val="00DE7538"/>
    <w:rsid w:val="00DE7C27"/>
    <w:rsid w:val="00DF02AF"/>
    <w:rsid w:val="00DF05EE"/>
    <w:rsid w:val="00DF12C8"/>
    <w:rsid w:val="00DF15A8"/>
    <w:rsid w:val="00DF1BC4"/>
    <w:rsid w:val="00DF24B2"/>
    <w:rsid w:val="00DF2CA7"/>
    <w:rsid w:val="00DF3345"/>
    <w:rsid w:val="00DF345F"/>
    <w:rsid w:val="00DF365B"/>
    <w:rsid w:val="00DF4119"/>
    <w:rsid w:val="00DF48B6"/>
    <w:rsid w:val="00DF594F"/>
    <w:rsid w:val="00DF5FBA"/>
    <w:rsid w:val="00DF77B1"/>
    <w:rsid w:val="00DF7A8A"/>
    <w:rsid w:val="00E010D7"/>
    <w:rsid w:val="00E01C28"/>
    <w:rsid w:val="00E01D47"/>
    <w:rsid w:val="00E02364"/>
    <w:rsid w:val="00E02A33"/>
    <w:rsid w:val="00E02A77"/>
    <w:rsid w:val="00E02E9D"/>
    <w:rsid w:val="00E0362B"/>
    <w:rsid w:val="00E03DCB"/>
    <w:rsid w:val="00E03EA5"/>
    <w:rsid w:val="00E04070"/>
    <w:rsid w:val="00E04359"/>
    <w:rsid w:val="00E04B36"/>
    <w:rsid w:val="00E04D60"/>
    <w:rsid w:val="00E0513F"/>
    <w:rsid w:val="00E05D96"/>
    <w:rsid w:val="00E064B0"/>
    <w:rsid w:val="00E0669B"/>
    <w:rsid w:val="00E06E38"/>
    <w:rsid w:val="00E07CAA"/>
    <w:rsid w:val="00E106F0"/>
    <w:rsid w:val="00E10837"/>
    <w:rsid w:val="00E11BBA"/>
    <w:rsid w:val="00E11C89"/>
    <w:rsid w:val="00E12672"/>
    <w:rsid w:val="00E12C24"/>
    <w:rsid w:val="00E133B5"/>
    <w:rsid w:val="00E135A6"/>
    <w:rsid w:val="00E13E57"/>
    <w:rsid w:val="00E14A47"/>
    <w:rsid w:val="00E15503"/>
    <w:rsid w:val="00E15585"/>
    <w:rsid w:val="00E1559F"/>
    <w:rsid w:val="00E1592F"/>
    <w:rsid w:val="00E165B3"/>
    <w:rsid w:val="00E1687A"/>
    <w:rsid w:val="00E16A71"/>
    <w:rsid w:val="00E17944"/>
    <w:rsid w:val="00E17BA7"/>
    <w:rsid w:val="00E204A9"/>
    <w:rsid w:val="00E207B8"/>
    <w:rsid w:val="00E21446"/>
    <w:rsid w:val="00E22161"/>
    <w:rsid w:val="00E22292"/>
    <w:rsid w:val="00E22418"/>
    <w:rsid w:val="00E2291B"/>
    <w:rsid w:val="00E22CE2"/>
    <w:rsid w:val="00E248AB"/>
    <w:rsid w:val="00E24F3D"/>
    <w:rsid w:val="00E252A4"/>
    <w:rsid w:val="00E25702"/>
    <w:rsid w:val="00E259BD"/>
    <w:rsid w:val="00E25BBE"/>
    <w:rsid w:val="00E262B7"/>
    <w:rsid w:val="00E26680"/>
    <w:rsid w:val="00E3000A"/>
    <w:rsid w:val="00E30789"/>
    <w:rsid w:val="00E310AB"/>
    <w:rsid w:val="00E31F8F"/>
    <w:rsid w:val="00E322BD"/>
    <w:rsid w:val="00E33211"/>
    <w:rsid w:val="00E335C6"/>
    <w:rsid w:val="00E33E3D"/>
    <w:rsid w:val="00E340DF"/>
    <w:rsid w:val="00E35B30"/>
    <w:rsid w:val="00E35BC4"/>
    <w:rsid w:val="00E36344"/>
    <w:rsid w:val="00E373BD"/>
    <w:rsid w:val="00E37648"/>
    <w:rsid w:val="00E37BFC"/>
    <w:rsid w:val="00E37C11"/>
    <w:rsid w:val="00E37DB0"/>
    <w:rsid w:val="00E414C7"/>
    <w:rsid w:val="00E41A88"/>
    <w:rsid w:val="00E42004"/>
    <w:rsid w:val="00E42287"/>
    <w:rsid w:val="00E422D6"/>
    <w:rsid w:val="00E426B6"/>
    <w:rsid w:val="00E42A4C"/>
    <w:rsid w:val="00E4334B"/>
    <w:rsid w:val="00E43D64"/>
    <w:rsid w:val="00E440C5"/>
    <w:rsid w:val="00E44DFF"/>
    <w:rsid w:val="00E44ED5"/>
    <w:rsid w:val="00E467B1"/>
    <w:rsid w:val="00E46C4A"/>
    <w:rsid w:val="00E46FEC"/>
    <w:rsid w:val="00E47570"/>
    <w:rsid w:val="00E510E7"/>
    <w:rsid w:val="00E51478"/>
    <w:rsid w:val="00E522B1"/>
    <w:rsid w:val="00E52457"/>
    <w:rsid w:val="00E52603"/>
    <w:rsid w:val="00E53575"/>
    <w:rsid w:val="00E54884"/>
    <w:rsid w:val="00E5520E"/>
    <w:rsid w:val="00E555A1"/>
    <w:rsid w:val="00E55804"/>
    <w:rsid w:val="00E5581D"/>
    <w:rsid w:val="00E5661D"/>
    <w:rsid w:val="00E56A04"/>
    <w:rsid w:val="00E56BE9"/>
    <w:rsid w:val="00E57341"/>
    <w:rsid w:val="00E5735C"/>
    <w:rsid w:val="00E57C07"/>
    <w:rsid w:val="00E601E2"/>
    <w:rsid w:val="00E606A5"/>
    <w:rsid w:val="00E608FB"/>
    <w:rsid w:val="00E617C3"/>
    <w:rsid w:val="00E619BA"/>
    <w:rsid w:val="00E63841"/>
    <w:rsid w:val="00E6442F"/>
    <w:rsid w:val="00E647F1"/>
    <w:rsid w:val="00E64845"/>
    <w:rsid w:val="00E648FB"/>
    <w:rsid w:val="00E65199"/>
    <w:rsid w:val="00E65D28"/>
    <w:rsid w:val="00E6611F"/>
    <w:rsid w:val="00E66317"/>
    <w:rsid w:val="00E66834"/>
    <w:rsid w:val="00E6742B"/>
    <w:rsid w:val="00E70F20"/>
    <w:rsid w:val="00E71304"/>
    <w:rsid w:val="00E71754"/>
    <w:rsid w:val="00E722CE"/>
    <w:rsid w:val="00E72F84"/>
    <w:rsid w:val="00E73A09"/>
    <w:rsid w:val="00E74696"/>
    <w:rsid w:val="00E76B4C"/>
    <w:rsid w:val="00E77479"/>
    <w:rsid w:val="00E779C4"/>
    <w:rsid w:val="00E77F5A"/>
    <w:rsid w:val="00E80429"/>
    <w:rsid w:val="00E8139A"/>
    <w:rsid w:val="00E81F6A"/>
    <w:rsid w:val="00E82E11"/>
    <w:rsid w:val="00E83269"/>
    <w:rsid w:val="00E8446A"/>
    <w:rsid w:val="00E84E3B"/>
    <w:rsid w:val="00E84F7A"/>
    <w:rsid w:val="00E8581F"/>
    <w:rsid w:val="00E85E52"/>
    <w:rsid w:val="00E86714"/>
    <w:rsid w:val="00E86960"/>
    <w:rsid w:val="00E86B65"/>
    <w:rsid w:val="00E86BA6"/>
    <w:rsid w:val="00E86F78"/>
    <w:rsid w:val="00E8734F"/>
    <w:rsid w:val="00E876FF"/>
    <w:rsid w:val="00E87B22"/>
    <w:rsid w:val="00E87D01"/>
    <w:rsid w:val="00E900B0"/>
    <w:rsid w:val="00E902C3"/>
    <w:rsid w:val="00E9066E"/>
    <w:rsid w:val="00E9079D"/>
    <w:rsid w:val="00E90E43"/>
    <w:rsid w:val="00E917D4"/>
    <w:rsid w:val="00E91E4B"/>
    <w:rsid w:val="00E91F81"/>
    <w:rsid w:val="00E924EB"/>
    <w:rsid w:val="00E92673"/>
    <w:rsid w:val="00E930DB"/>
    <w:rsid w:val="00E9423D"/>
    <w:rsid w:val="00E9441A"/>
    <w:rsid w:val="00E94CCB"/>
    <w:rsid w:val="00E951D5"/>
    <w:rsid w:val="00E95CA7"/>
    <w:rsid w:val="00E95FB7"/>
    <w:rsid w:val="00E9648A"/>
    <w:rsid w:val="00E9660C"/>
    <w:rsid w:val="00E9714E"/>
    <w:rsid w:val="00E97684"/>
    <w:rsid w:val="00E979E5"/>
    <w:rsid w:val="00E97A34"/>
    <w:rsid w:val="00EA0AC5"/>
    <w:rsid w:val="00EA0FC6"/>
    <w:rsid w:val="00EA1DC2"/>
    <w:rsid w:val="00EA2215"/>
    <w:rsid w:val="00EA2C76"/>
    <w:rsid w:val="00EA32E7"/>
    <w:rsid w:val="00EA33BE"/>
    <w:rsid w:val="00EA35A0"/>
    <w:rsid w:val="00EA37B9"/>
    <w:rsid w:val="00EA3D96"/>
    <w:rsid w:val="00EA4398"/>
    <w:rsid w:val="00EA43BB"/>
    <w:rsid w:val="00EA4A4E"/>
    <w:rsid w:val="00EA4B5C"/>
    <w:rsid w:val="00EA4E35"/>
    <w:rsid w:val="00EA5E61"/>
    <w:rsid w:val="00EA60C4"/>
    <w:rsid w:val="00EA61A3"/>
    <w:rsid w:val="00EA6961"/>
    <w:rsid w:val="00EA7317"/>
    <w:rsid w:val="00EA7450"/>
    <w:rsid w:val="00EB0DCF"/>
    <w:rsid w:val="00EB1605"/>
    <w:rsid w:val="00EB2600"/>
    <w:rsid w:val="00EB308A"/>
    <w:rsid w:val="00EB3409"/>
    <w:rsid w:val="00EB3690"/>
    <w:rsid w:val="00EB3CE1"/>
    <w:rsid w:val="00EB3E55"/>
    <w:rsid w:val="00EB4573"/>
    <w:rsid w:val="00EB4D28"/>
    <w:rsid w:val="00EB5730"/>
    <w:rsid w:val="00EB59B6"/>
    <w:rsid w:val="00EB5BCB"/>
    <w:rsid w:val="00EB60C2"/>
    <w:rsid w:val="00EB7083"/>
    <w:rsid w:val="00EB7154"/>
    <w:rsid w:val="00EB71D8"/>
    <w:rsid w:val="00EB73D6"/>
    <w:rsid w:val="00EB7DBA"/>
    <w:rsid w:val="00EC015E"/>
    <w:rsid w:val="00EC0620"/>
    <w:rsid w:val="00EC0944"/>
    <w:rsid w:val="00EC1031"/>
    <w:rsid w:val="00EC150E"/>
    <w:rsid w:val="00EC23D0"/>
    <w:rsid w:val="00EC241C"/>
    <w:rsid w:val="00EC2A98"/>
    <w:rsid w:val="00EC3270"/>
    <w:rsid w:val="00EC4819"/>
    <w:rsid w:val="00EC4DE6"/>
    <w:rsid w:val="00EC61A2"/>
    <w:rsid w:val="00EC63AF"/>
    <w:rsid w:val="00EC661B"/>
    <w:rsid w:val="00EC682D"/>
    <w:rsid w:val="00ED0183"/>
    <w:rsid w:val="00ED05D4"/>
    <w:rsid w:val="00ED0DDF"/>
    <w:rsid w:val="00ED111E"/>
    <w:rsid w:val="00ED16E8"/>
    <w:rsid w:val="00ED1729"/>
    <w:rsid w:val="00ED1A4B"/>
    <w:rsid w:val="00ED1C2A"/>
    <w:rsid w:val="00ED1D81"/>
    <w:rsid w:val="00ED1FA8"/>
    <w:rsid w:val="00ED2E88"/>
    <w:rsid w:val="00ED30BE"/>
    <w:rsid w:val="00ED30F1"/>
    <w:rsid w:val="00ED3130"/>
    <w:rsid w:val="00ED33D2"/>
    <w:rsid w:val="00ED35B7"/>
    <w:rsid w:val="00ED3F4A"/>
    <w:rsid w:val="00ED4F0E"/>
    <w:rsid w:val="00ED50A3"/>
    <w:rsid w:val="00ED54D2"/>
    <w:rsid w:val="00ED5FEB"/>
    <w:rsid w:val="00ED65A4"/>
    <w:rsid w:val="00ED6957"/>
    <w:rsid w:val="00ED733F"/>
    <w:rsid w:val="00ED7737"/>
    <w:rsid w:val="00EE11D7"/>
    <w:rsid w:val="00EE1E71"/>
    <w:rsid w:val="00EE1F82"/>
    <w:rsid w:val="00EE2442"/>
    <w:rsid w:val="00EE28A2"/>
    <w:rsid w:val="00EE28A7"/>
    <w:rsid w:val="00EE34C5"/>
    <w:rsid w:val="00EE3904"/>
    <w:rsid w:val="00EE4CA7"/>
    <w:rsid w:val="00EE52A6"/>
    <w:rsid w:val="00EE57E4"/>
    <w:rsid w:val="00EE5B95"/>
    <w:rsid w:val="00EE6164"/>
    <w:rsid w:val="00EE7435"/>
    <w:rsid w:val="00EF0ED4"/>
    <w:rsid w:val="00EF0FF0"/>
    <w:rsid w:val="00EF155B"/>
    <w:rsid w:val="00EF2766"/>
    <w:rsid w:val="00EF2D3A"/>
    <w:rsid w:val="00EF305A"/>
    <w:rsid w:val="00EF3162"/>
    <w:rsid w:val="00EF38C5"/>
    <w:rsid w:val="00EF3D35"/>
    <w:rsid w:val="00EF3FFE"/>
    <w:rsid w:val="00EF40BA"/>
    <w:rsid w:val="00EF4205"/>
    <w:rsid w:val="00EF49FC"/>
    <w:rsid w:val="00EF4B24"/>
    <w:rsid w:val="00EF4E9F"/>
    <w:rsid w:val="00EF4FCD"/>
    <w:rsid w:val="00EF56E6"/>
    <w:rsid w:val="00EF5F0D"/>
    <w:rsid w:val="00EF67C8"/>
    <w:rsid w:val="00EF70E8"/>
    <w:rsid w:val="00EF73D3"/>
    <w:rsid w:val="00EF759F"/>
    <w:rsid w:val="00EF7B83"/>
    <w:rsid w:val="00F0002A"/>
    <w:rsid w:val="00F00BC0"/>
    <w:rsid w:val="00F0149E"/>
    <w:rsid w:val="00F017A4"/>
    <w:rsid w:val="00F01A50"/>
    <w:rsid w:val="00F02581"/>
    <w:rsid w:val="00F030DE"/>
    <w:rsid w:val="00F03888"/>
    <w:rsid w:val="00F03AC3"/>
    <w:rsid w:val="00F04D1E"/>
    <w:rsid w:val="00F05E60"/>
    <w:rsid w:val="00F06476"/>
    <w:rsid w:val="00F06BA4"/>
    <w:rsid w:val="00F06DA7"/>
    <w:rsid w:val="00F0713D"/>
    <w:rsid w:val="00F10155"/>
    <w:rsid w:val="00F117B3"/>
    <w:rsid w:val="00F12A38"/>
    <w:rsid w:val="00F12B83"/>
    <w:rsid w:val="00F1359D"/>
    <w:rsid w:val="00F146EA"/>
    <w:rsid w:val="00F15368"/>
    <w:rsid w:val="00F15DCE"/>
    <w:rsid w:val="00F163D6"/>
    <w:rsid w:val="00F16CC3"/>
    <w:rsid w:val="00F17200"/>
    <w:rsid w:val="00F20196"/>
    <w:rsid w:val="00F20694"/>
    <w:rsid w:val="00F213C5"/>
    <w:rsid w:val="00F22502"/>
    <w:rsid w:val="00F226CC"/>
    <w:rsid w:val="00F23232"/>
    <w:rsid w:val="00F23B74"/>
    <w:rsid w:val="00F241DB"/>
    <w:rsid w:val="00F24511"/>
    <w:rsid w:val="00F246DD"/>
    <w:rsid w:val="00F255E3"/>
    <w:rsid w:val="00F25641"/>
    <w:rsid w:val="00F25A36"/>
    <w:rsid w:val="00F26103"/>
    <w:rsid w:val="00F26302"/>
    <w:rsid w:val="00F26497"/>
    <w:rsid w:val="00F2681B"/>
    <w:rsid w:val="00F276B4"/>
    <w:rsid w:val="00F30356"/>
    <w:rsid w:val="00F305BA"/>
    <w:rsid w:val="00F31A22"/>
    <w:rsid w:val="00F33378"/>
    <w:rsid w:val="00F33474"/>
    <w:rsid w:val="00F3394F"/>
    <w:rsid w:val="00F342AC"/>
    <w:rsid w:val="00F344DA"/>
    <w:rsid w:val="00F34D68"/>
    <w:rsid w:val="00F34E5E"/>
    <w:rsid w:val="00F35C1C"/>
    <w:rsid w:val="00F36A97"/>
    <w:rsid w:val="00F3707D"/>
    <w:rsid w:val="00F37C1C"/>
    <w:rsid w:val="00F37DFB"/>
    <w:rsid w:val="00F40074"/>
    <w:rsid w:val="00F40337"/>
    <w:rsid w:val="00F41713"/>
    <w:rsid w:val="00F41EAD"/>
    <w:rsid w:val="00F423DC"/>
    <w:rsid w:val="00F4297A"/>
    <w:rsid w:val="00F43994"/>
    <w:rsid w:val="00F43B84"/>
    <w:rsid w:val="00F45B23"/>
    <w:rsid w:val="00F4643A"/>
    <w:rsid w:val="00F4671C"/>
    <w:rsid w:val="00F46FE3"/>
    <w:rsid w:val="00F474BE"/>
    <w:rsid w:val="00F477BF"/>
    <w:rsid w:val="00F47B76"/>
    <w:rsid w:val="00F5004C"/>
    <w:rsid w:val="00F501E5"/>
    <w:rsid w:val="00F508D1"/>
    <w:rsid w:val="00F511E3"/>
    <w:rsid w:val="00F51344"/>
    <w:rsid w:val="00F51411"/>
    <w:rsid w:val="00F51940"/>
    <w:rsid w:val="00F51A8B"/>
    <w:rsid w:val="00F52365"/>
    <w:rsid w:val="00F52B2C"/>
    <w:rsid w:val="00F52B8A"/>
    <w:rsid w:val="00F52F0D"/>
    <w:rsid w:val="00F5318C"/>
    <w:rsid w:val="00F5322B"/>
    <w:rsid w:val="00F53320"/>
    <w:rsid w:val="00F539F0"/>
    <w:rsid w:val="00F53BBC"/>
    <w:rsid w:val="00F53D5E"/>
    <w:rsid w:val="00F53E29"/>
    <w:rsid w:val="00F543D6"/>
    <w:rsid w:val="00F54723"/>
    <w:rsid w:val="00F54948"/>
    <w:rsid w:val="00F55916"/>
    <w:rsid w:val="00F55A1E"/>
    <w:rsid w:val="00F56D95"/>
    <w:rsid w:val="00F57216"/>
    <w:rsid w:val="00F5737C"/>
    <w:rsid w:val="00F57915"/>
    <w:rsid w:val="00F57F8B"/>
    <w:rsid w:val="00F61207"/>
    <w:rsid w:val="00F61561"/>
    <w:rsid w:val="00F61603"/>
    <w:rsid w:val="00F6194D"/>
    <w:rsid w:val="00F61C99"/>
    <w:rsid w:val="00F61E42"/>
    <w:rsid w:val="00F62210"/>
    <w:rsid w:val="00F623C6"/>
    <w:rsid w:val="00F62A35"/>
    <w:rsid w:val="00F62E41"/>
    <w:rsid w:val="00F63547"/>
    <w:rsid w:val="00F6370B"/>
    <w:rsid w:val="00F63C17"/>
    <w:rsid w:val="00F6494A"/>
    <w:rsid w:val="00F64A15"/>
    <w:rsid w:val="00F65EE0"/>
    <w:rsid w:val="00F65FB1"/>
    <w:rsid w:val="00F66236"/>
    <w:rsid w:val="00F677DA"/>
    <w:rsid w:val="00F7034D"/>
    <w:rsid w:val="00F7066F"/>
    <w:rsid w:val="00F707A2"/>
    <w:rsid w:val="00F70A38"/>
    <w:rsid w:val="00F70CAA"/>
    <w:rsid w:val="00F73680"/>
    <w:rsid w:val="00F7371A"/>
    <w:rsid w:val="00F74BDE"/>
    <w:rsid w:val="00F75D58"/>
    <w:rsid w:val="00F76410"/>
    <w:rsid w:val="00F76EF9"/>
    <w:rsid w:val="00F779CB"/>
    <w:rsid w:val="00F804AD"/>
    <w:rsid w:val="00F809A5"/>
    <w:rsid w:val="00F81211"/>
    <w:rsid w:val="00F818FF"/>
    <w:rsid w:val="00F828AA"/>
    <w:rsid w:val="00F82B4B"/>
    <w:rsid w:val="00F82CA7"/>
    <w:rsid w:val="00F837AE"/>
    <w:rsid w:val="00F83828"/>
    <w:rsid w:val="00F83C25"/>
    <w:rsid w:val="00F84B92"/>
    <w:rsid w:val="00F8512F"/>
    <w:rsid w:val="00F862D6"/>
    <w:rsid w:val="00F86F7A"/>
    <w:rsid w:val="00F91953"/>
    <w:rsid w:val="00F920F7"/>
    <w:rsid w:val="00F922AD"/>
    <w:rsid w:val="00F94006"/>
    <w:rsid w:val="00F946EB"/>
    <w:rsid w:val="00F948B5"/>
    <w:rsid w:val="00F9496A"/>
    <w:rsid w:val="00F950B2"/>
    <w:rsid w:val="00F9588E"/>
    <w:rsid w:val="00F9594F"/>
    <w:rsid w:val="00F962A3"/>
    <w:rsid w:val="00F962E7"/>
    <w:rsid w:val="00F96511"/>
    <w:rsid w:val="00F9666C"/>
    <w:rsid w:val="00F96896"/>
    <w:rsid w:val="00F96FDA"/>
    <w:rsid w:val="00F975AC"/>
    <w:rsid w:val="00F97656"/>
    <w:rsid w:val="00FA0326"/>
    <w:rsid w:val="00FA06ED"/>
    <w:rsid w:val="00FA0AB3"/>
    <w:rsid w:val="00FA12A6"/>
    <w:rsid w:val="00FA171E"/>
    <w:rsid w:val="00FA196C"/>
    <w:rsid w:val="00FA212D"/>
    <w:rsid w:val="00FA2153"/>
    <w:rsid w:val="00FA2677"/>
    <w:rsid w:val="00FA26BF"/>
    <w:rsid w:val="00FA2AFE"/>
    <w:rsid w:val="00FA303F"/>
    <w:rsid w:val="00FA3BB5"/>
    <w:rsid w:val="00FA3F75"/>
    <w:rsid w:val="00FA4E27"/>
    <w:rsid w:val="00FA56D1"/>
    <w:rsid w:val="00FA5BF3"/>
    <w:rsid w:val="00FA5E38"/>
    <w:rsid w:val="00FA617A"/>
    <w:rsid w:val="00FA6CD9"/>
    <w:rsid w:val="00FA75A6"/>
    <w:rsid w:val="00FA7727"/>
    <w:rsid w:val="00FA778C"/>
    <w:rsid w:val="00FB01F6"/>
    <w:rsid w:val="00FB0930"/>
    <w:rsid w:val="00FB1669"/>
    <w:rsid w:val="00FB1726"/>
    <w:rsid w:val="00FB1A61"/>
    <w:rsid w:val="00FB1C61"/>
    <w:rsid w:val="00FB2076"/>
    <w:rsid w:val="00FB2680"/>
    <w:rsid w:val="00FB32C5"/>
    <w:rsid w:val="00FB3A15"/>
    <w:rsid w:val="00FB43D4"/>
    <w:rsid w:val="00FB45A7"/>
    <w:rsid w:val="00FB4A57"/>
    <w:rsid w:val="00FB506C"/>
    <w:rsid w:val="00FB5B07"/>
    <w:rsid w:val="00FB62C8"/>
    <w:rsid w:val="00FB645D"/>
    <w:rsid w:val="00FB6767"/>
    <w:rsid w:val="00FB6B5C"/>
    <w:rsid w:val="00FB6C7A"/>
    <w:rsid w:val="00FB7195"/>
    <w:rsid w:val="00FB77D9"/>
    <w:rsid w:val="00FB7A7F"/>
    <w:rsid w:val="00FC03D7"/>
    <w:rsid w:val="00FC0709"/>
    <w:rsid w:val="00FC0814"/>
    <w:rsid w:val="00FC0E8C"/>
    <w:rsid w:val="00FC1275"/>
    <w:rsid w:val="00FC1E96"/>
    <w:rsid w:val="00FC2458"/>
    <w:rsid w:val="00FC248C"/>
    <w:rsid w:val="00FC2C2A"/>
    <w:rsid w:val="00FC2FA1"/>
    <w:rsid w:val="00FC2FC5"/>
    <w:rsid w:val="00FC385A"/>
    <w:rsid w:val="00FC4330"/>
    <w:rsid w:val="00FC43C6"/>
    <w:rsid w:val="00FC46D9"/>
    <w:rsid w:val="00FC5362"/>
    <w:rsid w:val="00FC5649"/>
    <w:rsid w:val="00FC593B"/>
    <w:rsid w:val="00FC5C0B"/>
    <w:rsid w:val="00FC5D66"/>
    <w:rsid w:val="00FC5EB4"/>
    <w:rsid w:val="00FC6CDC"/>
    <w:rsid w:val="00FC77A3"/>
    <w:rsid w:val="00FD006A"/>
    <w:rsid w:val="00FD0552"/>
    <w:rsid w:val="00FD08C3"/>
    <w:rsid w:val="00FD11FB"/>
    <w:rsid w:val="00FD12A2"/>
    <w:rsid w:val="00FD1B0E"/>
    <w:rsid w:val="00FD1FA3"/>
    <w:rsid w:val="00FD2F07"/>
    <w:rsid w:val="00FD3996"/>
    <w:rsid w:val="00FD3A5F"/>
    <w:rsid w:val="00FD4669"/>
    <w:rsid w:val="00FD4A06"/>
    <w:rsid w:val="00FD55FD"/>
    <w:rsid w:val="00FD5743"/>
    <w:rsid w:val="00FD64EC"/>
    <w:rsid w:val="00FD6574"/>
    <w:rsid w:val="00FD6AA3"/>
    <w:rsid w:val="00FD6CD6"/>
    <w:rsid w:val="00FD6E4D"/>
    <w:rsid w:val="00FD7076"/>
    <w:rsid w:val="00FE00FC"/>
    <w:rsid w:val="00FE0789"/>
    <w:rsid w:val="00FE0C6F"/>
    <w:rsid w:val="00FE2289"/>
    <w:rsid w:val="00FE2F1E"/>
    <w:rsid w:val="00FE2F60"/>
    <w:rsid w:val="00FE40FD"/>
    <w:rsid w:val="00FE4B28"/>
    <w:rsid w:val="00FE667D"/>
    <w:rsid w:val="00FE695B"/>
    <w:rsid w:val="00FE6C5C"/>
    <w:rsid w:val="00FE721F"/>
    <w:rsid w:val="00FF0411"/>
    <w:rsid w:val="00FF0DCB"/>
    <w:rsid w:val="00FF1877"/>
    <w:rsid w:val="00FF1D4F"/>
    <w:rsid w:val="00FF2196"/>
    <w:rsid w:val="00FF36AF"/>
    <w:rsid w:val="00FF3B16"/>
    <w:rsid w:val="00FF3CA4"/>
    <w:rsid w:val="00FF4F3C"/>
    <w:rsid w:val="00FF5EC8"/>
    <w:rsid w:val="00FF67EB"/>
    <w:rsid w:val="00FF718E"/>
    <w:rsid w:val="00FF71C6"/>
    <w:rsid w:val="00FF74D9"/>
    <w:rsid w:val="00FF7EBE"/>
    <w:rsid w:val="00FF7F38"/>
    <w:rsid w:val="0206D63D"/>
    <w:rsid w:val="023F4528"/>
    <w:rsid w:val="02C4B3AE"/>
    <w:rsid w:val="041412A9"/>
    <w:rsid w:val="049E8A92"/>
    <w:rsid w:val="04A6743C"/>
    <w:rsid w:val="050B9AF2"/>
    <w:rsid w:val="054B92CF"/>
    <w:rsid w:val="05911E39"/>
    <w:rsid w:val="059D1429"/>
    <w:rsid w:val="079ECAAE"/>
    <w:rsid w:val="0807B5D9"/>
    <w:rsid w:val="08A31C86"/>
    <w:rsid w:val="0917570F"/>
    <w:rsid w:val="0970A0CB"/>
    <w:rsid w:val="0A3E69E9"/>
    <w:rsid w:val="0A4DBC94"/>
    <w:rsid w:val="0A5F215D"/>
    <w:rsid w:val="0A6564DA"/>
    <w:rsid w:val="0B276703"/>
    <w:rsid w:val="0C9D8E52"/>
    <w:rsid w:val="0CE8B5A8"/>
    <w:rsid w:val="0D6B1510"/>
    <w:rsid w:val="0DC48397"/>
    <w:rsid w:val="0DE3C560"/>
    <w:rsid w:val="0F10F74A"/>
    <w:rsid w:val="0F16ABC8"/>
    <w:rsid w:val="0F446BA4"/>
    <w:rsid w:val="0F55EE39"/>
    <w:rsid w:val="0FB8E821"/>
    <w:rsid w:val="0FC269EA"/>
    <w:rsid w:val="0FD1F39C"/>
    <w:rsid w:val="10018FB8"/>
    <w:rsid w:val="1062B0C7"/>
    <w:rsid w:val="10F3AC68"/>
    <w:rsid w:val="11369D2C"/>
    <w:rsid w:val="11EE3861"/>
    <w:rsid w:val="121B1577"/>
    <w:rsid w:val="12EB6579"/>
    <w:rsid w:val="1410B61A"/>
    <w:rsid w:val="1493FE1B"/>
    <w:rsid w:val="14EAE287"/>
    <w:rsid w:val="156DED64"/>
    <w:rsid w:val="161AEC7D"/>
    <w:rsid w:val="16384BCB"/>
    <w:rsid w:val="16C64AB2"/>
    <w:rsid w:val="16DF39D8"/>
    <w:rsid w:val="16FF595D"/>
    <w:rsid w:val="1724C05F"/>
    <w:rsid w:val="1761C746"/>
    <w:rsid w:val="18311ACA"/>
    <w:rsid w:val="183CFBD6"/>
    <w:rsid w:val="19AB902C"/>
    <w:rsid w:val="1A88CF21"/>
    <w:rsid w:val="1AA3C597"/>
    <w:rsid w:val="1AB6763D"/>
    <w:rsid w:val="1AB78204"/>
    <w:rsid w:val="1B42EF93"/>
    <w:rsid w:val="1B7A2A11"/>
    <w:rsid w:val="1B860ADF"/>
    <w:rsid w:val="1C6F58A5"/>
    <w:rsid w:val="1D5563E8"/>
    <w:rsid w:val="1D9E66CF"/>
    <w:rsid w:val="1E8D1734"/>
    <w:rsid w:val="1F63F11D"/>
    <w:rsid w:val="1FA653EB"/>
    <w:rsid w:val="1FE293CB"/>
    <w:rsid w:val="2041C9B4"/>
    <w:rsid w:val="20964444"/>
    <w:rsid w:val="21535B9D"/>
    <w:rsid w:val="2228A2D9"/>
    <w:rsid w:val="2268EF86"/>
    <w:rsid w:val="2288152A"/>
    <w:rsid w:val="22EC5A95"/>
    <w:rsid w:val="2302DE92"/>
    <w:rsid w:val="24785DAA"/>
    <w:rsid w:val="24FF9846"/>
    <w:rsid w:val="25561087"/>
    <w:rsid w:val="25CCD351"/>
    <w:rsid w:val="25D21F59"/>
    <w:rsid w:val="260BA8F2"/>
    <w:rsid w:val="278338B8"/>
    <w:rsid w:val="27D827D4"/>
    <w:rsid w:val="27F0A099"/>
    <w:rsid w:val="286EC74D"/>
    <w:rsid w:val="28DC8A2F"/>
    <w:rsid w:val="29560684"/>
    <w:rsid w:val="29792739"/>
    <w:rsid w:val="2A2BFA65"/>
    <w:rsid w:val="2A7DEB84"/>
    <w:rsid w:val="2B633C56"/>
    <w:rsid w:val="2BB9D7D2"/>
    <w:rsid w:val="2C0EA9E7"/>
    <w:rsid w:val="2C7792E9"/>
    <w:rsid w:val="2D972412"/>
    <w:rsid w:val="2DC22EEE"/>
    <w:rsid w:val="2E734803"/>
    <w:rsid w:val="2F6CD1E4"/>
    <w:rsid w:val="2F72A78E"/>
    <w:rsid w:val="3028CA18"/>
    <w:rsid w:val="3033379C"/>
    <w:rsid w:val="306FBE22"/>
    <w:rsid w:val="30ABC815"/>
    <w:rsid w:val="30CF43A1"/>
    <w:rsid w:val="314D3B96"/>
    <w:rsid w:val="317A35AF"/>
    <w:rsid w:val="31A37BBF"/>
    <w:rsid w:val="31AD3963"/>
    <w:rsid w:val="31B229C8"/>
    <w:rsid w:val="31D8AEB3"/>
    <w:rsid w:val="3200F96C"/>
    <w:rsid w:val="32630D51"/>
    <w:rsid w:val="3467D021"/>
    <w:rsid w:val="353D2C5A"/>
    <w:rsid w:val="35464D28"/>
    <w:rsid w:val="384A5A30"/>
    <w:rsid w:val="38BE1544"/>
    <w:rsid w:val="393AD048"/>
    <w:rsid w:val="393E4031"/>
    <w:rsid w:val="3972687B"/>
    <w:rsid w:val="39857F98"/>
    <w:rsid w:val="3986975F"/>
    <w:rsid w:val="39E259F5"/>
    <w:rsid w:val="3A183C24"/>
    <w:rsid w:val="3A2F301E"/>
    <w:rsid w:val="3A6B58C4"/>
    <w:rsid w:val="3ACAAAEB"/>
    <w:rsid w:val="3B70421C"/>
    <w:rsid w:val="3BF3E6D1"/>
    <w:rsid w:val="3D0C7135"/>
    <w:rsid w:val="3E0B609E"/>
    <w:rsid w:val="3EAEB025"/>
    <w:rsid w:val="3ECC822A"/>
    <w:rsid w:val="3F5CF09A"/>
    <w:rsid w:val="3F5FC46E"/>
    <w:rsid w:val="3FABA9B4"/>
    <w:rsid w:val="405A6B84"/>
    <w:rsid w:val="41303AF4"/>
    <w:rsid w:val="41969BC6"/>
    <w:rsid w:val="41AE74CC"/>
    <w:rsid w:val="4283FE82"/>
    <w:rsid w:val="429E6A33"/>
    <w:rsid w:val="42D4B8CB"/>
    <w:rsid w:val="42F480A4"/>
    <w:rsid w:val="43991690"/>
    <w:rsid w:val="43D62540"/>
    <w:rsid w:val="44A9808C"/>
    <w:rsid w:val="44F4DC41"/>
    <w:rsid w:val="45335052"/>
    <w:rsid w:val="4543E924"/>
    <w:rsid w:val="4588E013"/>
    <w:rsid w:val="46392C24"/>
    <w:rsid w:val="46BBC450"/>
    <w:rsid w:val="46EC72E3"/>
    <w:rsid w:val="4777883B"/>
    <w:rsid w:val="47AB5B1C"/>
    <w:rsid w:val="47E0365C"/>
    <w:rsid w:val="492B3E7F"/>
    <w:rsid w:val="4B0A7979"/>
    <w:rsid w:val="4B6205BF"/>
    <w:rsid w:val="4B7AC988"/>
    <w:rsid w:val="4C0B17A6"/>
    <w:rsid w:val="4C272DDE"/>
    <w:rsid w:val="4D71B1CA"/>
    <w:rsid w:val="4E23181B"/>
    <w:rsid w:val="4F9C29C0"/>
    <w:rsid w:val="50AB7238"/>
    <w:rsid w:val="5108BD42"/>
    <w:rsid w:val="52DB0A6A"/>
    <w:rsid w:val="530807EC"/>
    <w:rsid w:val="54199F41"/>
    <w:rsid w:val="5451718D"/>
    <w:rsid w:val="549D0267"/>
    <w:rsid w:val="55AD219C"/>
    <w:rsid w:val="55FCAE33"/>
    <w:rsid w:val="5659C180"/>
    <w:rsid w:val="569FEEC3"/>
    <w:rsid w:val="56D086F8"/>
    <w:rsid w:val="5887538F"/>
    <w:rsid w:val="5892646F"/>
    <w:rsid w:val="598C1EEE"/>
    <w:rsid w:val="59AF3C49"/>
    <w:rsid w:val="59CFCFDC"/>
    <w:rsid w:val="5A8F33CA"/>
    <w:rsid w:val="5AA72D37"/>
    <w:rsid w:val="5AF84580"/>
    <w:rsid w:val="5B641C62"/>
    <w:rsid w:val="5B89C6DC"/>
    <w:rsid w:val="5BF97AEC"/>
    <w:rsid w:val="5CC80AA9"/>
    <w:rsid w:val="5DF1DFBF"/>
    <w:rsid w:val="5E08AEA7"/>
    <w:rsid w:val="5E2880FF"/>
    <w:rsid w:val="5EC4E1E9"/>
    <w:rsid w:val="5F286511"/>
    <w:rsid w:val="5F4E9048"/>
    <w:rsid w:val="5FCD8046"/>
    <w:rsid w:val="6129661E"/>
    <w:rsid w:val="61A58D87"/>
    <w:rsid w:val="61BBB9A2"/>
    <w:rsid w:val="6263857C"/>
    <w:rsid w:val="6283821C"/>
    <w:rsid w:val="63427264"/>
    <w:rsid w:val="63876953"/>
    <w:rsid w:val="63C21F71"/>
    <w:rsid w:val="645E3E93"/>
    <w:rsid w:val="649C847F"/>
    <w:rsid w:val="656F676A"/>
    <w:rsid w:val="65D366DA"/>
    <w:rsid w:val="66F9FF06"/>
    <w:rsid w:val="67750097"/>
    <w:rsid w:val="677DC151"/>
    <w:rsid w:val="68CCCEE7"/>
    <w:rsid w:val="693FC5F2"/>
    <w:rsid w:val="698A9256"/>
    <w:rsid w:val="698B422B"/>
    <w:rsid w:val="6A421E3E"/>
    <w:rsid w:val="6C37ADC2"/>
    <w:rsid w:val="6C99AABD"/>
    <w:rsid w:val="6CE598C0"/>
    <w:rsid w:val="6CE9A1D8"/>
    <w:rsid w:val="6E761BBE"/>
    <w:rsid w:val="6E778FE9"/>
    <w:rsid w:val="6E8A331E"/>
    <w:rsid w:val="6EB3889A"/>
    <w:rsid w:val="6EB41BC6"/>
    <w:rsid w:val="6F4B4D1E"/>
    <w:rsid w:val="6FBEF96D"/>
    <w:rsid w:val="70130269"/>
    <w:rsid w:val="708B5692"/>
    <w:rsid w:val="70B7C803"/>
    <w:rsid w:val="70CEE1AD"/>
    <w:rsid w:val="7130C06A"/>
    <w:rsid w:val="7144E145"/>
    <w:rsid w:val="71A62E21"/>
    <w:rsid w:val="7245CB16"/>
    <w:rsid w:val="72534D36"/>
    <w:rsid w:val="72A5A5C7"/>
    <w:rsid w:val="73680B98"/>
    <w:rsid w:val="73960BB4"/>
    <w:rsid w:val="73F4EAB9"/>
    <w:rsid w:val="7433FA6E"/>
    <w:rsid w:val="748D136B"/>
    <w:rsid w:val="749C6121"/>
    <w:rsid w:val="766BF966"/>
    <w:rsid w:val="7682225E"/>
    <w:rsid w:val="7711B455"/>
    <w:rsid w:val="776FE7CB"/>
    <w:rsid w:val="7907395F"/>
    <w:rsid w:val="79980D07"/>
    <w:rsid w:val="79E1E9CF"/>
    <w:rsid w:val="79F752FA"/>
    <w:rsid w:val="7A229CFF"/>
    <w:rsid w:val="7AE8315E"/>
    <w:rsid w:val="7B4BAF02"/>
    <w:rsid w:val="7BBAAFF7"/>
    <w:rsid w:val="7BCC9936"/>
    <w:rsid w:val="7BD59CE0"/>
    <w:rsid w:val="7D14AF5A"/>
    <w:rsid w:val="7ED68CD1"/>
    <w:rsid w:val="7F2F0B72"/>
    <w:rsid w:val="7FAC88C5"/>
    <w:rsid w:val="7FBB20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73FC493"/>
  <w15:chartTrackingRefBased/>
  <w15:docId w15:val="{4FE00A24-BF3A-420F-BCC7-D00493A8A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16D"/>
    <w:pPr>
      <w:spacing w:before="120" w:after="120"/>
    </w:pPr>
    <w:rPr>
      <w:rFonts w:ascii="Segoe UI" w:hAnsi="Segoe UI"/>
      <w:sz w:val="20"/>
    </w:rPr>
  </w:style>
  <w:style w:type="paragraph" w:styleId="Heading1">
    <w:name w:val="heading 1"/>
    <w:basedOn w:val="Normal"/>
    <w:next w:val="Normal"/>
    <w:link w:val="Heading1Char"/>
    <w:uiPriority w:val="9"/>
    <w:qFormat/>
    <w:rsid w:val="009C316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052E"/>
    <w:pPr>
      <w:keepNext/>
      <w:keepLines/>
      <w:numPr>
        <w:ilvl w:val="1"/>
        <w:numId w:val="4"/>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02052E"/>
    <w:pPr>
      <w:numPr>
        <w:ilvl w:val="2"/>
      </w:numPr>
      <w:outlineLvl w:val="2"/>
    </w:pPr>
    <w:rPr>
      <w:sz w:val="26"/>
    </w:rPr>
  </w:style>
  <w:style w:type="paragraph" w:styleId="Heading4">
    <w:name w:val="heading 4"/>
    <w:basedOn w:val="Normal"/>
    <w:next w:val="Normal"/>
    <w:link w:val="Heading4Char"/>
    <w:uiPriority w:val="9"/>
    <w:unhideWhenUsed/>
    <w:qFormat/>
    <w:rsid w:val="00436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9C316D"/>
    <w:rPr>
      <w:sz w:val="16"/>
      <w:szCs w:val="16"/>
    </w:rPr>
  </w:style>
  <w:style w:type="paragraph" w:styleId="CommentText">
    <w:name w:val="annotation text"/>
    <w:basedOn w:val="Normal"/>
    <w:link w:val="CommentTextChar"/>
    <w:uiPriority w:val="99"/>
    <w:unhideWhenUsed/>
    <w:rsid w:val="009C316D"/>
    <w:pPr>
      <w:spacing w:line="240" w:lineRule="auto"/>
    </w:pPr>
    <w:rPr>
      <w:szCs w:val="20"/>
    </w:rPr>
  </w:style>
  <w:style w:type="character" w:customStyle="1" w:styleId="CommentTextChar">
    <w:name w:val="Comment Text Char"/>
    <w:basedOn w:val="DefaultParagraphFont"/>
    <w:link w:val="CommentText"/>
    <w:uiPriority w:val="99"/>
    <w:rsid w:val="009C316D"/>
    <w:rPr>
      <w:rFonts w:ascii="Segoe UI" w:hAnsi="Segoe UI"/>
      <w:sz w:val="20"/>
      <w:szCs w:val="20"/>
    </w:rPr>
  </w:style>
  <w:style w:type="paragraph" w:styleId="ListParagraph">
    <w:name w:val="List Paragraph"/>
    <w:aliases w:val="Num Bullet 1,Bullet Number,List Paragraph1,lp1,lp11,List Paragraph11,Bullet 1,Use Case List Paragraph,Bullet List,FooterText,numbered,Paragraphe de liste1,Bulletr List Paragraph,列出段落,列出段落1,List Paragraph2,List Paragraph21,Listeafsnit1"/>
    <w:basedOn w:val="Normal"/>
    <w:link w:val="ListParagraphChar"/>
    <w:uiPriority w:val="34"/>
    <w:qFormat/>
    <w:rsid w:val="009C316D"/>
    <w:pPr>
      <w:ind w:left="720"/>
      <w:contextualSpacing/>
    </w:pPr>
  </w:style>
  <w:style w:type="paragraph" w:customStyle="1" w:styleId="Instructional">
    <w:name w:val="Instructional"/>
    <w:basedOn w:val="Normal"/>
    <w:next w:val="Normal"/>
    <w:link w:val="InstructionalChar"/>
    <w:qFormat/>
    <w:rsid w:val="009C316D"/>
    <w:rPr>
      <w:i/>
      <w:color w:val="FF00FF"/>
    </w:rPr>
  </w:style>
  <w:style w:type="paragraph" w:customStyle="1" w:styleId="Optional">
    <w:name w:val="Optional"/>
    <w:basedOn w:val="Normal"/>
    <w:next w:val="Normal"/>
    <w:link w:val="OptionalChar"/>
    <w:qFormat/>
    <w:rsid w:val="009C316D"/>
    <w:rPr>
      <w:b/>
      <w:color w:val="00B0F0"/>
    </w:rPr>
  </w:style>
  <w:style w:type="character" w:customStyle="1" w:styleId="InstructionalChar">
    <w:name w:val="Instructional Char"/>
    <w:basedOn w:val="DefaultParagraphFont"/>
    <w:link w:val="Instructional"/>
    <w:rsid w:val="009C316D"/>
    <w:rPr>
      <w:rFonts w:ascii="Segoe UI" w:hAnsi="Segoe UI"/>
      <w:i/>
      <w:color w:val="FF00FF"/>
      <w:sz w:val="20"/>
    </w:rPr>
  </w:style>
  <w:style w:type="character" w:customStyle="1" w:styleId="OptionalChar">
    <w:name w:val="Optional Char"/>
    <w:basedOn w:val="DefaultParagraphFont"/>
    <w:link w:val="Optional"/>
    <w:rsid w:val="009C316D"/>
    <w:rPr>
      <w:rFonts w:ascii="Segoe UI" w:hAnsi="Segoe UI"/>
      <w:b/>
      <w:color w:val="00B0F0"/>
      <w:sz w:val="20"/>
    </w:rPr>
  </w:style>
  <w:style w:type="paragraph" w:customStyle="1" w:styleId="Bulletlist">
    <w:name w:val="Bullet list"/>
    <w:basedOn w:val="ListParagraph"/>
    <w:link w:val="BulletlistChar"/>
    <w:qFormat/>
    <w:rsid w:val="009C316D"/>
    <w:pPr>
      <w:numPr>
        <w:numId w:val="1"/>
      </w:numPr>
    </w:pPr>
  </w:style>
  <w:style w:type="character" w:customStyle="1" w:styleId="ListParagraphChar">
    <w:name w:val="List Paragraph Char"/>
    <w:aliases w:val="Num Bullet 1 Char,Bullet Number Char,List Paragraph1 Char,lp1 Char,lp11 Char,List Paragraph11 Char,Bullet 1 Char,Use Case List Paragraph Char,Bullet List Char,FooterText Char,numbered Char,Paragraphe de liste1 Char,列出段落 Char"/>
    <w:basedOn w:val="DefaultParagraphFont"/>
    <w:link w:val="ListParagraph"/>
    <w:uiPriority w:val="34"/>
    <w:qFormat/>
    <w:rsid w:val="009C316D"/>
    <w:rPr>
      <w:rFonts w:ascii="Segoe UI" w:hAnsi="Segoe UI"/>
      <w:sz w:val="20"/>
    </w:rPr>
  </w:style>
  <w:style w:type="character" w:customStyle="1" w:styleId="BulletlistChar">
    <w:name w:val="Bullet list Char"/>
    <w:basedOn w:val="ListParagraphChar"/>
    <w:link w:val="Bulletlist"/>
    <w:rsid w:val="009C316D"/>
    <w:rPr>
      <w:rFonts w:ascii="Segoe UI" w:hAnsi="Segoe UI"/>
      <w:sz w:val="20"/>
    </w:rPr>
  </w:style>
  <w:style w:type="paragraph" w:customStyle="1" w:styleId="BlueText-BulletStyle2">
    <w:name w:val="Blue Text - Bullet Style 2"/>
    <w:basedOn w:val="Bulletlist"/>
    <w:link w:val="BlueText-BulletStyle2Char"/>
    <w:qFormat/>
    <w:rsid w:val="009C316D"/>
    <w:pPr>
      <w:numPr>
        <w:numId w:val="2"/>
      </w:numPr>
    </w:pPr>
    <w:rPr>
      <w:b/>
      <w:color w:val="00B0F0"/>
    </w:rPr>
  </w:style>
  <w:style w:type="character" w:customStyle="1" w:styleId="BlueText-BulletStyle2Char">
    <w:name w:val="Blue Text - Bullet Style 2 Char"/>
    <w:basedOn w:val="BulletlistChar"/>
    <w:link w:val="BlueText-BulletStyle2"/>
    <w:rsid w:val="009C316D"/>
    <w:rPr>
      <w:rFonts w:ascii="Segoe UI" w:hAnsi="Segoe UI"/>
      <w:b/>
      <w:color w:val="00B0F0"/>
      <w:sz w:val="20"/>
    </w:rPr>
  </w:style>
  <w:style w:type="paragraph" w:customStyle="1" w:styleId="WO-L2-Headingblk">
    <w:name w:val="WO - L2 - Heading blk"/>
    <w:basedOn w:val="ListParagraph"/>
    <w:next w:val="Normal"/>
    <w:link w:val="WO-L2-HeadingblkChar"/>
    <w:autoRedefine/>
    <w:qFormat/>
    <w:rsid w:val="009C316D"/>
    <w:pPr>
      <w:numPr>
        <w:ilvl w:val="1"/>
        <w:numId w:val="5"/>
      </w:numPr>
      <w:spacing w:before="0" w:after="160"/>
      <w:contextualSpacing w:val="0"/>
      <w:outlineLvl w:val="1"/>
    </w:pPr>
    <w:rPr>
      <w:b/>
      <w:bCs/>
    </w:rPr>
  </w:style>
  <w:style w:type="paragraph" w:customStyle="1" w:styleId="WO-L3-Heading">
    <w:name w:val="WO - L3 - Heading"/>
    <w:basedOn w:val="ListParagraph"/>
    <w:next w:val="Normal"/>
    <w:link w:val="WO-L3-HeadingChar"/>
    <w:autoRedefine/>
    <w:qFormat/>
    <w:rsid w:val="00470EA7"/>
    <w:pPr>
      <w:numPr>
        <w:ilvl w:val="2"/>
        <w:numId w:val="5"/>
      </w:numPr>
      <w:spacing w:before="0" w:after="160"/>
      <w:outlineLvl w:val="2"/>
    </w:pPr>
    <w:rPr>
      <w:bCs/>
    </w:rPr>
  </w:style>
  <w:style w:type="character" w:customStyle="1" w:styleId="WO-L2-HeadingblkChar">
    <w:name w:val="WO - L2 - Heading blk Char"/>
    <w:basedOn w:val="ListParagraphChar"/>
    <w:link w:val="WO-L2-Headingblk"/>
    <w:rsid w:val="009C316D"/>
    <w:rPr>
      <w:rFonts w:ascii="Segoe UI" w:hAnsi="Segoe UI"/>
      <w:b/>
      <w:bCs/>
      <w:sz w:val="20"/>
    </w:rPr>
  </w:style>
  <w:style w:type="paragraph" w:customStyle="1" w:styleId="WO-L4-Heading">
    <w:name w:val="WO - L4 - Heading"/>
    <w:basedOn w:val="ListParagraph"/>
    <w:next w:val="Normal"/>
    <w:autoRedefine/>
    <w:qFormat/>
    <w:rsid w:val="009C316D"/>
    <w:pPr>
      <w:numPr>
        <w:ilvl w:val="3"/>
        <w:numId w:val="5"/>
      </w:numPr>
      <w:tabs>
        <w:tab w:val="num" w:pos="360"/>
      </w:tabs>
      <w:spacing w:before="0" w:after="160"/>
      <w:outlineLvl w:val="3"/>
    </w:pPr>
    <w:rPr>
      <w:rFonts w:asciiTheme="minorHAnsi" w:hAnsiTheme="minorHAnsi"/>
      <w:b/>
      <w:bCs/>
      <w:sz w:val="22"/>
    </w:rPr>
  </w:style>
  <w:style w:type="character" w:customStyle="1" w:styleId="WO-L3-HeadingChar">
    <w:name w:val="WO - L3 - Heading Char"/>
    <w:basedOn w:val="ListParagraphChar"/>
    <w:link w:val="WO-L3-Heading"/>
    <w:rsid w:val="00470EA7"/>
    <w:rPr>
      <w:rFonts w:ascii="Segoe UI" w:hAnsi="Segoe UI"/>
      <w:bCs/>
      <w:sz w:val="20"/>
    </w:rPr>
  </w:style>
  <w:style w:type="paragraph" w:customStyle="1" w:styleId="WO-L5-Heading">
    <w:name w:val="WO - L5 - Heading"/>
    <w:basedOn w:val="ListParagraph"/>
    <w:next w:val="Normal"/>
    <w:autoRedefine/>
    <w:qFormat/>
    <w:rsid w:val="009C316D"/>
    <w:pPr>
      <w:numPr>
        <w:ilvl w:val="4"/>
        <w:numId w:val="5"/>
      </w:numPr>
      <w:tabs>
        <w:tab w:val="num" w:pos="360"/>
      </w:tabs>
      <w:spacing w:before="0" w:after="160"/>
    </w:pPr>
    <w:rPr>
      <w:rFonts w:asciiTheme="minorHAnsi" w:hAnsiTheme="minorHAnsi"/>
      <w:b/>
      <w:bCs/>
      <w:sz w:val="22"/>
    </w:rPr>
  </w:style>
  <w:style w:type="paragraph" w:customStyle="1" w:styleId="WO-L1-Headingblk">
    <w:name w:val="WO - L1 - Heading blk"/>
    <w:basedOn w:val="Heading1"/>
    <w:next w:val="Normal"/>
    <w:autoRedefine/>
    <w:qFormat/>
    <w:rsid w:val="009C316D"/>
    <w:pPr>
      <w:keepLines w:val="0"/>
      <w:numPr>
        <w:numId w:val="5"/>
      </w:numPr>
      <w:tabs>
        <w:tab w:val="num" w:pos="360"/>
      </w:tabs>
      <w:spacing w:before="360" w:after="120"/>
    </w:pPr>
    <w:rPr>
      <w:rFonts w:asciiTheme="minorHAnsi" w:eastAsiaTheme="minorHAnsi" w:hAnsiTheme="minorHAnsi" w:cstheme="minorBidi"/>
      <w:b/>
      <w:bCs/>
      <w:iCs/>
      <w:color w:val="auto"/>
      <w:sz w:val="26"/>
      <w:szCs w:val="26"/>
      <w:lang w:val="x-none" w:eastAsia="x-none"/>
    </w:rPr>
  </w:style>
  <w:style w:type="character" w:customStyle="1" w:styleId="Heading1Char">
    <w:name w:val="Heading 1 Char"/>
    <w:basedOn w:val="DefaultParagraphFont"/>
    <w:link w:val="Heading1"/>
    <w:uiPriority w:val="9"/>
    <w:rsid w:val="009C31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052E"/>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02052E"/>
    <w:rPr>
      <w:rFonts w:ascii="Segoe UI Semibold" w:eastAsiaTheme="majorEastAsia" w:hAnsi="Segoe UI Semibold" w:cstheme="majorBidi"/>
      <w:color w:val="008272"/>
      <w:sz w:val="26"/>
      <w:szCs w:val="32"/>
    </w:rPr>
  </w:style>
  <w:style w:type="character" w:styleId="Hyperlink">
    <w:name w:val="Hyperlink"/>
    <w:aliases w:val="PMO Hyperlink"/>
    <w:basedOn w:val="DefaultParagraphFont"/>
    <w:uiPriority w:val="99"/>
    <w:unhideWhenUsed/>
    <w:rsid w:val="0002052E"/>
    <w:rPr>
      <w:color w:val="0563C1" w:themeColor="hyperlink"/>
      <w:u w:val="single"/>
    </w:rPr>
  </w:style>
  <w:style w:type="table" w:styleId="TableGrid">
    <w:name w:val="Table Grid"/>
    <w:aliases w:val="Tabla Microsoft Servicios"/>
    <w:basedOn w:val="TableNormal"/>
    <w:uiPriority w:val="39"/>
    <w:rsid w:val="00020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02052E"/>
    <w:pPr>
      <w:numPr>
        <w:numId w:val="3"/>
      </w:numPr>
    </w:pPr>
  </w:style>
  <w:style w:type="paragraph" w:customStyle="1" w:styleId="TableText">
    <w:name w:val="Table Text"/>
    <w:basedOn w:val="Normal"/>
    <w:link w:val="TableTextChar"/>
    <w:qFormat/>
    <w:rsid w:val="0002052E"/>
    <w:pPr>
      <w:spacing w:line="240" w:lineRule="auto"/>
    </w:pPr>
  </w:style>
  <w:style w:type="paragraph" w:customStyle="1" w:styleId="Table-Header">
    <w:name w:val="Table - Header"/>
    <w:basedOn w:val="Normal"/>
    <w:link w:val="Table-HeaderChar"/>
    <w:qFormat/>
    <w:rsid w:val="0002052E"/>
    <w:pPr>
      <w:spacing w:line="240" w:lineRule="auto"/>
    </w:pPr>
    <w:rPr>
      <w:b/>
      <w:color w:val="FFFFFF" w:themeColor="background1"/>
    </w:rPr>
  </w:style>
  <w:style w:type="character" w:customStyle="1" w:styleId="Table-HeaderChar">
    <w:name w:val="Table - Header Char"/>
    <w:basedOn w:val="DefaultParagraphFont"/>
    <w:link w:val="Table-Header"/>
    <w:rsid w:val="0002052E"/>
    <w:rPr>
      <w:rFonts w:ascii="Segoe UI" w:hAnsi="Segoe UI"/>
      <w:b/>
      <w:color w:val="FFFFFF" w:themeColor="background1"/>
      <w:sz w:val="20"/>
    </w:rPr>
  </w:style>
  <w:style w:type="character" w:customStyle="1" w:styleId="TableTextChar">
    <w:name w:val="Table Text Char"/>
    <w:basedOn w:val="DefaultParagraphFont"/>
    <w:link w:val="TableText"/>
    <w:locked/>
    <w:rsid w:val="0002052E"/>
    <w:rPr>
      <w:rFonts w:ascii="Segoe UI" w:hAnsi="Segoe UI"/>
      <w:sz w:val="20"/>
    </w:rPr>
  </w:style>
  <w:style w:type="paragraph" w:styleId="CommentSubject">
    <w:name w:val="annotation subject"/>
    <w:basedOn w:val="CommentText"/>
    <w:next w:val="CommentText"/>
    <w:link w:val="CommentSubjectChar"/>
    <w:uiPriority w:val="99"/>
    <w:semiHidden/>
    <w:unhideWhenUsed/>
    <w:rsid w:val="00772AE4"/>
    <w:rPr>
      <w:b/>
      <w:bCs/>
    </w:rPr>
  </w:style>
  <w:style w:type="character" w:customStyle="1" w:styleId="CommentSubjectChar">
    <w:name w:val="Comment Subject Char"/>
    <w:basedOn w:val="CommentTextChar"/>
    <w:link w:val="CommentSubject"/>
    <w:uiPriority w:val="99"/>
    <w:semiHidden/>
    <w:rsid w:val="00772AE4"/>
    <w:rPr>
      <w:rFonts w:ascii="Segoe UI" w:hAnsi="Segoe UI"/>
      <w:b/>
      <w:bCs/>
      <w:sz w:val="20"/>
      <w:szCs w:val="20"/>
    </w:rPr>
  </w:style>
  <w:style w:type="character" w:styleId="Mention">
    <w:name w:val="Mention"/>
    <w:basedOn w:val="DefaultParagraphFont"/>
    <w:uiPriority w:val="99"/>
    <w:unhideWhenUsed/>
    <w:rsid w:val="00497750"/>
    <w:rPr>
      <w:color w:val="2B579A"/>
      <w:shd w:val="clear" w:color="auto" w:fill="E1DFDD"/>
    </w:rPr>
  </w:style>
  <w:style w:type="paragraph" w:styleId="Header">
    <w:name w:val="header"/>
    <w:basedOn w:val="Normal"/>
    <w:link w:val="HeaderChar"/>
    <w:uiPriority w:val="99"/>
    <w:unhideWhenUsed/>
    <w:rsid w:val="00905E5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05E54"/>
    <w:rPr>
      <w:rFonts w:ascii="Segoe UI" w:hAnsi="Segoe UI"/>
      <w:sz w:val="20"/>
    </w:rPr>
  </w:style>
  <w:style w:type="paragraph" w:styleId="Footer">
    <w:name w:val="footer"/>
    <w:basedOn w:val="Normal"/>
    <w:link w:val="FooterChar"/>
    <w:uiPriority w:val="99"/>
    <w:unhideWhenUsed/>
    <w:rsid w:val="00905E5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05E54"/>
    <w:rPr>
      <w:rFonts w:ascii="Segoe UI" w:hAnsi="Segoe UI"/>
      <w:sz w:val="20"/>
    </w:rPr>
  </w:style>
  <w:style w:type="paragraph" w:styleId="TOCHeading">
    <w:name w:val="TOC Heading"/>
    <w:basedOn w:val="Heading1"/>
    <w:next w:val="Normal"/>
    <w:uiPriority w:val="39"/>
    <w:unhideWhenUsed/>
    <w:qFormat/>
    <w:rsid w:val="00A3609E"/>
    <w:pPr>
      <w:numPr>
        <w:numId w:val="0"/>
      </w:numPr>
      <w:ind w:left="360" w:hanging="360"/>
      <w:outlineLvl w:val="9"/>
    </w:pPr>
    <w:rPr>
      <w:color w:val="008272"/>
    </w:rPr>
  </w:style>
  <w:style w:type="numbering" w:customStyle="1" w:styleId="NumberBulletStylesMS">
    <w:name w:val="Number Bullet Styles MS"/>
    <w:uiPriority w:val="99"/>
    <w:rsid w:val="00905E54"/>
    <w:pPr>
      <w:numPr>
        <w:numId w:val="6"/>
      </w:numPr>
    </w:pPr>
  </w:style>
  <w:style w:type="paragraph" w:styleId="TOC2">
    <w:name w:val="toc 2"/>
    <w:basedOn w:val="Normal"/>
    <w:next w:val="Normal"/>
    <w:autoRedefine/>
    <w:uiPriority w:val="39"/>
    <w:unhideWhenUsed/>
    <w:rsid w:val="00905E54"/>
    <w:pPr>
      <w:spacing w:after="100"/>
      <w:ind w:left="200"/>
    </w:pPr>
  </w:style>
  <w:style w:type="paragraph" w:styleId="TOC3">
    <w:name w:val="toc 3"/>
    <w:basedOn w:val="Normal"/>
    <w:next w:val="Normal"/>
    <w:autoRedefine/>
    <w:uiPriority w:val="39"/>
    <w:unhideWhenUsed/>
    <w:rsid w:val="00905E54"/>
    <w:pPr>
      <w:spacing w:after="100"/>
      <w:ind w:left="400"/>
    </w:pPr>
  </w:style>
  <w:style w:type="paragraph" w:customStyle="1" w:styleId="Default">
    <w:name w:val="Default"/>
    <w:rsid w:val="00905E54"/>
    <w:pPr>
      <w:autoSpaceDE w:val="0"/>
      <w:autoSpaceDN w:val="0"/>
      <w:adjustRightInd w:val="0"/>
      <w:spacing w:before="60" w:after="0" w:line="240" w:lineRule="auto"/>
    </w:pPr>
    <w:rPr>
      <w:rFonts w:ascii="Arial" w:hAnsi="Arial" w:cs="Arial"/>
      <w:color w:val="000000"/>
      <w:sz w:val="24"/>
      <w:szCs w:val="24"/>
    </w:rPr>
  </w:style>
  <w:style w:type="character" w:customStyle="1" w:styleId="LogoportDoNotTranslate">
    <w:name w:val="LogoportDoNotTranslate"/>
    <w:basedOn w:val="DefaultParagraphFont"/>
    <w:rsid w:val="00905E54"/>
    <w:rPr>
      <w:rFonts w:ascii="Courier New" w:hAnsi="Courier New" w:cs="Courier New"/>
      <w:b w:val="0"/>
      <w:i w:val="0"/>
      <w:color w:val="808080"/>
      <w:sz w:val="18"/>
      <w:szCs w:val="28"/>
    </w:rPr>
  </w:style>
  <w:style w:type="paragraph" w:styleId="Title">
    <w:name w:val="Title"/>
    <w:basedOn w:val="Normal"/>
    <w:next w:val="Normal"/>
    <w:link w:val="TitleChar"/>
    <w:autoRedefine/>
    <w:uiPriority w:val="10"/>
    <w:rsid w:val="00905E54"/>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905E54"/>
    <w:rPr>
      <w:rFonts w:ascii="Segoe Pro" w:eastAsiaTheme="majorEastAsia" w:hAnsi="Segoe Pro" w:cstheme="minorHAnsi"/>
      <w:b/>
      <w:bCs/>
      <w:iCs/>
      <w:noProof/>
      <w:color w:val="FFFFFF" w:themeColor="background1"/>
      <w:spacing w:val="5"/>
      <w:kern w:val="28"/>
      <w:sz w:val="96"/>
      <w:szCs w:val="96"/>
    </w:rPr>
  </w:style>
  <w:style w:type="paragraph" w:customStyle="1" w:styleId="TableBullet1">
    <w:name w:val="Table Bullet 1"/>
    <w:basedOn w:val="Bulletlist"/>
    <w:link w:val="TableBullet1Char"/>
    <w:uiPriority w:val="4"/>
    <w:qFormat/>
    <w:rsid w:val="00D56E5A"/>
    <w:pPr>
      <w:numPr>
        <w:numId w:val="0"/>
      </w:numPr>
      <w:spacing w:line="240" w:lineRule="auto"/>
    </w:pPr>
  </w:style>
  <w:style w:type="character" w:customStyle="1" w:styleId="TableBullet1Char">
    <w:name w:val="Table Bullet 1 Char"/>
    <w:basedOn w:val="BulletlistChar"/>
    <w:link w:val="TableBullet1"/>
    <w:uiPriority w:val="4"/>
    <w:rsid w:val="00905E54"/>
    <w:rPr>
      <w:rFonts w:ascii="Segoe UI" w:hAnsi="Segoe UI"/>
      <w:sz w:val="20"/>
    </w:rPr>
  </w:style>
  <w:style w:type="paragraph" w:styleId="NormalWeb">
    <w:name w:val="Normal (Web)"/>
    <w:basedOn w:val="Normal"/>
    <w:uiPriority w:val="99"/>
    <w:semiHidden/>
    <w:unhideWhenUsed/>
    <w:rsid w:val="00C4662A"/>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56EC8"/>
    <w:pPr>
      <w:spacing w:after="0" w:line="240" w:lineRule="auto"/>
    </w:pPr>
    <w:rPr>
      <w:rFonts w:ascii="Segoe UI" w:hAnsi="Segoe UI"/>
      <w:sz w:val="20"/>
    </w:rPr>
  </w:style>
  <w:style w:type="table" w:customStyle="1" w:styleId="TableGrid1">
    <w:name w:val="Table Grid1"/>
    <w:basedOn w:val="TableNormal"/>
    <w:next w:val="TableGrid"/>
    <w:uiPriority w:val="39"/>
    <w:rsid w:val="0062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ullet5">
    <w:name w:val="Num Bullet 5"/>
    <w:basedOn w:val="Normal"/>
    <w:uiPriority w:val="3"/>
    <w:rsid w:val="00626CE3"/>
    <w:pPr>
      <w:numPr>
        <w:numId w:val="14"/>
      </w:numPr>
      <w:spacing w:line="276" w:lineRule="auto"/>
      <w:contextualSpacing/>
    </w:pPr>
  </w:style>
  <w:style w:type="character" w:customStyle="1" w:styleId="Heading4Char">
    <w:name w:val="Heading 4 Char"/>
    <w:basedOn w:val="DefaultParagraphFont"/>
    <w:link w:val="Heading4"/>
    <w:uiPriority w:val="9"/>
    <w:rsid w:val="00436B60"/>
    <w:rPr>
      <w:rFonts w:asciiTheme="majorHAnsi" w:eastAsiaTheme="majorEastAsia" w:hAnsiTheme="majorHAnsi" w:cstheme="majorBidi"/>
      <w:i/>
      <w:iCs/>
      <w:color w:val="2F5496" w:themeColor="accent1" w:themeShade="BF"/>
      <w:sz w:val="20"/>
    </w:rPr>
  </w:style>
  <w:style w:type="paragraph" w:styleId="NoSpacing">
    <w:name w:val="No Spacing"/>
    <w:uiPriority w:val="1"/>
    <w:qFormat/>
    <w:rsid w:val="00F9496A"/>
    <w:pPr>
      <w:spacing w:after="0" w:line="240" w:lineRule="auto"/>
    </w:pPr>
    <w:rPr>
      <w:rFonts w:ascii="Segoe UI" w:hAnsi="Segoe UI"/>
      <w:sz w:val="20"/>
    </w:rPr>
  </w:style>
  <w:style w:type="numbering" w:customStyle="1" w:styleId="TableBullets">
    <w:name w:val="Table Bullets"/>
    <w:uiPriority w:val="99"/>
    <w:rsid w:val="00F54948"/>
    <w:pPr>
      <w:numPr>
        <w:numId w:val="15"/>
      </w:numPr>
    </w:pPr>
  </w:style>
  <w:style w:type="paragraph" w:customStyle="1" w:styleId="TableBullet1MS">
    <w:name w:val="Table Bullet 1 MS"/>
    <w:basedOn w:val="TableText"/>
    <w:qFormat/>
    <w:rsid w:val="00F54948"/>
    <w:pPr>
      <w:numPr>
        <w:numId w:val="15"/>
      </w:numPr>
      <w:spacing w:before="0" w:after="0"/>
    </w:pPr>
  </w:style>
  <w:style w:type="paragraph" w:customStyle="1" w:styleId="TableBullet2MS">
    <w:name w:val="Table Bullet 2 MS"/>
    <w:basedOn w:val="TableText"/>
    <w:qFormat/>
    <w:rsid w:val="00F54948"/>
    <w:pPr>
      <w:numPr>
        <w:ilvl w:val="1"/>
        <w:numId w:val="15"/>
      </w:numPr>
      <w:spacing w:before="0" w:after="0"/>
    </w:pPr>
  </w:style>
  <w:style w:type="paragraph" w:customStyle="1" w:styleId="Optional-BulletList">
    <w:name w:val="Optional - Bullet List"/>
    <w:basedOn w:val="Normal"/>
    <w:link w:val="Optional-BulletListChar"/>
    <w:qFormat/>
    <w:rsid w:val="002E54B9"/>
    <w:pPr>
      <w:numPr>
        <w:numId w:val="16"/>
      </w:numPr>
      <w:contextualSpacing/>
    </w:pPr>
    <w:rPr>
      <w:bCs/>
      <w:color w:val="00B0F0"/>
    </w:rPr>
  </w:style>
  <w:style w:type="character" w:customStyle="1" w:styleId="Optional-BulletListChar">
    <w:name w:val="Optional - Bullet List Char"/>
    <w:basedOn w:val="DefaultParagraphFont"/>
    <w:link w:val="Optional-BulletList"/>
    <w:rsid w:val="002E54B9"/>
    <w:rPr>
      <w:rFonts w:ascii="Segoe UI" w:hAnsi="Segoe UI"/>
      <w:bCs/>
      <w:color w:val="00B0F0"/>
      <w:sz w:val="20"/>
    </w:rPr>
  </w:style>
  <w:style w:type="character" w:styleId="UnresolvedMention">
    <w:name w:val="Unresolved Mention"/>
    <w:basedOn w:val="DefaultParagraphFont"/>
    <w:uiPriority w:val="99"/>
    <w:semiHidden/>
    <w:unhideWhenUsed/>
    <w:rsid w:val="00D3543B"/>
    <w:rPr>
      <w:color w:val="605E5C"/>
      <w:shd w:val="clear" w:color="auto" w:fill="E1DFDD"/>
    </w:rPr>
  </w:style>
  <w:style w:type="paragraph" w:styleId="FootnoteText">
    <w:name w:val="footnote text"/>
    <w:basedOn w:val="Normal"/>
    <w:link w:val="FootnoteTextChar"/>
    <w:uiPriority w:val="99"/>
    <w:unhideWhenUsed/>
    <w:rsid w:val="006B360E"/>
    <w:pPr>
      <w:spacing w:after="0" w:line="240" w:lineRule="auto"/>
    </w:pPr>
    <w:rPr>
      <w:szCs w:val="20"/>
    </w:rPr>
  </w:style>
  <w:style w:type="character" w:customStyle="1" w:styleId="FootnoteTextChar">
    <w:name w:val="Footnote Text Char"/>
    <w:basedOn w:val="DefaultParagraphFont"/>
    <w:link w:val="FootnoteText"/>
    <w:uiPriority w:val="99"/>
    <w:rsid w:val="006B360E"/>
    <w:rPr>
      <w:rFonts w:ascii="Segoe UI" w:hAnsi="Segoe UI"/>
      <w:sz w:val="20"/>
      <w:szCs w:val="20"/>
    </w:rPr>
  </w:style>
  <w:style w:type="character" w:styleId="FootnoteReference">
    <w:name w:val="footnote reference"/>
    <w:basedOn w:val="DefaultParagraphFont"/>
    <w:uiPriority w:val="99"/>
    <w:semiHidden/>
    <w:unhideWhenUsed/>
    <w:rsid w:val="006B360E"/>
    <w:rPr>
      <w:vertAlign w:val="superscript"/>
    </w:rPr>
  </w:style>
  <w:style w:type="paragraph" w:customStyle="1" w:styleId="PinkText-Style2">
    <w:name w:val="Pink Text - Style 2"/>
    <w:basedOn w:val="Normal"/>
    <w:link w:val="PinkText-Style2Char"/>
    <w:qFormat/>
    <w:rsid w:val="00E3000A"/>
    <w:pPr>
      <w:ind w:left="720"/>
      <w:contextualSpacing/>
    </w:pPr>
    <w:rPr>
      <w:i/>
      <w:color w:val="FF00FF"/>
    </w:rPr>
  </w:style>
  <w:style w:type="character" w:customStyle="1" w:styleId="PinkText-Style2Char">
    <w:name w:val="Pink Text - Style 2 Char"/>
    <w:basedOn w:val="DefaultParagraphFont"/>
    <w:link w:val="PinkText-Style2"/>
    <w:rsid w:val="00E3000A"/>
    <w:rPr>
      <w:rFonts w:ascii="Segoe UI" w:hAnsi="Segoe UI"/>
      <w:i/>
      <w:color w:val="FF00FF"/>
      <w:sz w:val="20"/>
    </w:rPr>
  </w:style>
  <w:style w:type="character" w:styleId="FollowedHyperlink">
    <w:name w:val="FollowedHyperlink"/>
    <w:basedOn w:val="DefaultParagraphFont"/>
    <w:uiPriority w:val="99"/>
    <w:semiHidden/>
    <w:unhideWhenUsed/>
    <w:rsid w:val="00C31593"/>
    <w:rPr>
      <w:color w:val="954F72" w:themeColor="followedHyperlink"/>
      <w:u w:val="single"/>
    </w:rPr>
  </w:style>
  <w:style w:type="table" w:styleId="ListTable3-Accent1">
    <w:name w:val="List Table 3 Accent 1"/>
    <w:basedOn w:val="TableNormal"/>
    <w:uiPriority w:val="48"/>
    <w:rsid w:val="00024E96"/>
    <w:pPr>
      <w:spacing w:after="0" w:line="240" w:lineRule="auto"/>
    </w:pPr>
    <w:rPr>
      <w:rFonts w:eastAsiaTheme="minorHAnsi"/>
      <w:kern w:val="2"/>
      <w14:ligatures w14:val="standardContextual"/>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cf01">
    <w:name w:val="cf01"/>
    <w:basedOn w:val="DefaultParagraphFont"/>
    <w:rsid w:val="000E7922"/>
    <w:rPr>
      <w:rFonts w:ascii="Segoe UI" w:hAnsi="Segoe UI" w:cs="Segoe UI" w:hint="default"/>
      <w:sz w:val="18"/>
      <w:szCs w:val="18"/>
    </w:rPr>
  </w:style>
  <w:style w:type="paragraph" w:customStyle="1" w:styleId="NumBullet4">
    <w:name w:val="Num Bullet 4"/>
    <w:basedOn w:val="Normal"/>
    <w:uiPriority w:val="3"/>
    <w:rsid w:val="00BA47B3"/>
    <w:pPr>
      <w:numPr>
        <w:numId w:val="25"/>
      </w:numPr>
      <w:spacing w:line="276"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2226">
      <w:bodyDiv w:val="1"/>
      <w:marLeft w:val="0"/>
      <w:marRight w:val="0"/>
      <w:marTop w:val="0"/>
      <w:marBottom w:val="0"/>
      <w:divBdr>
        <w:top w:val="none" w:sz="0" w:space="0" w:color="auto"/>
        <w:left w:val="none" w:sz="0" w:space="0" w:color="auto"/>
        <w:bottom w:val="none" w:sz="0" w:space="0" w:color="auto"/>
        <w:right w:val="none" w:sz="0" w:space="0" w:color="auto"/>
      </w:divBdr>
    </w:div>
    <w:div w:id="132911532">
      <w:bodyDiv w:val="1"/>
      <w:marLeft w:val="0"/>
      <w:marRight w:val="0"/>
      <w:marTop w:val="0"/>
      <w:marBottom w:val="0"/>
      <w:divBdr>
        <w:top w:val="none" w:sz="0" w:space="0" w:color="auto"/>
        <w:left w:val="none" w:sz="0" w:space="0" w:color="auto"/>
        <w:bottom w:val="none" w:sz="0" w:space="0" w:color="auto"/>
        <w:right w:val="none" w:sz="0" w:space="0" w:color="auto"/>
      </w:divBdr>
    </w:div>
    <w:div w:id="367416141">
      <w:bodyDiv w:val="1"/>
      <w:marLeft w:val="0"/>
      <w:marRight w:val="0"/>
      <w:marTop w:val="0"/>
      <w:marBottom w:val="0"/>
      <w:divBdr>
        <w:top w:val="none" w:sz="0" w:space="0" w:color="auto"/>
        <w:left w:val="none" w:sz="0" w:space="0" w:color="auto"/>
        <w:bottom w:val="none" w:sz="0" w:space="0" w:color="auto"/>
        <w:right w:val="none" w:sz="0" w:space="0" w:color="auto"/>
      </w:divBdr>
    </w:div>
    <w:div w:id="654455171">
      <w:bodyDiv w:val="1"/>
      <w:marLeft w:val="0"/>
      <w:marRight w:val="0"/>
      <w:marTop w:val="0"/>
      <w:marBottom w:val="0"/>
      <w:divBdr>
        <w:top w:val="none" w:sz="0" w:space="0" w:color="auto"/>
        <w:left w:val="none" w:sz="0" w:space="0" w:color="auto"/>
        <w:bottom w:val="none" w:sz="0" w:space="0" w:color="auto"/>
        <w:right w:val="none" w:sz="0" w:space="0" w:color="auto"/>
      </w:divBdr>
    </w:div>
    <w:div w:id="712853967">
      <w:bodyDiv w:val="1"/>
      <w:marLeft w:val="0"/>
      <w:marRight w:val="0"/>
      <w:marTop w:val="0"/>
      <w:marBottom w:val="0"/>
      <w:divBdr>
        <w:top w:val="none" w:sz="0" w:space="0" w:color="auto"/>
        <w:left w:val="none" w:sz="0" w:space="0" w:color="auto"/>
        <w:bottom w:val="none" w:sz="0" w:space="0" w:color="auto"/>
        <w:right w:val="none" w:sz="0" w:space="0" w:color="auto"/>
      </w:divBdr>
    </w:div>
    <w:div w:id="1132870880">
      <w:bodyDiv w:val="1"/>
      <w:marLeft w:val="0"/>
      <w:marRight w:val="0"/>
      <w:marTop w:val="0"/>
      <w:marBottom w:val="0"/>
      <w:divBdr>
        <w:top w:val="none" w:sz="0" w:space="0" w:color="auto"/>
        <w:left w:val="none" w:sz="0" w:space="0" w:color="auto"/>
        <w:bottom w:val="none" w:sz="0" w:space="0" w:color="auto"/>
        <w:right w:val="none" w:sz="0" w:space="0" w:color="auto"/>
      </w:divBdr>
    </w:div>
    <w:div w:id="1195269806">
      <w:bodyDiv w:val="1"/>
      <w:marLeft w:val="0"/>
      <w:marRight w:val="0"/>
      <w:marTop w:val="0"/>
      <w:marBottom w:val="0"/>
      <w:divBdr>
        <w:top w:val="none" w:sz="0" w:space="0" w:color="auto"/>
        <w:left w:val="none" w:sz="0" w:space="0" w:color="auto"/>
        <w:bottom w:val="none" w:sz="0" w:space="0" w:color="auto"/>
        <w:right w:val="none" w:sz="0" w:space="0" w:color="auto"/>
      </w:divBdr>
    </w:div>
    <w:div w:id="1269123132">
      <w:bodyDiv w:val="1"/>
      <w:marLeft w:val="0"/>
      <w:marRight w:val="0"/>
      <w:marTop w:val="0"/>
      <w:marBottom w:val="0"/>
      <w:divBdr>
        <w:top w:val="none" w:sz="0" w:space="0" w:color="auto"/>
        <w:left w:val="none" w:sz="0" w:space="0" w:color="auto"/>
        <w:bottom w:val="none" w:sz="0" w:space="0" w:color="auto"/>
        <w:right w:val="none" w:sz="0" w:space="0" w:color="auto"/>
      </w:divBdr>
      <w:divsChild>
        <w:div w:id="865679392">
          <w:marLeft w:val="0"/>
          <w:marRight w:val="0"/>
          <w:marTop w:val="0"/>
          <w:marBottom w:val="0"/>
          <w:divBdr>
            <w:top w:val="none" w:sz="0" w:space="0" w:color="auto"/>
            <w:left w:val="none" w:sz="0" w:space="0" w:color="auto"/>
            <w:bottom w:val="none" w:sz="0" w:space="0" w:color="auto"/>
            <w:right w:val="none" w:sz="0" w:space="0" w:color="auto"/>
          </w:divBdr>
        </w:div>
      </w:divsChild>
    </w:div>
    <w:div w:id="1503666239">
      <w:bodyDiv w:val="1"/>
      <w:marLeft w:val="0"/>
      <w:marRight w:val="0"/>
      <w:marTop w:val="0"/>
      <w:marBottom w:val="0"/>
      <w:divBdr>
        <w:top w:val="none" w:sz="0" w:space="0" w:color="auto"/>
        <w:left w:val="none" w:sz="0" w:space="0" w:color="auto"/>
        <w:bottom w:val="none" w:sz="0" w:space="0" w:color="auto"/>
        <w:right w:val="none" w:sz="0" w:space="0" w:color="auto"/>
      </w:divBdr>
    </w:div>
    <w:div w:id="1662077935">
      <w:bodyDiv w:val="1"/>
      <w:marLeft w:val="0"/>
      <w:marRight w:val="0"/>
      <w:marTop w:val="0"/>
      <w:marBottom w:val="0"/>
      <w:divBdr>
        <w:top w:val="none" w:sz="0" w:space="0" w:color="auto"/>
        <w:left w:val="none" w:sz="0" w:space="0" w:color="auto"/>
        <w:bottom w:val="none" w:sz="0" w:space="0" w:color="auto"/>
        <w:right w:val="none" w:sz="0" w:space="0" w:color="auto"/>
      </w:divBdr>
    </w:div>
    <w:div w:id="1679843014">
      <w:bodyDiv w:val="1"/>
      <w:marLeft w:val="0"/>
      <w:marRight w:val="0"/>
      <w:marTop w:val="0"/>
      <w:marBottom w:val="0"/>
      <w:divBdr>
        <w:top w:val="none" w:sz="0" w:space="0" w:color="auto"/>
        <w:left w:val="none" w:sz="0" w:space="0" w:color="auto"/>
        <w:bottom w:val="none" w:sz="0" w:space="0" w:color="auto"/>
        <w:right w:val="none" w:sz="0" w:space="0" w:color="auto"/>
      </w:divBdr>
    </w:div>
    <w:div w:id="1794713849">
      <w:bodyDiv w:val="1"/>
      <w:marLeft w:val="0"/>
      <w:marRight w:val="0"/>
      <w:marTop w:val="0"/>
      <w:marBottom w:val="0"/>
      <w:divBdr>
        <w:top w:val="none" w:sz="0" w:space="0" w:color="auto"/>
        <w:left w:val="none" w:sz="0" w:space="0" w:color="auto"/>
        <w:bottom w:val="none" w:sz="0" w:space="0" w:color="auto"/>
        <w:right w:val="none" w:sz="0" w:space="0" w:color="auto"/>
      </w:divBdr>
    </w:div>
    <w:div w:id="2056928926">
      <w:bodyDiv w:val="1"/>
      <w:marLeft w:val="0"/>
      <w:marRight w:val="0"/>
      <w:marTop w:val="0"/>
      <w:marBottom w:val="0"/>
      <w:divBdr>
        <w:top w:val="none" w:sz="0" w:space="0" w:color="auto"/>
        <w:left w:val="none" w:sz="0" w:space="0" w:color="auto"/>
        <w:bottom w:val="none" w:sz="0" w:space="0" w:color="auto"/>
        <w:right w:val="none" w:sz="0" w:space="0" w:color="auto"/>
      </w:divBdr>
    </w:div>
    <w:div w:id="2077362183">
      <w:bodyDiv w:val="1"/>
      <w:marLeft w:val="0"/>
      <w:marRight w:val="0"/>
      <w:marTop w:val="0"/>
      <w:marBottom w:val="0"/>
      <w:divBdr>
        <w:top w:val="none" w:sz="0" w:space="0" w:color="auto"/>
        <w:left w:val="none" w:sz="0" w:space="0" w:color="auto"/>
        <w:bottom w:val="none" w:sz="0" w:space="0" w:color="auto"/>
        <w:right w:val="none" w:sz="0" w:space="0" w:color="auto"/>
      </w:divBdr>
      <w:divsChild>
        <w:div w:id="2064597460">
          <w:marLeft w:val="0"/>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ldoctool.cloudapp.net/landing/services" TargetMode="External"/><Relationship Id="rId18" Type="http://schemas.openxmlformats.org/officeDocument/2006/relationships/footer" Target="footer1.xml"/><Relationship Id="rId26" Type="http://schemas.openxmlformats.org/officeDocument/2006/relationships/hyperlink" Target="https://vldoctool.cloudapp.net/landing/services"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vldoctool.cloudapp.net/DocSearch/Document/64138" TargetMode="External"/><Relationship Id="rId17" Type="http://schemas.openxmlformats.org/officeDocument/2006/relationships/header" Target="header2.xml"/><Relationship Id="rId25" Type="http://schemas.openxmlformats.org/officeDocument/2006/relationships/hyperlink" Target="https://azure.microsoft.com/en-us/documentation/articles/site-recovery-vmware-to-azure-classic/"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ka.ms/isd/cts" TargetMode="External"/><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aka.ms/AnswersHub"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ka.ms/k360" TargetMode="External"/><Relationship Id="rId22" Type="http://schemas.openxmlformats.org/officeDocument/2006/relationships/image" Target="media/image1.png"/><Relationship Id="rId27"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323A5336-5D10-4E36-AD29-0BDF514ADD09}">
    <t:Anchor>
      <t:Comment id="612638461"/>
    </t:Anchor>
    <t:History>
      <t:Event id="{FD5AD33C-2EE4-4131-93A8-09ED414BB740}" time="2021-07-02T13:47:48Z">
        <t:Attribution userId="S::celabu@microsoft.com::4aa9cdd7-8141-4524-8c8d-e4aceebe61eb" userProvider="AD" userName="Cedric Labuschagne"/>
        <t:Anchor>
          <t:Comment id="1565688442"/>
        </t:Anchor>
        <t:Create/>
      </t:Event>
      <t:Event id="{0D0B1D32-1040-437E-8836-43746CDDF9E5}" time="2021-07-02T13:47:48Z">
        <t:Attribution userId="S::celabu@microsoft.com::4aa9cdd7-8141-4524-8c8d-e4aceebe61eb" userProvider="AD" userName="Cedric Labuschagne"/>
        <t:Anchor>
          <t:Comment id="1565688442"/>
        </t:Anchor>
        <t:Assign userId="S::ernestjo@microsoft.com::ca0c3bc3-72a6-4c9b-b1c3-ae625f836c6b" userProvider="AD" userName="Trayce Jordan"/>
      </t:Event>
      <t:Event id="{05477449-C5B4-40BD-AA24-D725C2AB4E7D}" time="2021-07-02T13:47:48Z">
        <t:Attribution userId="S::celabu@microsoft.com::4aa9cdd7-8141-4524-8c8d-e4aceebe61eb" userProvider="AD" userName="Cedric Labuschagne"/>
        <t:Anchor>
          <t:Comment id="1565688442"/>
        </t:Anchor>
        <t:SetTitle title="@Trayce Jordan , thanks I also updated the last sentence and removed the word &quot;Workshop&quot; .We already have it defined as a workshop under the service description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887684687D3941A2C31AC07BA06F07" ma:contentTypeVersion="19" ma:contentTypeDescription="Create a new document." ma:contentTypeScope="" ma:versionID="316cc1944919544f021ac188e2179aec">
  <xsd:schema xmlns:xsd="http://www.w3.org/2001/XMLSchema" xmlns:xs="http://www.w3.org/2001/XMLSchema" xmlns:p="http://schemas.microsoft.com/office/2006/metadata/properties" xmlns:ns1="http://schemas.microsoft.com/sharepoint/v3" xmlns:ns2="092e2523-356e-41b9-a585-9739b0dd1a59" xmlns:ns3="45fe240a-c48e-46b9-a025-27c796ea9a63" xmlns:ns4="230e9df3-be65-4c73-a93b-d1236ebd677e" targetNamespace="http://schemas.microsoft.com/office/2006/metadata/properties" ma:root="true" ma:fieldsID="2b4bf087da24fd2fd8af267554fff49c" ns1:_="" ns2:_="" ns3:_="" ns4:_="">
    <xsd:import namespace="http://schemas.microsoft.com/sharepoint/v3"/>
    <xsd:import namespace="092e2523-356e-41b9-a585-9739b0dd1a59"/>
    <xsd:import namespace="45fe240a-c48e-46b9-a025-27c796ea9a63"/>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4:TaxCatchAll"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2e2523-356e-41b9-a585-9739b0dd1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e240a-c48e-46b9-a025-27c796ea9a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db78d74-c6a0-460d-a906-ccd716cbc17d}" ma:internalName="TaxCatchAll" ma:showField="CatchAllData" ma:web="45fe240a-c48e-46b9-a025-27c796ea9a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30e9df3-be65-4c73-a93b-d1236ebd677e" xsi:nil="true"/>
    <_ip_UnifiedCompliancePolicyUIAction xmlns="http://schemas.microsoft.com/sharepoint/v3" xsi:nil="true"/>
    <_ip_UnifiedCompliancePolicyProperties xmlns="http://schemas.microsoft.com/sharepoint/v3" xsi:nil="true"/>
    <SharedWithUsers xmlns="45fe240a-c48e-46b9-a025-27c796ea9a63">
      <UserInfo>
        <DisplayName>Brad Marks</DisplayName>
        <AccountId>258</AccountId>
        <AccountType/>
      </UserInfo>
    </SharedWithUsers>
    <lcf76f155ced4ddcb4097134ff3c332f xmlns="092e2523-356e-41b9-a585-9739b0dd1a59">
      <Terms xmlns="http://schemas.microsoft.com/office/infopath/2007/PartnerControls"/>
    </lcf76f155ced4ddcb4097134ff3c332f>
    <MediaServiceKeyPoints xmlns="092e2523-356e-41b9-a585-9739b0dd1a5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0D474-AB8B-4B1B-9E97-52F5739FF574}">
  <ds:schemaRefs>
    <ds:schemaRef ds:uri="http://schemas.microsoft.com/sharepoint/v3/contenttype/forms"/>
  </ds:schemaRefs>
</ds:datastoreItem>
</file>

<file path=customXml/itemProps2.xml><?xml version="1.0" encoding="utf-8"?>
<ds:datastoreItem xmlns:ds="http://schemas.openxmlformats.org/officeDocument/2006/customXml" ds:itemID="{47B8ACD3-C676-47B4-9BD5-F5B9DBC6A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92e2523-356e-41b9-a585-9739b0dd1a59"/>
    <ds:schemaRef ds:uri="45fe240a-c48e-46b9-a025-27c796ea9a63"/>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801AB2-5593-424A-BC7D-21FAFF6F6D15}">
  <ds:schemaRefs>
    <ds:schemaRef ds:uri="http://schemas.microsoft.com/office/2006/metadata/properties"/>
    <ds:schemaRef ds:uri="http://schemas.microsoft.com/office/infopath/2007/PartnerControls"/>
    <ds:schemaRef ds:uri="230e9df3-be65-4c73-a93b-d1236ebd677e"/>
    <ds:schemaRef ds:uri="http://schemas.microsoft.com/sharepoint/v3"/>
    <ds:schemaRef ds:uri="45fe240a-c48e-46b9-a025-27c796ea9a63"/>
    <ds:schemaRef ds:uri="092e2523-356e-41b9-a585-9739b0dd1a59"/>
  </ds:schemaRefs>
</ds:datastoreItem>
</file>

<file path=customXml/itemProps4.xml><?xml version="1.0" encoding="utf-8"?>
<ds:datastoreItem xmlns:ds="http://schemas.openxmlformats.org/officeDocument/2006/customXml" ds:itemID="{BDB80647-D149-4E67-83A0-7CC45196CA4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27</Pages>
  <Words>8283</Words>
  <Characters>47217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Cushner</dc:creator>
  <cp:keywords/>
  <dc:description/>
  <cp:lastModifiedBy>Kellen Gordon</cp:lastModifiedBy>
  <cp:revision>2</cp:revision>
  <dcterms:created xsi:type="dcterms:W3CDTF">2023-01-06T06:41:00Z</dcterms:created>
  <dcterms:modified xsi:type="dcterms:W3CDTF">2023-01-06T06:41:00Z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0x01010044887684687D3941A2C31AC07BA06F07</vt:lpwstr>
  </property>
  <property fmtid="{D5CDD505-2E9C-101B-9397-08002B2CF9AE}" pid="3" name="MediaServiceImageTags">
    <vt:lpwstr/>
  </property>
</Properties>
</file>