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29" w:rsidRDefault="008A08D4" w:rsidP="008A08D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As a promising topologically protected swirling spin configuration, skyrmion is promising for non-volatile data storage with high-density and low-power.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A competition among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Dzyaloshinskii−Moriya interaction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(DMI), Heisenberg interaction, dipolar interactions and Zeeman energy results in different spin states. The interfacial Dzyaloshinskii−Moriya interaction (iDMI) is intimately related to the prospect of superior DW dynamics and the formation of magnetic skyrmion.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Ever since it was discovered 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by Dzyaloshinskii and Moriya in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1958 and 1960</w:t>
      </w:r>
      <w:r w:rsid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w:r w:rsid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[1, 2]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, DMI in structures with broken inversion symmetry has attracted significant interest of publics.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A08D4" w:rsidRDefault="008A08D4" w:rsidP="008A08D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The DMI effect can be regarded as an effective field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DMI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, which takes the form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DMI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. The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are neighboring spins at site 1 and site 2 and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</m:oMath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is the corresponding Dzyaloshinskii–Moriya vector. Except for the bulk DMI in bulk chiral magnet, the existence of 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spin-orbital coupling (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SOC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)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and inversion symmetry breaking at material interfaces will induce an iDMI. Considering the iDMI,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</m:oMath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can be written as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w:r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[</w:t>
      </w:r>
      <w:r w:rsid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3</w:t>
      </w:r>
      <w:r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]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12</m:t>
            </m:r>
          </m:sub>
        </m:sSub>
        <m:r>
          <w:rPr>
            <w:rFonts w:ascii="Cambria Math" w:hAnsi="Cambria Math"/>
            <w:color w:val="000000"/>
          </w:rPr>
          <m:t>∙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z∙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12</m:t>
                </m:r>
              </m:sub>
            </m:sSub>
          </m:e>
        </m:d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, where both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z</m:t>
        </m:r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are unit vectors,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z</m:t>
        </m:r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pointing to the perpendicular direction of the film surface and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12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pointing from site 1 to site 2. For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&gt;0</m:t>
        </m:r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, the iDMI favour</w:t>
      </w:r>
      <w:r w:rsidR="000131B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s anticlockwise rotations from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. on the contrary, lower energy for clockwise magnetization rotation corresponds to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&lt;0</m:t>
        </m:r>
      </m:oMath>
      <w:r w:rsidRPr="008A08D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.</w:t>
      </w:r>
    </w:p>
    <w:p w:rsidR="000131B4" w:rsidRDefault="000131B4" w:rsidP="000131B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There are mainly three types of 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interfaces which induce strong DMI.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The first and most common type is interface between ferromagnetic 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(FM) 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layer and heavy metal (HM) layer with strong 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SOC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.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The relative position of the 3d states in the magnetic transition metal and the 5d states in the heavy metal is of great importance.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The second type is FM/oxide. A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large charge transfer and a strong interfacial electric field are induced at oxide interface compensate the small SOC of the atoms at the interface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 xml:space="preserve"> [</w:t>
      </w:r>
      <w:r w:rsid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4–6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vertAlign w:val="superscript"/>
        </w:rPr>
        <w:t>]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. It was also found large DMI at FM/graphene interface on account of Rashba effect.</w:t>
      </w:r>
    </w:p>
    <w:p w:rsidR="00534E74" w:rsidRPr="00534E74" w:rsidRDefault="00534E74" w:rsidP="000131B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</w:p>
    <w:p w:rsidR="009B482F" w:rsidRPr="009B482F" w:rsidRDefault="009B482F" w:rsidP="009B482F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[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1</w:t>
      </w: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]</w:t>
      </w: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ab/>
        <w:t>T. Moriya, Phys. Rev. 1960, 120, 91.</w:t>
      </w:r>
    </w:p>
    <w:p w:rsidR="009B482F" w:rsidRDefault="009B482F" w:rsidP="009B482F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[</w:t>
      </w: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2</w:t>
      </w: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]</w:t>
      </w: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ab/>
        <w:t>I. Dzyaloshinskii, J. Phys. Chem. Solids 1958, 4, 241.</w:t>
      </w:r>
      <w:r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534E74" w:rsidRDefault="009B482F" w:rsidP="009B482F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[3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]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ab/>
        <w:t>H. Yang, A. Thiaville, S. Rohart, A. Fert, M. Chshiev, Phys. Rev. Lett. 2015, 115, 267210.</w:t>
      </w:r>
    </w:p>
    <w:p w:rsidR="00534E74" w:rsidRPr="00534E74" w:rsidRDefault="009B482F" w:rsidP="00534E7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lastRenderedPageBreak/>
        <w:t>[4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>]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</w:rPr>
        <w:tab/>
        <w:t>A. Belabbes, G. Bihlmayer, S. Blügel, A. Manchon, Sci. Rep. 2016, 6, 24634.</w:t>
      </w:r>
    </w:p>
    <w:p w:rsidR="00534E74" w:rsidRPr="009B482F" w:rsidRDefault="009B482F" w:rsidP="00534E7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</w:pP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[5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]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ab/>
        <w:t xml:space="preserve">O. Boulle, J. Vogel, H. Yang, S. Pizzini, D. de S. Chaves, A. Locatelli, T. O. Menteş, A. Sala, L. D. Buda-Prejbeanu, O. Klein, M. Belmeguenai, Y. Roussigné, A. Stashkevich, S. M. Chérif, L. Aballe, M. Foerster, M. Chshiev, S. Auffret, I. M. Miron, G. Gaudin, Nat. </w:t>
      </w:r>
      <w:r w:rsidR="00534E74" w:rsidRPr="009B482F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Nanotechnol. 2016, 11, 449.</w:t>
      </w:r>
    </w:p>
    <w:p w:rsidR="000131B4" w:rsidRPr="00534E74" w:rsidRDefault="009B482F" w:rsidP="00534E74">
      <w:pPr>
        <w:spacing w:line="36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</w:pPr>
      <w:r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[6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]</w:t>
      </w:r>
      <w:r w:rsidR="00534E74" w:rsidRP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ab/>
        <w:t>A. Fert, N. Reyren, V. Cros, Nat. Rev. Mater. 2017, 2, DOI 10.1038/natrevmats.2017.31</w:t>
      </w:r>
      <w:r w:rsidR="00534E74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val="fr-FR"/>
        </w:rPr>
        <w:t>.</w:t>
      </w:r>
      <w:bookmarkStart w:id="0" w:name="_GoBack"/>
      <w:bookmarkEnd w:id="0"/>
    </w:p>
    <w:sectPr w:rsidR="000131B4" w:rsidRPr="0053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4"/>
    <w:rsid w:val="000131B4"/>
    <w:rsid w:val="00234129"/>
    <w:rsid w:val="00531850"/>
    <w:rsid w:val="00534E74"/>
    <w:rsid w:val="006906FF"/>
    <w:rsid w:val="008A08D4"/>
    <w:rsid w:val="009B482F"/>
    <w:rsid w:val="00B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698"/>
  <w15:chartTrackingRefBased/>
  <w15:docId w15:val="{9387E9D4-598B-4FEC-9F19-35596A8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Cao</dc:creator>
  <cp:keywords/>
  <dc:description/>
  <cp:lastModifiedBy>Anni Cao</cp:lastModifiedBy>
  <cp:revision>2</cp:revision>
  <dcterms:created xsi:type="dcterms:W3CDTF">2019-03-19T14:08:00Z</dcterms:created>
  <dcterms:modified xsi:type="dcterms:W3CDTF">2019-03-19T14:42:00Z</dcterms:modified>
</cp:coreProperties>
</file>