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outlineLvl w:val="9"/>
      </w:pPr>
      <w:r>
        <w:t>Informe técnico Sumativa 3 Feria NewMix</w:t>
      </w:r>
    </w:p>
    <w:p>
      <w:pPr>
        <w:outlineLvl w:val="9"/>
      </w:pPr>
      <w:r>
        <w:t>API REST con JWT y Swagger</w:t>
        <w:br/>
        <w:t>4 de octubre de 2026</w:t>
      </w:r>
    </w:p>
    <w:p>
      <w:pPr>
        <w:pStyle w:val="SubtituloInforme"/>
        <w:outlineLvl w:val="9"/>
      </w:pPr>
      <w:r>
        <w:t>Introducción</w:t>
      </w:r>
    </w:p>
    <w:p>
      <w:pPr>
        <w:outlineLvl w:val="9"/>
      </w:pPr>
      <w:r>
        <w:t>Feria NewMix administra un catálogo musical, clientes y ventas. Esta ampliación permite consumir sus datos desde otras aplicaciones mediante una API REST, sin reemplazar la interfaz web. Los dos mantenedores son Cliente y Disco. Venta relaciona ambos y registra la cantidad comprada.</w:t>
      </w:r>
    </w:p>
    <w:p>
      <w:pPr>
        <w:outlineLvl w:val="9"/>
      </w:pPr>
      <w:r>
        <w:t>La API se comprobó en el entorno local: aprobaron 35 pruebas específicas y las 129 pruebas totales del proyecto, junto con la configuración y el esquema OpenAPI. Este informe explica DRF, JWT, permisos, privacidad, Swagger y la actualización de stock. AWS está aplazado y su criterio permanece pendiente.</w:t>
      </w:r>
    </w:p>
    <w:p>
      <w:pPr>
        <w:spacing w:after="60"/>
        <w:jc w:val="center"/>
        <w:outlineLvl w:val="9"/>
      </w:pPr>
      <w:r>
        <w:drawing>
          <wp:inline xmlns:a="http://schemas.openxmlformats.org/drawingml/2006/main" xmlns:pic="http://schemas.openxmlformats.org/drawingml/2006/picture">
            <wp:extent cx="6120000" cy="2914286"/>
            <wp:docPr id="1" name="Picture 1" descr="Figura 1  Interfaz web comprobada en el equipo local"/>
            <wp:cNvGraphicFramePr>
              <a:graphicFrameLocks noChangeAspect="1"/>
            </wp:cNvGraphicFramePr>
            <a:graphic>
              <a:graphicData uri="http://schemas.openxmlformats.org/drawingml/2006/picture">
                <pic:pic>
                  <pic:nvPicPr>
                    <pic:cNvPr id="0" name="01_web_local.jpg"/>
                    <pic:cNvPicPr/>
                  </pic:nvPicPr>
                  <pic:blipFill>
                    <a:blip r:embed="rId10"/>
                    <a:stretch>
                      <a:fillRect/>
                    </a:stretch>
                  </pic:blipFill>
                  <pic:spPr>
                    <a:xfrm>
                      <a:off x="0" y="0"/>
                      <a:ext cx="6120000" cy="2914286"/>
                    </a:xfrm>
                    <a:prstGeom prst="rect"/>
                  </pic:spPr>
                </pic:pic>
              </a:graphicData>
            </a:graphic>
          </wp:inline>
        </w:drawing>
      </w:r>
    </w:p>
    <w:p>
      <w:pPr>
        <w:pStyle w:val="PieImagen"/>
        <w:outlineLvl w:val="9"/>
      </w:pPr>
      <w:r>
        <w:t>Figura 1  Interfaz web comprobada en el equipo local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701"/>
        <w:gridCol w:w="7937"/>
      </w:tblGrid>
      <w:tr>
        <w:trPr>
          <w:tblHeader w:val="true"/>
          <w:cantSplit/>
        </w:trPr>
        <w:tc>
          <w:tcPr>
            <w:tcW w:type="dxa" w:w="1701"/>
            <w:vAlign w:val="center"/>
            <w:shd w:fill="EEEEEE"/>
          </w:tcPr>
          <w:p>
            <w:pPr>
              <w:spacing w:after="40" w:line="252" w:lineRule="auto"/>
              <w:outlineLvl w:val="9"/>
            </w:pPr>
            <w:r>
              <w:rPr>
                <w:rFonts w:ascii="Arial" w:hAnsi="Arial"/>
                <w:b/>
                <w:color w:val="000000"/>
                <w:sz w:val="20"/>
              </w:rPr>
              <w:t>Modelo</w:t>
            </w:r>
          </w:p>
        </w:tc>
        <w:tc>
          <w:tcPr>
            <w:tcW w:type="dxa" w:w="7937"/>
            <w:vAlign w:val="center"/>
            <w:shd w:fill="EEEEEE"/>
          </w:tcPr>
          <w:p>
            <w:pPr>
              <w:spacing w:after="40" w:line="252" w:lineRule="auto"/>
              <w:outlineLvl w:val="9"/>
            </w:pPr>
            <w:r>
              <w:rPr>
                <w:rFonts w:ascii="Arial" w:hAnsi="Arial"/>
                <w:b/>
                <w:color w:val="000000"/>
                <w:sz w:val="20"/>
              </w:rPr>
              <w:t>Función en el negocio</w:t>
            </w:r>
          </w:p>
        </w:tc>
      </w:tr>
      <w:tr>
        <w:trPr>
          <w:cantSplit/>
        </w:trPr>
        <w:tc>
          <w:tcPr>
            <w:tcW w:type="dxa" w:w="1701"/>
            <w:vAlign w:val="center"/>
          </w:tcPr>
          <w:p>
            <w:pPr>
              <w:spacing w:after="40" w:line="252" w:lineRule="auto"/>
              <w:outlineLvl w:val="9"/>
            </w:pPr>
            <w:r>
              <w:rPr>
                <w:rFonts w:ascii="Arial" w:hAnsi="Arial"/>
                <w:b w:val="0"/>
                <w:color w:val="000000"/>
                <w:sz w:val="20"/>
              </w:rPr>
              <w:t>Cliente</w:t>
            </w:r>
          </w:p>
        </w:tc>
        <w:tc>
          <w:tcPr>
            <w:tcW w:type="dxa" w:w="7937"/>
            <w:vAlign w:val="center"/>
          </w:tcPr>
          <w:p>
            <w:pPr>
              <w:spacing w:after="40" w:line="252" w:lineRule="auto"/>
              <w:outlineLvl w:val="9"/>
            </w:pPr>
            <w:r>
              <w:rPr>
                <w:rFonts w:ascii="Arial" w:hAnsi="Arial"/>
                <w:b w:val="0"/>
                <w:color w:val="000000"/>
                <w:sz w:val="20"/>
              </w:rPr>
              <w:t>Identifica al comprador; puede tener una cuenta vinculada.</w:t>
            </w:r>
          </w:p>
        </w:tc>
      </w:tr>
      <w:tr>
        <w:trPr>
          <w:cantSplit/>
        </w:trPr>
        <w:tc>
          <w:tcPr>
            <w:tcW w:type="dxa" w:w="1701"/>
            <w:vAlign w:val="center"/>
          </w:tcPr>
          <w:p>
            <w:pPr>
              <w:spacing w:after="40" w:line="252" w:lineRule="auto"/>
              <w:outlineLvl w:val="9"/>
            </w:pPr>
            <w:r>
              <w:rPr>
                <w:rFonts w:ascii="Arial" w:hAnsi="Arial"/>
                <w:b w:val="0"/>
                <w:color w:val="000000"/>
                <w:sz w:val="20"/>
              </w:rPr>
              <w:t>Disco</w:t>
            </w:r>
          </w:p>
        </w:tc>
        <w:tc>
          <w:tcPr>
            <w:tcW w:type="dxa" w:w="7937"/>
            <w:vAlign w:val="center"/>
          </w:tcPr>
          <w:p>
            <w:pPr>
              <w:spacing w:after="40" w:line="252" w:lineRule="auto"/>
              <w:outlineLvl w:val="9"/>
            </w:pPr>
            <w:r>
              <w:rPr>
                <w:rFonts w:ascii="Arial" w:hAnsi="Arial"/>
                <w:b w:val="0"/>
                <w:color w:val="000000"/>
                <w:sz w:val="20"/>
              </w:rPr>
              <w:t>Pertenece a un Artista y contiene precio de catálogo, stock y archivos.</w:t>
            </w:r>
          </w:p>
        </w:tc>
      </w:tr>
      <w:tr>
        <w:trPr>
          <w:cantSplit/>
        </w:trPr>
        <w:tc>
          <w:tcPr>
            <w:tcW w:type="dxa" w:w="1701"/>
            <w:vAlign w:val="center"/>
          </w:tcPr>
          <w:p>
            <w:pPr>
              <w:spacing w:after="40" w:line="252" w:lineRule="auto"/>
              <w:outlineLvl w:val="9"/>
            </w:pPr>
            <w:r>
              <w:rPr>
                <w:rFonts w:ascii="Arial" w:hAnsi="Arial"/>
                <w:b w:val="0"/>
                <w:color w:val="000000"/>
                <w:sz w:val="20"/>
              </w:rPr>
              <w:t>Venta</w:t>
            </w:r>
          </w:p>
        </w:tc>
        <w:tc>
          <w:tcPr>
            <w:tcW w:type="dxa" w:w="7937"/>
            <w:vAlign w:val="center"/>
          </w:tcPr>
          <w:p>
            <w:pPr>
              <w:spacing w:after="40" w:line="252" w:lineRule="auto"/>
              <w:outlineLvl w:val="9"/>
            </w:pPr>
            <w:r>
              <w:rPr>
                <w:rFonts w:ascii="Arial" w:hAnsi="Arial"/>
                <w:b w:val="0"/>
                <w:color w:val="000000"/>
                <w:sz w:val="20"/>
              </w:rPr>
              <w:t>Une Cliente y Disco; guarda fecha, cantidad y precio histórico.</w:t>
            </w:r>
          </w:p>
        </w:tc>
      </w:tr>
    </w:tbl>
    <w:p>
      <w:pPr>
        <w:spacing w:after="40"/>
        <w:outlineLvl w:val="9"/>
      </w:pPr>
    </w:p>
    <w:p>
      <w:pPr>
        <w:outlineLvl w:val="9"/>
      </w:pPr>
      <w:r>
        <w:t>El precio se expresa en pesos chilenos sin decimales. La compra registra una Venta y descuenta stock; no representa un pago real ni incluye una pasarela de cobro.</w:t>
      </w:r>
    </w:p>
    <w:p>
      <w:r>
        <w:br w:type="page"/>
      </w:r>
    </w:p>
    <w:p>
      <w:pPr>
        <w:pStyle w:val="TituloInforme"/>
        <w:outlineLvl w:val="9"/>
      </w:pPr>
      <w:r>
        <w:t>Arquitectura y configuración DRF</w:t>
      </w:r>
    </w:p>
    <w:p>
      <w:pPr>
        <w:spacing w:after="60"/>
        <w:jc w:val="center"/>
        <w:outlineLvl w:val="9"/>
      </w:pPr>
      <w:r>
        <w:drawing>
          <wp:inline xmlns:a="http://schemas.openxmlformats.org/drawingml/2006/main" xmlns:pic="http://schemas.openxmlformats.org/drawingml/2006/picture">
            <wp:extent cx="6120000" cy="3100800"/>
            <wp:docPr id="2" name="Picture 2" descr="Figura 2  Arquitectura lógica y etapa AWS pendiente"/>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6120000" cy="3100800"/>
                    </a:xfrm>
                    <a:prstGeom prst="rect"/>
                  </pic:spPr>
                </pic:pic>
              </a:graphicData>
            </a:graphic>
          </wp:inline>
        </w:drawing>
      </w:r>
    </w:p>
    <w:p>
      <w:pPr>
        <w:pStyle w:val="PieImagen"/>
        <w:outlineLvl w:val="9"/>
      </w:pPr>
      <w:r>
        <w:t>Figura 2  Arquitectura lógica y etapa AWS pendiente</w:t>
      </w:r>
    </w:p>
    <w:p>
      <w:pPr>
        <w:outlineLvl w:val="9"/>
      </w:pPr>
      <w:r>
        <w:t>La web usa páginas HTML y sesiones de Django. La API usa solicitudes HTTP, JWT y respuestas JSON. Swagger actúa como cliente para consultar o probar los servicios. Las dos entradas comparten Django, el ORM y los modelos existentes. SQLite se usa para la revisión local; el despliegue y la base de EC2 siguen pendientes.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3402"/>
        <w:gridCol w:w="6236"/>
      </w:tblGrid>
      <w:tr>
        <w:trPr>
          <w:tblHeader w:val="true"/>
          <w:cantSplit/>
        </w:trPr>
        <w:tc>
          <w:tcPr>
            <w:tcW w:type="dxa" w:w="3402"/>
            <w:vAlign w:val="center"/>
            <w:shd w:fill="EEEEEE"/>
          </w:tcPr>
          <w:p>
            <w:pPr>
              <w:spacing w:after="40" w:line="252" w:lineRule="auto"/>
              <w:outlineLvl w:val="9"/>
            </w:pPr>
            <w:r>
              <w:rPr>
                <w:rFonts w:ascii="Arial" w:hAnsi="Arial"/>
                <w:b/>
                <w:color w:val="000000"/>
                <w:sz w:val="20"/>
              </w:rPr>
              <w:t>Componente</w:t>
            </w:r>
          </w:p>
        </w:tc>
        <w:tc>
          <w:tcPr>
            <w:tcW w:type="dxa" w:w="6236"/>
            <w:vAlign w:val="center"/>
            <w:shd w:fill="EEEEEE"/>
          </w:tcPr>
          <w:p>
            <w:pPr>
              <w:spacing w:after="40" w:line="252" w:lineRule="auto"/>
              <w:outlineLvl w:val="9"/>
            </w:pPr>
            <w:r>
              <w:rPr>
                <w:rFonts w:ascii="Arial" w:hAnsi="Arial"/>
                <w:b/>
                <w:color w:val="000000"/>
                <w:sz w:val="20"/>
              </w:rPr>
              <w:t>Aplicación</w:t>
            </w:r>
          </w:p>
        </w:tc>
      </w:tr>
      <w:tr>
        <w:trPr>
          <w:cantSplit/>
        </w:trPr>
        <w:tc>
          <w:tcPr>
            <w:tcW w:type="dxa" w:w="3402"/>
            <w:vAlign w:val="center"/>
          </w:tcPr>
          <w:p>
            <w:pPr>
              <w:spacing w:after="40" w:line="252" w:lineRule="auto"/>
              <w:outlineLvl w:val="9"/>
            </w:pPr>
            <w:r>
              <w:rPr>
                <w:rFonts w:ascii="Arial" w:hAnsi="Arial"/>
                <w:b w:val="0"/>
                <w:color w:val="000000"/>
                <w:sz w:val="20"/>
              </w:rPr>
              <w:t>Django REST Framework 3.16.1</w:t>
            </w:r>
          </w:p>
        </w:tc>
        <w:tc>
          <w:tcPr>
            <w:tcW w:type="dxa" w:w="6236"/>
            <w:vAlign w:val="center"/>
          </w:tcPr>
          <w:p>
            <w:pPr>
              <w:spacing w:after="40" w:line="252" w:lineRule="auto"/>
              <w:outlineLvl w:val="9"/>
            </w:pPr>
            <w:r>
              <w:rPr>
                <w:rFonts w:ascii="Arial" w:hAnsi="Arial"/>
                <w:b w:val="0"/>
                <w:color w:val="000000"/>
                <w:sz w:val="20"/>
              </w:rPr>
              <w:t>Serializers, @api_view, Response, validación y códigos HTTP.</w:t>
            </w:r>
          </w:p>
        </w:tc>
      </w:tr>
      <w:tr>
        <w:trPr>
          <w:cantSplit/>
        </w:trPr>
        <w:tc>
          <w:tcPr>
            <w:tcW w:type="dxa" w:w="3402"/>
            <w:vAlign w:val="center"/>
          </w:tcPr>
          <w:p>
            <w:pPr>
              <w:spacing w:after="40" w:line="252" w:lineRule="auto"/>
              <w:outlineLvl w:val="9"/>
            </w:pPr>
            <w:r>
              <w:rPr>
                <w:rFonts w:ascii="Arial" w:hAnsi="Arial"/>
                <w:b w:val="0"/>
                <w:color w:val="000000"/>
                <w:sz w:val="20"/>
              </w:rPr>
              <w:t>SimpleJWT 5.5.1</w:t>
            </w:r>
          </w:p>
        </w:tc>
        <w:tc>
          <w:tcPr>
            <w:tcW w:type="dxa" w:w="6236"/>
            <w:vAlign w:val="center"/>
          </w:tcPr>
          <w:p>
            <w:pPr>
              <w:spacing w:after="40" w:line="252" w:lineRule="auto"/>
              <w:outlineLvl w:val="9"/>
            </w:pPr>
            <w:r>
              <w:rPr>
                <w:rFonts w:ascii="Arial" w:hAnsi="Arial"/>
                <w:b w:val="0"/>
                <w:color w:val="000000"/>
                <w:sz w:val="20"/>
              </w:rPr>
              <w:t>Autenticación JWT, emisión y renovación de tokens.</w:t>
            </w:r>
          </w:p>
        </w:tc>
      </w:tr>
      <w:tr>
        <w:trPr>
          <w:cantSplit/>
        </w:trPr>
        <w:tc>
          <w:tcPr>
            <w:tcW w:type="dxa" w:w="3402"/>
            <w:vAlign w:val="center"/>
          </w:tcPr>
          <w:p>
            <w:pPr>
              <w:spacing w:after="40" w:line="252" w:lineRule="auto"/>
              <w:outlineLvl w:val="9"/>
            </w:pPr>
            <w:r>
              <w:rPr>
                <w:rFonts w:ascii="Arial" w:hAnsi="Arial"/>
                <w:b w:val="0"/>
                <w:color w:val="000000"/>
                <w:sz w:val="20"/>
              </w:rPr>
              <w:t>drf spectacular 0.30.0</w:t>
            </w:r>
          </w:p>
        </w:tc>
        <w:tc>
          <w:tcPr>
            <w:tcW w:type="dxa" w:w="6236"/>
            <w:vAlign w:val="center"/>
          </w:tcPr>
          <w:p>
            <w:pPr>
              <w:spacing w:after="40" w:line="252" w:lineRule="auto"/>
              <w:outlineLvl w:val="9"/>
            </w:pPr>
            <w:r>
              <w:rPr>
                <w:rFonts w:ascii="Arial" w:hAnsi="Arial"/>
                <w:b w:val="0"/>
                <w:color w:val="000000"/>
                <w:sz w:val="20"/>
              </w:rPr>
              <w:t>Esquema OpenAPI, Swagger UI y ReDoc.</w:t>
            </w:r>
          </w:p>
        </w:tc>
      </w:tr>
      <w:tr>
        <w:trPr>
          <w:cantSplit/>
        </w:trPr>
        <w:tc>
          <w:tcPr>
            <w:tcW w:type="dxa" w:w="3402"/>
            <w:vAlign w:val="center"/>
          </w:tcPr>
          <w:p>
            <w:pPr>
              <w:spacing w:after="40" w:line="252" w:lineRule="auto"/>
              <w:outlineLvl w:val="9"/>
            </w:pPr>
            <w:r>
              <w:rPr>
                <w:rFonts w:ascii="Arial" w:hAnsi="Arial"/>
                <w:b w:val="0"/>
                <w:color w:val="000000"/>
                <w:sz w:val="20"/>
              </w:rPr>
              <w:t>Django 5.2.17</w:t>
            </w:r>
          </w:p>
        </w:tc>
        <w:tc>
          <w:tcPr>
            <w:tcW w:type="dxa" w:w="6236"/>
            <w:vAlign w:val="center"/>
          </w:tcPr>
          <w:p>
            <w:pPr>
              <w:spacing w:after="40" w:line="252" w:lineRule="auto"/>
              <w:outlineLvl w:val="9"/>
            </w:pPr>
            <w:r>
              <w:rPr>
                <w:rFonts w:ascii="Arial" w:hAnsi="Arial"/>
                <w:b w:val="0"/>
                <w:color w:val="000000"/>
                <w:sz w:val="20"/>
              </w:rPr>
              <w:t>ORM, usuarios, grupos, web y configuración base.</w:t>
            </w:r>
          </w:p>
        </w:tc>
      </w:tr>
    </w:tbl>
    <w:p>
      <w:pPr>
        <w:spacing w:after="40"/>
        <w:outlineLvl w:val="9"/>
      </w:pPr>
    </w:p>
    <w:p>
      <w:pPr>
        <w:outlineLvl w:val="9"/>
      </w:pPr>
      <w:r>
        <w:t>settings.py registra las aplicaciones necesarias y configura JWTAuthentication, IsAuthenticated y JSONRenderer para negocio. El esquema se obtiene con AutoSchema. config/urls.py conecta las rutas de discosApi, los tokens y la documentación.</w:t>
      </w:r>
    </w:p>
    <w:p>
      <w:pPr>
        <w:pStyle w:val="CodigoInforme"/>
        <w:keepLines/>
        <w:outlineLvl w:val="9"/>
      </w:pPr>
      <w:r>
        <w:t>python -m pip install -r requirements.txt</w:t>
        <w:br/>
        <w:t>python manage.py migrate</w:t>
        <w:br/>
        <w:t>python manage.py crear_perfiles</w:t>
        <w:br/>
        <w:t>python manage.py runserver 127.0.0.1:8000</w:t>
      </w:r>
    </w:p>
    <w:p>
      <w:pPr>
        <w:outlineLvl w:val="9"/>
      </w:pPr>
      <w:r>
        <w:t>En una instalación nueva se completa un .env privado con SECRET_KEY propia y datos de conexión. No se publican contraseñas ni claves. La API conserva los modelos y la autenticación por sesión de la web.</w:t>
      </w:r>
    </w:p>
    <w:p>
      <w:r>
        <w:br w:type="page"/>
      </w:r>
    </w:p>
    <w:p>
      <w:pPr>
        <w:pStyle w:val="TituloInforme"/>
        <w:outlineLvl w:val="9"/>
      </w:pPr>
      <w:r>
        <w:t>Serializers y endpoints REST</w:t>
      </w:r>
    </w:p>
    <w:p>
      <w:pPr>
        <w:outlineLvl w:val="9"/>
      </w:pPr>
      <w:r>
        <w:t>discosApi utiliza ModelSerializer con campos explícitos. El serializer transforma modelos a datos JSON y valida la entrada antes de guardar. Las vistas de función usan @api_view y Response, siguiendo el enfoque de los PDF de Unidad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417"/>
        <w:gridCol w:w="4110"/>
        <w:gridCol w:w="4110"/>
      </w:tblGrid>
      <w:tr>
        <w:trPr>
          <w:tblHeader w:val="true"/>
          <w:cantSplit/>
        </w:trPr>
        <w:tc>
          <w:tcPr>
            <w:tcW w:type="dxa" w:w="1417"/>
            <w:vAlign w:val="center"/>
            <w:shd w:fill="EEEEEE"/>
          </w:tcPr>
          <w:p>
            <w:pPr>
              <w:spacing w:after="40" w:line="252" w:lineRule="auto"/>
              <w:outlineLvl w:val="9"/>
            </w:pPr>
            <w:r>
              <w:rPr>
                <w:rFonts w:ascii="Arial" w:hAnsi="Arial"/>
                <w:b/>
                <w:color w:val="000000"/>
                <w:sz w:val="20"/>
              </w:rPr>
              <w:t>Recurso</w:t>
            </w:r>
          </w:p>
        </w:tc>
        <w:tc>
          <w:tcPr>
            <w:tcW w:type="dxa" w:w="4110"/>
            <w:vAlign w:val="center"/>
            <w:shd w:fill="EEEEEE"/>
          </w:tcPr>
          <w:p>
            <w:pPr>
              <w:spacing w:after="40" w:line="252" w:lineRule="auto"/>
              <w:outlineLvl w:val="9"/>
            </w:pPr>
            <w:r>
              <w:rPr>
                <w:rFonts w:ascii="Arial" w:hAnsi="Arial"/>
                <w:b/>
                <w:color w:val="000000"/>
                <w:sz w:val="20"/>
              </w:rPr>
              <w:t>Colección</w:t>
            </w:r>
          </w:p>
        </w:tc>
        <w:tc>
          <w:tcPr>
            <w:tcW w:type="dxa" w:w="4110"/>
            <w:vAlign w:val="center"/>
            <w:shd w:fill="EEEEEE"/>
          </w:tcPr>
          <w:p>
            <w:pPr>
              <w:spacing w:after="40" w:line="252" w:lineRule="auto"/>
              <w:outlineLvl w:val="9"/>
            </w:pPr>
            <w:r>
              <w:rPr>
                <w:rFonts w:ascii="Arial" w:hAnsi="Arial"/>
                <w:b/>
                <w:color w:val="000000"/>
                <w:sz w:val="20"/>
              </w:rPr>
              <w:t>Detalle</w:t>
            </w:r>
          </w:p>
        </w:tc>
      </w:tr>
      <w:tr>
        <w:trPr>
          <w:cantSplit/>
        </w:trPr>
        <w:tc>
          <w:tcPr>
            <w:tcW w:type="dxa" w:w="1417"/>
            <w:vAlign w:val="center"/>
          </w:tcPr>
          <w:p>
            <w:pPr>
              <w:spacing w:after="40" w:line="252" w:lineRule="auto"/>
              <w:outlineLvl w:val="9"/>
            </w:pPr>
            <w:r>
              <w:rPr>
                <w:rFonts w:ascii="Arial" w:hAnsi="Arial"/>
                <w:b w:val="0"/>
                <w:color w:val="000000"/>
                <w:sz w:val="20"/>
              </w:rPr>
              <w:t>Cliente</w:t>
            </w:r>
          </w:p>
        </w:tc>
        <w:tc>
          <w:tcPr>
            <w:tcW w:type="dxa" w:w="4110"/>
            <w:vAlign w:val="center"/>
          </w:tcPr>
          <w:p>
            <w:pPr>
              <w:spacing w:after="40" w:line="252" w:lineRule="auto"/>
              <w:outlineLvl w:val="9"/>
            </w:pPr>
            <w:r>
              <w:rPr>
                <w:rFonts w:ascii="Arial" w:hAnsi="Arial"/>
                <w:b w:val="0"/>
                <w:color w:val="000000"/>
                <w:sz w:val="20"/>
              </w:rPr>
              <w:t>/api/clientes/</w:t>
              <w:br/>
              <w:t>GET y POST</w:t>
            </w:r>
          </w:p>
        </w:tc>
        <w:tc>
          <w:tcPr>
            <w:tcW w:type="dxa" w:w="4110"/>
            <w:vAlign w:val="center"/>
          </w:tcPr>
          <w:p>
            <w:pPr>
              <w:spacing w:after="40" w:line="252" w:lineRule="auto"/>
              <w:outlineLvl w:val="9"/>
            </w:pPr>
            <w:r>
              <w:rPr>
                <w:rFonts w:ascii="Arial" w:hAnsi="Arial"/>
                <w:b w:val="0"/>
                <w:color w:val="000000"/>
                <w:sz w:val="20"/>
              </w:rPr>
              <w:t>/api/clientes/{id}/</w:t>
              <w:br/>
              <w:t>GET PUT DELETE</w:t>
            </w:r>
          </w:p>
        </w:tc>
      </w:tr>
      <w:tr>
        <w:trPr>
          <w:cantSplit/>
        </w:trPr>
        <w:tc>
          <w:tcPr>
            <w:tcW w:type="dxa" w:w="1417"/>
            <w:vAlign w:val="center"/>
          </w:tcPr>
          <w:p>
            <w:pPr>
              <w:spacing w:after="40" w:line="252" w:lineRule="auto"/>
              <w:outlineLvl w:val="9"/>
            </w:pPr>
            <w:r>
              <w:rPr>
                <w:rFonts w:ascii="Arial" w:hAnsi="Arial"/>
                <w:b w:val="0"/>
                <w:color w:val="000000"/>
                <w:sz w:val="20"/>
              </w:rPr>
              <w:t>Disco</w:t>
            </w:r>
          </w:p>
        </w:tc>
        <w:tc>
          <w:tcPr>
            <w:tcW w:type="dxa" w:w="4110"/>
            <w:vAlign w:val="center"/>
          </w:tcPr>
          <w:p>
            <w:pPr>
              <w:spacing w:after="40" w:line="252" w:lineRule="auto"/>
              <w:outlineLvl w:val="9"/>
            </w:pPr>
            <w:r>
              <w:rPr>
                <w:rFonts w:ascii="Arial" w:hAnsi="Arial"/>
                <w:b w:val="0"/>
                <w:color w:val="000000"/>
                <w:sz w:val="20"/>
              </w:rPr>
              <w:t>/api/discos/</w:t>
              <w:br/>
              <w:t>GET y POST</w:t>
            </w:r>
          </w:p>
        </w:tc>
        <w:tc>
          <w:tcPr>
            <w:tcW w:type="dxa" w:w="4110"/>
            <w:vAlign w:val="center"/>
          </w:tcPr>
          <w:p>
            <w:pPr>
              <w:spacing w:after="40" w:line="252" w:lineRule="auto"/>
              <w:outlineLvl w:val="9"/>
            </w:pPr>
            <w:r>
              <w:rPr>
                <w:rFonts w:ascii="Arial" w:hAnsi="Arial"/>
                <w:b w:val="0"/>
                <w:color w:val="000000"/>
                <w:sz w:val="20"/>
              </w:rPr>
              <w:t>/api/discos/{id}/</w:t>
              <w:br/>
              <w:t>GET PUT DELETE</w:t>
            </w:r>
          </w:p>
        </w:tc>
      </w:tr>
      <w:tr>
        <w:trPr>
          <w:cantSplit/>
        </w:trPr>
        <w:tc>
          <w:tcPr>
            <w:tcW w:type="dxa" w:w="1417"/>
            <w:vAlign w:val="center"/>
          </w:tcPr>
          <w:p>
            <w:pPr>
              <w:spacing w:after="40" w:line="252" w:lineRule="auto"/>
              <w:outlineLvl w:val="9"/>
            </w:pPr>
            <w:r>
              <w:rPr>
                <w:rFonts w:ascii="Arial" w:hAnsi="Arial"/>
                <w:b w:val="0"/>
                <w:color w:val="000000"/>
                <w:sz w:val="20"/>
              </w:rPr>
              <w:t>Venta</w:t>
            </w:r>
          </w:p>
        </w:tc>
        <w:tc>
          <w:tcPr>
            <w:tcW w:type="dxa" w:w="4110"/>
            <w:vAlign w:val="center"/>
          </w:tcPr>
          <w:p>
            <w:pPr>
              <w:spacing w:after="40" w:line="252" w:lineRule="auto"/>
              <w:outlineLvl w:val="9"/>
            </w:pPr>
            <w:r>
              <w:rPr>
                <w:rFonts w:ascii="Arial" w:hAnsi="Arial"/>
                <w:b w:val="0"/>
                <w:color w:val="000000"/>
                <w:sz w:val="20"/>
              </w:rPr>
              <w:t>/api/ventas/</w:t>
              <w:br/>
              <w:t>GET y POST</w:t>
            </w:r>
          </w:p>
        </w:tc>
        <w:tc>
          <w:tcPr>
            <w:tcW w:type="dxa" w:w="4110"/>
            <w:vAlign w:val="center"/>
          </w:tcPr>
          <w:p>
            <w:pPr>
              <w:spacing w:after="40" w:line="252" w:lineRule="auto"/>
              <w:outlineLvl w:val="9"/>
            </w:pPr>
            <w:r>
              <w:rPr>
                <w:rFonts w:ascii="Arial" w:hAnsi="Arial"/>
                <w:b w:val="0"/>
                <w:color w:val="000000"/>
                <w:sz w:val="20"/>
              </w:rPr>
              <w:t>/api/ventas/{id}/</w:t>
              <w:br/>
              <w:t>GET PUT DELETE</w:t>
            </w:r>
          </w:p>
        </w:tc>
      </w:tr>
    </w:tbl>
    <w:p>
      <w:pPr>
        <w:spacing w:after="40"/>
        <w:outlineLvl w:val="9"/>
      </w:pPr>
    </w:p>
    <w:p>
      <w:pPr>
        <w:outlineLvl w:val="9"/>
      </w:pPr>
      <w:r>
        <w:t>GET lista o consulta. POST crea y responde 201. PUT modifica un registro y responde 200. DELETE elimina si está permitido y responde 204 sin cuerpo. No se añade PATCH. Artista conserva su relación con Disco, sin crear un cuarto mantenedor API.</w:t>
      </w:r>
    </w:p>
    <w:p>
      <w:pPr>
        <w:pStyle w:val="SubtituloInforme"/>
        <w:outlineLvl w:val="9"/>
      </w:pPr>
      <w:r>
        <w:t>Ejemplos de entrada</w:t>
      </w:r>
    </w:p>
    <w:p>
      <w:pPr>
        <w:outlineLvl w:val="9"/>
      </w:pPr>
      <w:r>
        <w:t>Estos datos son sintéticos. Los IDs deben existir en la base de demostración. No se han insertado sólo para redactar este informe.</w:t>
      </w:r>
    </w:p>
    <w:p>
      <w:pPr>
        <w:pStyle w:val="CodigoInforme"/>
        <w:keepLines/>
        <w:outlineLvl w:val="9"/>
      </w:pPr>
      <w:r>
        <w:t>POST /api/clientes/</w:t>
        <w:br/>
        <w:t>{</w:t>
        <w:br/>
        <w:t xml:space="preserve">  "nombre": "Cliente de demostración",</w:t>
        <w:br/>
        <w:t xml:space="preserve">  "correo": "cliente@example.invalid",</w:t>
        <w:br/>
        <w:t xml:space="preserve">  "telefono": ""</w:t>
        <w:br/>
        <w:t>}</w:t>
      </w:r>
    </w:p>
    <w:p>
      <w:pPr>
        <w:pStyle w:val="CodigoInforme"/>
        <w:keepLines/>
        <w:outlineLvl w:val="9"/>
      </w:pPr>
      <w:r>
        <w:t>POST /api/discos/</w:t>
        <w:br/>
        <w:t>{</w:t>
        <w:br/>
        <w:t xml:space="preserve">  "titulo": "Disco de demostración", "artista": 101,</w:t>
        <w:br/>
        <w:t xml:space="preserve">  "genero": "Rock", "anio": 2026, "formato": "CD",</w:t>
        <w:br/>
        <w:t xml:space="preserve">  "precio": "12000", "stock": 10,</w:t>
        <w:br/>
        <w:t xml:space="preserve">  "descripcion": "Registro de prueba"</w:t>
        <w:br/>
        <w:t>}</w:t>
      </w:r>
    </w:p>
    <w:p>
      <w:pPr>
        <w:outlineLvl w:val="9"/>
      </w:pPr>
      <w:r>
        <w:t>PUT recibe los datos requeridos para la edición; los campos calculados no se deciden desde el cliente. precio se presenta como texto decimal exacto sin fracciones de peso. formato admite Vinilo, CD o Cassette. Las respuestas de las listas son arreglos y las de detalle son objetos.</w:t>
      </w:r>
    </w:p>
    <w:p>
      <w:r>
        <w:br w:type="page"/>
      </w:r>
    </w:p>
    <w:p>
      <w:pPr>
        <w:pStyle w:val="TituloInforme"/>
        <w:outlineLvl w:val="9"/>
      </w:pPr>
      <w:r>
        <w:t>JWT y autorización en Swagger</w:t>
      </w:r>
    </w:p>
    <w:p>
      <w:pPr>
        <w:outlineLvl w:val="9"/>
      </w:pPr>
      <w:r>
        <w:t>POST /api/token/ recibe username y password de una cuenta propia y retorna access y refresh. El Access Token dura 5 minutos; el Refresh Token dura 1 día. Para un endpoint protegido se envía Authorization: Bearer seguido del token de acceso. POST /api/token/refresh/ recibe refresh y devuelve un nuevo access.</w:t>
      </w:r>
    </w:p>
    <w:p>
      <w:pPr>
        <w:outlineLvl w:val="9"/>
      </w:pPr>
      <w:r>
        <w:t>Los tokens conservan los datos habituales de SimpleJWT, sin agregar nombre, correo, teléfono ni roles privados. Los grupos se consultan en cada solicitud: cambiar un grupo afecta a la próxima petición. is_staff permite ingresar al Admin, pero no concede por sí solo un perfil API.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3402"/>
        <w:gridCol w:w="6236"/>
      </w:tblGrid>
      <w:tr>
        <w:trPr>
          <w:tblHeader w:val="true"/>
          <w:cantSplit/>
        </w:trPr>
        <w:tc>
          <w:tcPr>
            <w:tcW w:type="dxa" w:w="3402"/>
            <w:vAlign w:val="center"/>
            <w:shd w:fill="EEEEEE"/>
          </w:tcPr>
          <w:p>
            <w:pPr>
              <w:spacing w:after="40" w:line="252" w:lineRule="auto"/>
              <w:outlineLvl w:val="9"/>
            </w:pPr>
            <w:r>
              <w:rPr>
                <w:rFonts w:ascii="Arial" w:hAnsi="Arial"/>
                <w:b/>
                <w:color w:val="000000"/>
                <w:sz w:val="20"/>
              </w:rPr>
              <w:t>Ruta</w:t>
            </w:r>
          </w:p>
        </w:tc>
        <w:tc>
          <w:tcPr>
            <w:tcW w:type="dxa" w:w="6236"/>
            <w:vAlign w:val="center"/>
            <w:shd w:fill="EEEEEE"/>
          </w:tcPr>
          <w:p>
            <w:pPr>
              <w:spacing w:after="40" w:line="252" w:lineRule="auto"/>
              <w:outlineLvl w:val="9"/>
            </w:pPr>
            <w:r>
              <w:rPr>
                <w:rFonts w:ascii="Arial" w:hAnsi="Arial"/>
                <w:b/>
                <w:color w:val="000000"/>
                <w:sz w:val="20"/>
              </w:rPr>
              <w:t>Uso</w:t>
            </w:r>
          </w:p>
        </w:tc>
      </w:tr>
      <w:tr>
        <w:trPr>
          <w:cantSplit/>
        </w:trPr>
        <w:tc>
          <w:tcPr>
            <w:tcW w:type="dxa" w:w="3402"/>
            <w:vAlign w:val="center"/>
          </w:tcPr>
          <w:p>
            <w:pPr>
              <w:spacing w:after="40" w:line="252" w:lineRule="auto"/>
              <w:outlineLvl w:val="9"/>
            </w:pPr>
            <w:r>
              <w:rPr>
                <w:rFonts w:ascii="Arial" w:hAnsi="Arial"/>
                <w:b w:val="0"/>
                <w:color w:val="000000"/>
                <w:sz w:val="20"/>
              </w:rPr>
              <w:t>/api/schema/</w:t>
            </w:r>
          </w:p>
        </w:tc>
        <w:tc>
          <w:tcPr>
            <w:tcW w:type="dxa" w:w="6236"/>
            <w:vAlign w:val="center"/>
          </w:tcPr>
          <w:p>
            <w:pPr>
              <w:spacing w:after="40" w:line="252" w:lineRule="auto"/>
              <w:outlineLvl w:val="9"/>
            </w:pPr>
            <w:r>
              <w:rPr>
                <w:rFonts w:ascii="Arial" w:hAnsi="Arial"/>
                <w:b w:val="0"/>
                <w:color w:val="000000"/>
                <w:sz w:val="20"/>
              </w:rPr>
              <w:t>Esquema OpenAPI público.</w:t>
            </w:r>
          </w:p>
        </w:tc>
      </w:tr>
      <w:tr>
        <w:trPr>
          <w:cantSplit/>
        </w:trPr>
        <w:tc>
          <w:tcPr>
            <w:tcW w:type="dxa" w:w="3402"/>
            <w:vAlign w:val="center"/>
          </w:tcPr>
          <w:p>
            <w:pPr>
              <w:spacing w:after="40" w:line="252" w:lineRule="auto"/>
              <w:outlineLvl w:val="9"/>
            </w:pPr>
            <w:r>
              <w:rPr>
                <w:rFonts w:ascii="Arial" w:hAnsi="Arial"/>
                <w:b w:val="0"/>
                <w:color w:val="000000"/>
                <w:sz w:val="20"/>
              </w:rPr>
              <w:t>/api/swagger/</w:t>
            </w:r>
          </w:p>
        </w:tc>
        <w:tc>
          <w:tcPr>
            <w:tcW w:type="dxa" w:w="6236"/>
            <w:vAlign w:val="center"/>
          </w:tcPr>
          <w:p>
            <w:pPr>
              <w:spacing w:after="40" w:line="252" w:lineRule="auto"/>
              <w:outlineLvl w:val="9"/>
            </w:pPr>
            <w:r>
              <w:rPr>
                <w:rFonts w:ascii="Arial" w:hAnsi="Arial"/>
                <w:b w:val="0"/>
                <w:color w:val="000000"/>
                <w:sz w:val="20"/>
              </w:rPr>
              <w:t>Documentación interactiva con Authorize.</w:t>
            </w:r>
          </w:p>
        </w:tc>
      </w:tr>
      <w:tr>
        <w:trPr>
          <w:cantSplit/>
        </w:trPr>
        <w:tc>
          <w:tcPr>
            <w:tcW w:type="dxa" w:w="3402"/>
            <w:vAlign w:val="center"/>
          </w:tcPr>
          <w:p>
            <w:pPr>
              <w:spacing w:after="40" w:line="252" w:lineRule="auto"/>
              <w:outlineLvl w:val="9"/>
            </w:pPr>
            <w:r>
              <w:rPr>
                <w:rFonts w:ascii="Arial" w:hAnsi="Arial"/>
                <w:b w:val="0"/>
                <w:color w:val="000000"/>
                <w:sz w:val="20"/>
              </w:rPr>
              <w:t>/api/redoc/</w:t>
            </w:r>
          </w:p>
        </w:tc>
        <w:tc>
          <w:tcPr>
            <w:tcW w:type="dxa" w:w="6236"/>
            <w:vAlign w:val="center"/>
          </w:tcPr>
          <w:p>
            <w:pPr>
              <w:spacing w:after="40" w:line="252" w:lineRule="auto"/>
              <w:outlineLvl w:val="9"/>
            </w:pPr>
            <w:r>
              <w:rPr>
                <w:rFonts w:ascii="Arial" w:hAnsi="Arial"/>
                <w:b w:val="0"/>
                <w:color w:val="000000"/>
                <w:sz w:val="20"/>
              </w:rPr>
              <w:t>Documentación de lectura.</w:t>
            </w:r>
          </w:p>
        </w:tc>
      </w:tr>
      <w:tr>
        <w:trPr>
          <w:cantSplit/>
        </w:trPr>
        <w:tc>
          <w:tcPr>
            <w:tcW w:type="dxa" w:w="3402"/>
            <w:vAlign w:val="center"/>
          </w:tcPr>
          <w:p>
            <w:pPr>
              <w:spacing w:after="40" w:line="252" w:lineRule="auto"/>
              <w:outlineLvl w:val="9"/>
            </w:pPr>
            <w:r>
              <w:rPr>
                <w:rFonts w:ascii="Arial" w:hAnsi="Arial"/>
                <w:b w:val="0"/>
                <w:color w:val="000000"/>
                <w:sz w:val="20"/>
              </w:rPr>
              <w:t>/api/token/</w:t>
            </w:r>
          </w:p>
        </w:tc>
        <w:tc>
          <w:tcPr>
            <w:tcW w:type="dxa" w:w="6236"/>
            <w:vAlign w:val="center"/>
          </w:tcPr>
          <w:p>
            <w:pPr>
              <w:spacing w:after="40" w:line="252" w:lineRule="auto"/>
              <w:outlineLvl w:val="9"/>
            </w:pPr>
            <w:r>
              <w:rPr>
                <w:rFonts w:ascii="Arial" w:hAnsi="Arial"/>
                <w:b w:val="0"/>
                <w:color w:val="000000"/>
                <w:sz w:val="20"/>
              </w:rPr>
              <w:t>Emisión de Access Token y Refresh Token.</w:t>
            </w:r>
          </w:p>
        </w:tc>
      </w:tr>
      <w:tr>
        <w:trPr>
          <w:cantSplit/>
        </w:trPr>
        <w:tc>
          <w:tcPr>
            <w:tcW w:type="dxa" w:w="3402"/>
            <w:vAlign w:val="center"/>
          </w:tcPr>
          <w:p>
            <w:pPr>
              <w:spacing w:after="40" w:line="252" w:lineRule="auto"/>
              <w:outlineLvl w:val="9"/>
            </w:pPr>
            <w:r>
              <w:rPr>
                <w:rFonts w:ascii="Arial" w:hAnsi="Arial"/>
                <w:b w:val="0"/>
                <w:color w:val="000000"/>
                <w:sz w:val="20"/>
              </w:rPr>
              <w:t>/api/token/refresh/</w:t>
            </w:r>
          </w:p>
        </w:tc>
        <w:tc>
          <w:tcPr>
            <w:tcW w:type="dxa" w:w="6236"/>
            <w:vAlign w:val="center"/>
          </w:tcPr>
          <w:p>
            <w:pPr>
              <w:spacing w:after="40" w:line="252" w:lineRule="auto"/>
              <w:outlineLvl w:val="9"/>
            </w:pPr>
            <w:r>
              <w:rPr>
                <w:rFonts w:ascii="Arial" w:hAnsi="Arial"/>
                <w:b w:val="0"/>
                <w:color w:val="000000"/>
                <w:sz w:val="20"/>
              </w:rPr>
              <w:t>Renovación del token de acceso.</w:t>
            </w:r>
          </w:p>
        </w:tc>
      </w:tr>
    </w:tbl>
    <w:p>
      <w:pPr>
        <w:spacing w:after="40"/>
        <w:outlineLvl w:val="9"/>
      </w:pPr>
    </w:p>
    <w:p>
      <w:pPr>
        <w:outlineLvl w:val="9"/>
      </w:pPr>
      <w:r>
        <w:t>Para probar desde Swagger se obtiene un token con una cuenta de prueba, se abre Authorize y se pega únicamente access en el campo bearer. Swagger añade el prefijo Bearer. Después se ejecuta GET /api/discos/ y se revisan código y cuerpo JSON. No se publica el token ni la respuesta de autenticación.</w:t>
      </w:r>
    </w:p>
    <w:p>
      <w:pPr>
        <w:spacing w:after="60"/>
        <w:jc w:val="center"/>
        <w:outlineLvl w:val="9"/>
      </w:pPr>
      <w:r>
        <w:drawing>
          <wp:inline xmlns:a="http://schemas.openxmlformats.org/drawingml/2006/main" xmlns:pic="http://schemas.openxmlformats.org/drawingml/2006/picture">
            <wp:extent cx="6120000" cy="3444617"/>
            <wp:docPr id="3" name="Picture 3" descr="Figura 3  Swagger en estado Authorized con el token oculto en el servidor local de prueba"/>
            <wp:cNvGraphicFramePr>
              <a:graphicFrameLocks noChangeAspect="1"/>
            </wp:cNvGraphicFramePr>
            <a:graphic>
              <a:graphicData uri="http://schemas.openxmlformats.org/drawingml/2006/picture">
                <pic:pic>
                  <pic:nvPicPr>
                    <pic:cNvPr id="0" name="06_jwt_autorizado.jpg"/>
                    <pic:cNvPicPr/>
                  </pic:nvPicPr>
                  <pic:blipFill>
                    <a:blip r:embed="rId12"/>
                    <a:stretch>
                      <a:fillRect/>
                    </a:stretch>
                  </pic:blipFill>
                  <pic:spPr>
                    <a:xfrm>
                      <a:off x="0" y="0"/>
                      <a:ext cx="6120000" cy="3444617"/>
                    </a:xfrm>
                    <a:prstGeom prst="rect"/>
                  </pic:spPr>
                </pic:pic>
              </a:graphicData>
            </a:graphic>
          </wp:inline>
        </w:drawing>
      </w:r>
    </w:p>
    <w:p>
      <w:pPr>
        <w:pStyle w:val="PieImagen"/>
        <w:outlineLvl w:val="9"/>
      </w:pPr>
      <w:r>
        <w:t>Figura 3  Swagger en estado Authorized con el token oculto en el servidor local de prueba</w:t>
      </w:r>
    </w:p>
    <w:p>
      <w:pPr>
        <w:outlineLvl w:val="9"/>
      </w:pPr>
      <w:r>
        <w:t>La documentación incluye métodos, entradas JSON o multipart, campos requeridos, respuestas por perfil, ejemplos sintéticos y errores. Las anotaciones @extend_schema se ubican antes de @api_view y se definen por método. La publicación de Swagger no vuelve públicas las rutas de negocio.</w:t>
      </w:r>
    </w:p>
    <w:p>
      <w:r>
        <w:br w:type="page"/>
      </w:r>
    </w:p>
    <w:p>
      <w:pPr>
        <w:pStyle w:val="TituloInforme"/>
        <w:outlineLvl w:val="9"/>
      </w:pPr>
      <w:r>
        <w:t>Roles y protección de datos</w:t>
      </w:r>
    </w:p>
    <w:p>
      <w:pPr>
        <w:outlineLvl w:val="9"/>
      </w:pPr>
      <w:r>
        <w:t>La precedencia es Administrador &gt; Operador &gt; Consulta &gt; Cliente. El superusuario equivale a Administrador. Una cuenta con varios grupos utiliza un único perfil efectivo para permisos y campos de salida. Sin un grupo reconocido no hay acceso a los recursos.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757"/>
        <w:gridCol w:w="2438"/>
        <w:gridCol w:w="2438"/>
        <w:gridCol w:w="3005"/>
      </w:tblGrid>
      <w:tr>
        <w:trPr>
          <w:tblHeader w:val="true"/>
          <w:cantSplit/>
        </w:trPr>
        <w:tc>
          <w:tcPr>
            <w:tcW w:type="dxa" w:w="1757"/>
            <w:vAlign w:val="center"/>
            <w:shd w:fill="EEEEEE"/>
          </w:tcPr>
          <w:p>
            <w:pPr>
              <w:spacing w:after="40" w:line="252" w:lineRule="auto"/>
              <w:outlineLvl w:val="9"/>
            </w:pPr>
            <w:r>
              <w:rPr>
                <w:rFonts w:ascii="Arial" w:hAnsi="Arial"/>
                <w:b/>
                <w:color w:val="000000"/>
                <w:sz w:val="20"/>
              </w:rPr>
              <w:t>Perfil</w:t>
            </w:r>
          </w:p>
        </w:tc>
        <w:tc>
          <w:tcPr>
            <w:tcW w:type="dxa" w:w="2438"/>
            <w:vAlign w:val="center"/>
            <w:shd w:fill="EEEEEE"/>
          </w:tcPr>
          <w:p>
            <w:pPr>
              <w:spacing w:after="40" w:line="252" w:lineRule="auto"/>
              <w:outlineLvl w:val="9"/>
            </w:pPr>
            <w:r>
              <w:rPr>
                <w:rFonts w:ascii="Arial" w:hAnsi="Arial"/>
                <w:b/>
                <w:color w:val="000000"/>
                <w:sz w:val="20"/>
              </w:rPr>
              <w:t>Clientes</w:t>
            </w:r>
          </w:p>
        </w:tc>
        <w:tc>
          <w:tcPr>
            <w:tcW w:type="dxa" w:w="2438"/>
            <w:vAlign w:val="center"/>
            <w:shd w:fill="EEEEEE"/>
          </w:tcPr>
          <w:p>
            <w:pPr>
              <w:spacing w:after="40" w:line="252" w:lineRule="auto"/>
              <w:outlineLvl w:val="9"/>
            </w:pPr>
            <w:r>
              <w:rPr>
                <w:rFonts w:ascii="Arial" w:hAnsi="Arial"/>
                <w:b/>
                <w:color w:val="000000"/>
                <w:sz w:val="20"/>
              </w:rPr>
              <w:t>Discos</w:t>
            </w:r>
          </w:p>
        </w:tc>
        <w:tc>
          <w:tcPr>
            <w:tcW w:type="dxa" w:w="3005"/>
            <w:vAlign w:val="center"/>
            <w:shd w:fill="EEEEEE"/>
          </w:tcPr>
          <w:p>
            <w:pPr>
              <w:spacing w:after="40" w:line="252" w:lineRule="auto"/>
              <w:outlineLvl w:val="9"/>
            </w:pPr>
            <w:r>
              <w:rPr>
                <w:rFonts w:ascii="Arial" w:hAnsi="Arial"/>
                <w:b/>
                <w:color w:val="000000"/>
                <w:sz w:val="20"/>
              </w:rPr>
              <w:t>Ventas</w:t>
            </w:r>
          </w:p>
        </w:tc>
      </w:tr>
      <w:tr>
        <w:trPr>
          <w:cantSplit/>
        </w:trPr>
        <w:tc>
          <w:tcPr>
            <w:tcW w:type="dxa" w:w="1757"/>
            <w:vAlign w:val="center"/>
          </w:tcPr>
          <w:p>
            <w:pPr>
              <w:spacing w:after="40" w:line="252" w:lineRule="auto"/>
              <w:outlineLvl w:val="9"/>
            </w:pPr>
            <w:r>
              <w:rPr>
                <w:rFonts w:ascii="Arial" w:hAnsi="Arial"/>
                <w:b w:val="0"/>
                <w:color w:val="000000"/>
                <w:sz w:val="20"/>
              </w:rPr>
              <w:t>Administrador</w:t>
            </w:r>
          </w:p>
        </w:tc>
        <w:tc>
          <w:tcPr>
            <w:tcW w:type="dxa" w:w="2438"/>
            <w:vAlign w:val="center"/>
          </w:tcPr>
          <w:p>
            <w:pPr>
              <w:spacing w:after="40" w:line="252" w:lineRule="auto"/>
              <w:outlineLvl w:val="9"/>
            </w:pPr>
            <w:r>
              <w:rPr>
                <w:rFonts w:ascii="Arial" w:hAnsi="Arial"/>
                <w:b w:val="0"/>
                <w:color w:val="000000"/>
                <w:sz w:val="20"/>
              </w:rPr>
              <w:t>CRUD completo</w:t>
            </w:r>
          </w:p>
        </w:tc>
        <w:tc>
          <w:tcPr>
            <w:tcW w:type="dxa" w:w="2438"/>
            <w:vAlign w:val="center"/>
          </w:tcPr>
          <w:p>
            <w:pPr>
              <w:spacing w:after="40" w:line="252" w:lineRule="auto"/>
              <w:outlineLvl w:val="9"/>
            </w:pPr>
            <w:r>
              <w:rPr>
                <w:rFonts w:ascii="Arial" w:hAnsi="Arial"/>
                <w:b w:val="0"/>
                <w:color w:val="000000"/>
                <w:sz w:val="20"/>
              </w:rPr>
              <w:t>CRUD completo</w:t>
            </w:r>
          </w:p>
        </w:tc>
        <w:tc>
          <w:tcPr>
            <w:tcW w:type="dxa" w:w="3005"/>
            <w:vAlign w:val="center"/>
          </w:tcPr>
          <w:p>
            <w:pPr>
              <w:spacing w:after="40" w:line="252" w:lineRule="auto"/>
              <w:outlineLvl w:val="9"/>
            </w:pPr>
            <w:r>
              <w:rPr>
                <w:rFonts w:ascii="Arial" w:hAnsi="Arial"/>
                <w:b w:val="0"/>
                <w:color w:val="000000"/>
                <w:sz w:val="20"/>
              </w:rPr>
              <w:t>CRUD completo</w:t>
            </w:r>
          </w:p>
        </w:tc>
      </w:tr>
      <w:tr>
        <w:trPr>
          <w:cantSplit/>
        </w:trPr>
        <w:tc>
          <w:tcPr>
            <w:tcW w:type="dxa" w:w="1757"/>
            <w:vAlign w:val="center"/>
          </w:tcPr>
          <w:p>
            <w:pPr>
              <w:spacing w:after="40" w:line="252" w:lineRule="auto"/>
              <w:outlineLvl w:val="9"/>
            </w:pPr>
            <w:r>
              <w:rPr>
                <w:rFonts w:ascii="Arial" w:hAnsi="Arial"/>
                <w:b w:val="0"/>
                <w:color w:val="000000"/>
                <w:sz w:val="20"/>
              </w:rPr>
              <w:t>Operador</w:t>
            </w:r>
          </w:p>
        </w:tc>
        <w:tc>
          <w:tcPr>
            <w:tcW w:type="dxa" w:w="2438"/>
            <w:vAlign w:val="center"/>
          </w:tcPr>
          <w:p>
            <w:pPr>
              <w:spacing w:after="40" w:line="252" w:lineRule="auto"/>
              <w:outlineLvl w:val="9"/>
            </w:pPr>
            <w:r>
              <w:rPr>
                <w:rFonts w:ascii="Arial" w:hAnsi="Arial"/>
                <w:b w:val="0"/>
                <w:color w:val="000000"/>
                <w:sz w:val="20"/>
              </w:rPr>
              <w:t>GET POST PUT</w:t>
            </w:r>
          </w:p>
        </w:tc>
        <w:tc>
          <w:tcPr>
            <w:tcW w:type="dxa" w:w="2438"/>
            <w:vAlign w:val="center"/>
          </w:tcPr>
          <w:p>
            <w:pPr>
              <w:spacing w:after="40" w:line="252" w:lineRule="auto"/>
              <w:outlineLvl w:val="9"/>
            </w:pPr>
            <w:r>
              <w:rPr>
                <w:rFonts w:ascii="Arial" w:hAnsi="Arial"/>
                <w:b w:val="0"/>
                <w:color w:val="000000"/>
                <w:sz w:val="20"/>
              </w:rPr>
              <w:t>GET POST PUT</w:t>
            </w:r>
          </w:p>
        </w:tc>
        <w:tc>
          <w:tcPr>
            <w:tcW w:type="dxa" w:w="3005"/>
            <w:vAlign w:val="center"/>
          </w:tcPr>
          <w:p>
            <w:pPr>
              <w:spacing w:after="40" w:line="252" w:lineRule="auto"/>
              <w:outlineLvl w:val="9"/>
            </w:pPr>
            <w:r>
              <w:rPr>
                <w:rFonts w:ascii="Arial" w:hAnsi="Arial"/>
                <w:b w:val="0"/>
                <w:color w:val="000000"/>
                <w:sz w:val="20"/>
              </w:rPr>
              <w:t>GET POST PUT</w:t>
            </w:r>
          </w:p>
        </w:tc>
      </w:tr>
      <w:tr>
        <w:trPr>
          <w:cantSplit/>
        </w:trPr>
        <w:tc>
          <w:tcPr>
            <w:tcW w:type="dxa" w:w="1757"/>
            <w:vAlign w:val="center"/>
          </w:tcPr>
          <w:p>
            <w:pPr>
              <w:spacing w:after="40" w:line="252" w:lineRule="auto"/>
              <w:outlineLvl w:val="9"/>
            </w:pPr>
            <w:r>
              <w:rPr>
                <w:rFonts w:ascii="Arial" w:hAnsi="Arial"/>
                <w:b w:val="0"/>
                <w:color w:val="000000"/>
                <w:sz w:val="20"/>
              </w:rPr>
              <w:t>Consulta</w:t>
            </w:r>
          </w:p>
        </w:tc>
        <w:tc>
          <w:tcPr>
            <w:tcW w:type="dxa" w:w="2438"/>
            <w:vAlign w:val="center"/>
          </w:tcPr>
          <w:p>
            <w:pPr>
              <w:spacing w:after="40" w:line="252" w:lineRule="auto"/>
              <w:outlineLvl w:val="9"/>
            </w:pPr>
            <w:r>
              <w:rPr>
                <w:rFonts w:ascii="Arial" w:hAnsi="Arial"/>
                <w:b w:val="0"/>
                <w:color w:val="000000"/>
                <w:sz w:val="20"/>
              </w:rPr>
              <w:t>GET</w:t>
            </w:r>
          </w:p>
        </w:tc>
        <w:tc>
          <w:tcPr>
            <w:tcW w:type="dxa" w:w="2438"/>
            <w:vAlign w:val="center"/>
          </w:tcPr>
          <w:p>
            <w:pPr>
              <w:spacing w:after="40" w:line="252" w:lineRule="auto"/>
              <w:outlineLvl w:val="9"/>
            </w:pPr>
            <w:r>
              <w:rPr>
                <w:rFonts w:ascii="Arial" w:hAnsi="Arial"/>
                <w:b w:val="0"/>
                <w:color w:val="000000"/>
                <w:sz w:val="20"/>
              </w:rPr>
              <w:t>GET</w:t>
            </w:r>
          </w:p>
        </w:tc>
        <w:tc>
          <w:tcPr>
            <w:tcW w:type="dxa" w:w="3005"/>
            <w:vAlign w:val="center"/>
          </w:tcPr>
          <w:p>
            <w:pPr>
              <w:spacing w:after="40" w:line="252" w:lineRule="auto"/>
              <w:outlineLvl w:val="9"/>
            </w:pPr>
            <w:r>
              <w:rPr>
                <w:rFonts w:ascii="Arial" w:hAnsi="Arial"/>
                <w:b w:val="0"/>
                <w:color w:val="000000"/>
                <w:sz w:val="20"/>
              </w:rPr>
              <w:t>GET</w:t>
            </w:r>
          </w:p>
        </w:tc>
      </w:tr>
      <w:tr>
        <w:trPr>
          <w:cantSplit/>
        </w:trPr>
        <w:tc>
          <w:tcPr>
            <w:tcW w:type="dxa" w:w="1757"/>
            <w:vAlign w:val="center"/>
          </w:tcPr>
          <w:p>
            <w:pPr>
              <w:spacing w:after="40" w:line="252" w:lineRule="auto"/>
              <w:outlineLvl w:val="9"/>
            </w:pPr>
            <w:r>
              <w:rPr>
                <w:rFonts w:ascii="Arial" w:hAnsi="Arial"/>
                <w:b w:val="0"/>
                <w:color w:val="000000"/>
                <w:sz w:val="20"/>
              </w:rPr>
              <w:t>Cliente</w:t>
            </w:r>
          </w:p>
        </w:tc>
        <w:tc>
          <w:tcPr>
            <w:tcW w:type="dxa" w:w="2438"/>
            <w:vAlign w:val="center"/>
          </w:tcPr>
          <w:p>
            <w:pPr>
              <w:spacing w:after="40" w:line="252" w:lineRule="auto"/>
              <w:outlineLvl w:val="9"/>
            </w:pPr>
            <w:r>
              <w:rPr>
                <w:rFonts w:ascii="Arial" w:hAnsi="Arial"/>
                <w:b w:val="0"/>
                <w:color w:val="000000"/>
                <w:sz w:val="20"/>
              </w:rPr>
              <w:t>GET propio</w:t>
            </w:r>
          </w:p>
        </w:tc>
        <w:tc>
          <w:tcPr>
            <w:tcW w:type="dxa" w:w="2438"/>
            <w:vAlign w:val="center"/>
          </w:tcPr>
          <w:p>
            <w:pPr>
              <w:spacing w:after="40" w:line="252" w:lineRule="auto"/>
              <w:outlineLvl w:val="9"/>
            </w:pPr>
            <w:r>
              <w:rPr>
                <w:rFonts w:ascii="Arial" w:hAnsi="Arial"/>
                <w:b w:val="0"/>
                <w:color w:val="000000"/>
                <w:sz w:val="20"/>
              </w:rPr>
              <w:t>GET catálogo</w:t>
            </w:r>
          </w:p>
        </w:tc>
        <w:tc>
          <w:tcPr>
            <w:tcW w:type="dxa" w:w="3005"/>
            <w:vAlign w:val="center"/>
          </w:tcPr>
          <w:p>
            <w:pPr>
              <w:spacing w:after="40" w:line="252" w:lineRule="auto"/>
              <w:outlineLvl w:val="9"/>
            </w:pPr>
            <w:r>
              <w:rPr>
                <w:rFonts w:ascii="Arial" w:hAnsi="Arial"/>
                <w:b w:val="0"/>
                <w:color w:val="000000"/>
                <w:sz w:val="20"/>
              </w:rPr>
              <w:t>GET propias y POST compra</w:t>
            </w:r>
          </w:p>
        </w:tc>
      </w:tr>
      <w:tr>
        <w:trPr>
          <w:cantSplit/>
        </w:trPr>
        <w:tc>
          <w:tcPr>
            <w:tcW w:type="dxa" w:w="1757"/>
            <w:vAlign w:val="center"/>
          </w:tcPr>
          <w:p>
            <w:pPr>
              <w:spacing w:after="40" w:line="252" w:lineRule="auto"/>
              <w:outlineLvl w:val="9"/>
            </w:pPr>
            <w:r>
              <w:rPr>
                <w:rFonts w:ascii="Arial" w:hAnsi="Arial"/>
                <w:b w:val="0"/>
                <w:color w:val="000000"/>
                <w:sz w:val="20"/>
              </w:rPr>
              <w:t>Sin grupo</w:t>
            </w:r>
          </w:p>
        </w:tc>
        <w:tc>
          <w:tcPr>
            <w:tcW w:type="dxa" w:w="2438"/>
            <w:vAlign w:val="center"/>
          </w:tcPr>
          <w:p>
            <w:pPr>
              <w:spacing w:after="40" w:line="252" w:lineRule="auto"/>
              <w:outlineLvl w:val="9"/>
            </w:pPr>
            <w:r>
              <w:rPr>
                <w:rFonts w:ascii="Arial" w:hAnsi="Arial"/>
                <w:b w:val="0"/>
                <w:color w:val="000000"/>
                <w:sz w:val="20"/>
              </w:rPr>
              <w:t>Sin acceso</w:t>
            </w:r>
          </w:p>
        </w:tc>
        <w:tc>
          <w:tcPr>
            <w:tcW w:type="dxa" w:w="2438"/>
            <w:vAlign w:val="center"/>
          </w:tcPr>
          <w:p>
            <w:pPr>
              <w:spacing w:after="40" w:line="252" w:lineRule="auto"/>
              <w:outlineLvl w:val="9"/>
            </w:pPr>
            <w:r>
              <w:rPr>
                <w:rFonts w:ascii="Arial" w:hAnsi="Arial"/>
                <w:b w:val="0"/>
                <w:color w:val="000000"/>
                <w:sz w:val="20"/>
              </w:rPr>
              <w:t>Sin acceso</w:t>
            </w:r>
          </w:p>
        </w:tc>
        <w:tc>
          <w:tcPr>
            <w:tcW w:type="dxa" w:w="3005"/>
            <w:vAlign w:val="center"/>
          </w:tcPr>
          <w:p>
            <w:pPr>
              <w:spacing w:after="40" w:line="252" w:lineRule="auto"/>
              <w:outlineLvl w:val="9"/>
            </w:pPr>
            <w:r>
              <w:rPr>
                <w:rFonts w:ascii="Arial" w:hAnsi="Arial"/>
                <w:b w:val="0"/>
                <w:color w:val="000000"/>
                <w:sz w:val="20"/>
              </w:rPr>
              <w:t>Sin acceso</w:t>
            </w:r>
          </w:p>
        </w:tc>
      </w:tr>
    </w:tbl>
    <w:p>
      <w:pPr>
        <w:spacing w:after="40"/>
        <w:outlineLvl w:val="9"/>
      </w:pPr>
    </w:p>
    <w:p>
      <w:pPr>
        <w:outlineLvl w:val="9"/>
      </w:pPr>
      <w:r>
        <w:t>CRUD completo incluye las restricciones de relación. Una cuenta Consulta y Cliente sólo consulta. Una cuenta Operador y Cliente actúa como Operador. Para una presentación clara se recomienda un grupo de negocio por cuenta.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417"/>
        <w:gridCol w:w="4110"/>
        <w:gridCol w:w="4110"/>
      </w:tblGrid>
      <w:tr>
        <w:trPr>
          <w:tblHeader w:val="true"/>
          <w:cantSplit/>
        </w:trPr>
        <w:tc>
          <w:tcPr>
            <w:tcW w:type="dxa" w:w="1417"/>
            <w:vAlign w:val="center"/>
            <w:shd w:fill="EEEEEE"/>
          </w:tcPr>
          <w:p>
            <w:pPr>
              <w:spacing w:after="40" w:line="252" w:lineRule="auto"/>
              <w:outlineLvl w:val="9"/>
            </w:pPr>
            <w:r>
              <w:rPr>
                <w:rFonts w:ascii="Arial" w:hAnsi="Arial"/>
                <w:b/>
                <w:color w:val="000000"/>
                <w:sz w:val="20"/>
              </w:rPr>
              <w:t>Entidad</w:t>
            </w:r>
          </w:p>
        </w:tc>
        <w:tc>
          <w:tcPr>
            <w:tcW w:type="dxa" w:w="4110"/>
            <w:vAlign w:val="center"/>
            <w:shd w:fill="EEEEEE"/>
          </w:tcPr>
          <w:p>
            <w:pPr>
              <w:spacing w:after="40" w:line="252" w:lineRule="auto"/>
              <w:outlineLvl w:val="9"/>
            </w:pPr>
            <w:r>
              <w:rPr>
                <w:rFonts w:ascii="Arial" w:hAnsi="Arial"/>
                <w:b/>
                <w:color w:val="000000"/>
                <w:sz w:val="20"/>
              </w:rPr>
              <w:t>Administrador</w:t>
            </w:r>
          </w:p>
        </w:tc>
        <w:tc>
          <w:tcPr>
            <w:tcW w:type="dxa" w:w="4110"/>
            <w:vAlign w:val="center"/>
            <w:shd w:fill="EEEEEE"/>
          </w:tcPr>
          <w:p>
            <w:pPr>
              <w:spacing w:after="40" w:line="252" w:lineRule="auto"/>
              <w:outlineLvl w:val="9"/>
            </w:pPr>
            <w:r>
              <w:rPr>
                <w:rFonts w:ascii="Arial" w:hAnsi="Arial"/>
                <w:b/>
                <w:color w:val="000000"/>
                <w:sz w:val="20"/>
              </w:rPr>
              <w:t>Otros perfiles autorizados</w:t>
            </w:r>
          </w:p>
        </w:tc>
      </w:tr>
      <w:tr>
        <w:trPr>
          <w:cantSplit/>
        </w:trPr>
        <w:tc>
          <w:tcPr>
            <w:tcW w:type="dxa" w:w="1417"/>
            <w:vAlign w:val="center"/>
          </w:tcPr>
          <w:p>
            <w:pPr>
              <w:spacing w:after="40" w:line="252" w:lineRule="auto"/>
              <w:outlineLvl w:val="9"/>
            </w:pPr>
            <w:r>
              <w:rPr>
                <w:rFonts w:ascii="Arial" w:hAnsi="Arial"/>
                <w:b w:val="0"/>
                <w:color w:val="000000"/>
                <w:sz w:val="20"/>
              </w:rPr>
              <w:t>Cliente</w:t>
            </w:r>
          </w:p>
        </w:tc>
        <w:tc>
          <w:tcPr>
            <w:tcW w:type="dxa" w:w="4110"/>
            <w:vAlign w:val="center"/>
          </w:tcPr>
          <w:p>
            <w:pPr>
              <w:spacing w:after="40" w:line="252" w:lineRule="auto"/>
              <w:outlineLvl w:val="9"/>
            </w:pPr>
            <w:r>
              <w:rPr>
                <w:rFonts w:ascii="Arial" w:hAnsi="Arial"/>
                <w:b w:val="0"/>
                <w:color w:val="000000"/>
                <w:sz w:val="20"/>
              </w:rPr>
              <w:t>id nombre correo telefono usuario</w:t>
            </w:r>
          </w:p>
        </w:tc>
        <w:tc>
          <w:tcPr>
            <w:tcW w:type="dxa" w:w="4110"/>
            <w:vAlign w:val="center"/>
          </w:tcPr>
          <w:p>
            <w:pPr>
              <w:spacing w:after="40" w:line="252" w:lineRule="auto"/>
              <w:outlineLvl w:val="9"/>
            </w:pPr>
            <w:r>
              <w:rPr>
                <w:rFonts w:ascii="Arial" w:hAnsi="Arial"/>
                <w:b w:val="0"/>
                <w:color w:val="000000"/>
                <w:sz w:val="20"/>
              </w:rPr>
              <w:t>id nombre</w:t>
            </w:r>
          </w:p>
        </w:tc>
      </w:tr>
      <w:tr>
        <w:trPr>
          <w:cantSplit/>
        </w:trPr>
        <w:tc>
          <w:tcPr>
            <w:tcW w:type="dxa" w:w="1417"/>
            <w:vAlign w:val="center"/>
          </w:tcPr>
          <w:p>
            <w:pPr>
              <w:spacing w:after="40" w:line="252" w:lineRule="auto"/>
              <w:outlineLvl w:val="9"/>
            </w:pPr>
            <w:r>
              <w:rPr>
                <w:rFonts w:ascii="Arial" w:hAnsi="Arial"/>
                <w:b w:val="0"/>
                <w:color w:val="000000"/>
                <w:sz w:val="20"/>
              </w:rPr>
              <w:t>Disco</w:t>
            </w:r>
          </w:p>
        </w:tc>
        <w:tc>
          <w:tcPr>
            <w:tcW w:type="dxa" w:w="4110"/>
            <w:vAlign w:val="center"/>
          </w:tcPr>
          <w:p>
            <w:pPr>
              <w:spacing w:after="40" w:line="252" w:lineRule="auto"/>
              <w:outlineLvl w:val="9"/>
            </w:pPr>
            <w:r>
              <w:rPr>
                <w:rFonts w:ascii="Arial" w:hAnsi="Arial"/>
                <w:b w:val="0"/>
                <w:color w:val="000000"/>
                <w:sz w:val="20"/>
              </w:rPr>
              <w:t>Catálogo precio stock imagen y nombre base de documento</w:t>
            </w:r>
          </w:p>
        </w:tc>
        <w:tc>
          <w:tcPr>
            <w:tcW w:type="dxa" w:w="4110"/>
            <w:vAlign w:val="center"/>
          </w:tcPr>
          <w:p>
            <w:pPr>
              <w:spacing w:after="40" w:line="252" w:lineRule="auto"/>
              <w:outlineLvl w:val="9"/>
            </w:pPr>
            <w:r>
              <w:rPr>
                <w:rFonts w:ascii="Arial" w:hAnsi="Arial"/>
                <w:b w:val="0"/>
                <w:color w:val="000000"/>
                <w:sz w:val="20"/>
              </w:rPr>
              <w:t>Catálogo precio stock imagen; sin documento</w:t>
            </w:r>
          </w:p>
        </w:tc>
      </w:tr>
      <w:tr>
        <w:trPr>
          <w:cantSplit/>
        </w:trPr>
        <w:tc>
          <w:tcPr>
            <w:tcW w:type="dxa" w:w="1417"/>
            <w:vAlign w:val="center"/>
          </w:tcPr>
          <w:p>
            <w:pPr>
              <w:spacing w:after="40" w:line="252" w:lineRule="auto"/>
              <w:outlineLvl w:val="9"/>
            </w:pPr>
            <w:r>
              <w:rPr>
                <w:rFonts w:ascii="Arial" w:hAnsi="Arial"/>
                <w:b w:val="0"/>
                <w:color w:val="000000"/>
                <w:sz w:val="20"/>
              </w:rPr>
              <w:t>Venta</w:t>
            </w:r>
          </w:p>
        </w:tc>
        <w:tc>
          <w:tcPr>
            <w:tcW w:type="dxa" w:w="4110"/>
            <w:vAlign w:val="center"/>
          </w:tcPr>
          <w:p>
            <w:pPr>
              <w:spacing w:after="40" w:line="252" w:lineRule="auto"/>
              <w:outlineLvl w:val="9"/>
            </w:pPr>
            <w:r>
              <w:rPr>
                <w:rFonts w:ascii="Arial" w:hAnsi="Arial"/>
                <w:b w:val="0"/>
                <w:color w:val="000000"/>
                <w:sz w:val="20"/>
              </w:rPr>
              <w:t>id cliente disco fecha cantidad precio_unitario total</w:t>
            </w:r>
          </w:p>
        </w:tc>
        <w:tc>
          <w:tcPr>
            <w:tcW w:type="dxa" w:w="4110"/>
            <w:vAlign w:val="center"/>
          </w:tcPr>
          <w:p>
            <w:pPr>
              <w:spacing w:after="40" w:line="252" w:lineRule="auto"/>
              <w:outlineLvl w:val="9"/>
            </w:pPr>
            <w:r>
              <w:rPr>
                <w:rFonts w:ascii="Arial" w:hAnsi="Arial"/>
                <w:b w:val="0"/>
                <w:color w:val="000000"/>
                <w:sz w:val="20"/>
              </w:rPr>
              <w:t>id cliente disco fecha cantidad</w:t>
            </w:r>
          </w:p>
        </w:tc>
      </w:tr>
    </w:tbl>
    <w:p>
      <w:pPr>
        <w:spacing w:after="40"/>
        <w:outlineLvl w:val="9"/>
      </w:pPr>
    </w:p>
    <w:p>
      <w:pPr>
        <w:outlineLvl w:val="9"/>
      </w:pPr>
      <w:r>
        <w:t>El precio del Disco es público porque pertenece al catálogo. Los importes de Venta, correos, teléfonos y vínculo a la cuenta son privados. Un Operador puede ingresar correo y teléfono para un Cliente, pero la respuesta no devuelve esos datos. Sólo Administrador puede gestionar el vínculo usuario.</w:t>
      </w:r>
    </w:p>
    <w:p>
      <w:pPr>
        <w:outlineLvl w:val="9"/>
      </w:pPr>
      <w:r>
        <w:t>Ninguna respuesta expone contraseñas, hashes o grupos. El Cliente consulta únicamente su ficha y ventas. La propiedad se filtra antes de buscar un detalle: un ID ajeno devuelve 404. El Cliente no modifica ni elimina registros desde la API; la edición de su perfil continúa en la web.</w:t>
      </w:r>
    </w:p>
    <w:p>
      <w:r>
        <w:br w:type="page"/>
      </w:r>
    </w:p>
    <w:p>
      <w:pPr>
        <w:pStyle w:val="TituloInforme"/>
        <w:outlineLvl w:val="9"/>
      </w:pPr>
      <w:r>
        <w:t>Compra stock y archivos</w:t>
      </w:r>
    </w:p>
    <w:p>
      <w:pPr>
        <w:pStyle w:val="SubtituloInforme"/>
        <w:outlineLvl w:val="9"/>
      </w:pPr>
      <w:r>
        <w:t>Registro de venta</w:t>
      </w:r>
    </w:p>
    <w:p>
      <w:pPr>
        <w:pStyle w:val="CodigoInforme"/>
        <w:keepLines/>
        <w:outlineLvl w:val="9"/>
      </w:pPr>
      <w:r>
        <w:t>Administrador u Operador</w:t>
        <w:br/>
        <w:t>POST /api/ventas/</w:t>
        <w:br/>
        <w:t>{"cliente": 101, "disco": 101, "fecha": "2026-10-04", "cantidad": 2}</w:t>
        <w:br/>
        <w:br/>
        <w:t>Cliente</w:t>
        <w:br/>
        <w:t>POST /api/ventas/</w:t>
        <w:br/>
        <w:t>{"disco": 101, "cantidad": 2}</w:t>
      </w:r>
    </w:p>
    <w:p>
      <w:pPr>
        <w:outlineLvl w:val="9"/>
      </w:pPr>
      <w:r>
        <w:t>En la compra del Cliente, la cuenta determina al comprador y el servidor determina fecha actual y precio vigente. El serializer usa sólo disco y cantidad. Los campos extra cliente, fecha, precio_unitario y total se ignoran antes de validar relaciones, de modo que no sirven para escoger otra identidad o alterar los valores del servidor.</w:t>
      </w:r>
    </w:p>
    <w:p>
      <w:pPr>
        <w:outlineLvl w:val="9"/>
      </w:pPr>
      <w:r>
        <w:t>Si un Disco de prueba cuesta 12000 CLP y se compran dos unidades, la venta guarda ese precio unitario y calcula 24000 CLP. Sólo Administrador recibe esos importes en la respuesta. Se conserva el precio histórico cuando se edita una venta del mismo disco; al cambiar de disco se toma el precio del nuevo.</w:t>
      </w:r>
    </w:p>
    <w:p>
      <w:pPr>
        <w:outlineLvl w:val="9"/>
      </w:pPr>
      <w:r>
        <w:t>Crear descuenta stock. Editar devuelve el movimiento anterior y aplica el nuevo. Eliminar devuelve unidades. Una cantidad no positiva o mayor al stock se rechaza. Los cambios se guardan juntos mediante una transacción y los fallos conservan los datos previos. La API usa save y delete individuales de Venta, sin actualización o borrado directo de conjuntos.</w:t>
      </w:r>
    </w:p>
    <w:p>
      <w:pPr>
        <w:pStyle w:val="SubtituloInforme"/>
        <w:outlineLvl w:val="9"/>
      </w:pPr>
      <w:r>
        <w:t>Carga multipart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417"/>
        <w:gridCol w:w="4110"/>
        <w:gridCol w:w="4110"/>
      </w:tblGrid>
      <w:tr>
        <w:trPr>
          <w:tblHeader w:val="true"/>
          <w:cantSplit/>
        </w:trPr>
        <w:tc>
          <w:tcPr>
            <w:tcW w:type="dxa" w:w="1417"/>
            <w:vAlign w:val="center"/>
            <w:shd w:fill="EEEEEE"/>
          </w:tcPr>
          <w:p>
            <w:pPr>
              <w:spacing w:after="40" w:line="252" w:lineRule="auto"/>
              <w:outlineLvl w:val="9"/>
            </w:pPr>
            <w:r>
              <w:rPr>
                <w:rFonts w:ascii="Arial" w:hAnsi="Arial"/>
                <w:b/>
                <w:color w:val="000000"/>
                <w:sz w:val="20"/>
              </w:rPr>
              <w:t>Campo</w:t>
            </w:r>
          </w:p>
        </w:tc>
        <w:tc>
          <w:tcPr>
            <w:tcW w:type="dxa" w:w="4110"/>
            <w:vAlign w:val="center"/>
            <w:shd w:fill="EEEEEE"/>
          </w:tcPr>
          <w:p>
            <w:pPr>
              <w:spacing w:after="40" w:line="252" w:lineRule="auto"/>
              <w:outlineLvl w:val="9"/>
            </w:pPr>
            <w:r>
              <w:rPr>
                <w:rFonts w:ascii="Arial" w:hAnsi="Arial"/>
                <w:b/>
                <w:color w:val="000000"/>
                <w:sz w:val="20"/>
              </w:rPr>
              <w:t>Validación</w:t>
            </w:r>
          </w:p>
        </w:tc>
        <w:tc>
          <w:tcPr>
            <w:tcW w:type="dxa" w:w="4110"/>
            <w:vAlign w:val="center"/>
            <w:shd w:fill="EEEEEE"/>
          </w:tcPr>
          <w:p>
            <w:pPr>
              <w:spacing w:after="40" w:line="252" w:lineRule="auto"/>
              <w:outlineLvl w:val="9"/>
            </w:pPr>
            <w:r>
              <w:rPr>
                <w:rFonts w:ascii="Arial" w:hAnsi="Arial"/>
                <w:b/>
                <w:color w:val="000000"/>
                <w:sz w:val="20"/>
              </w:rPr>
              <w:t>Respuesta</w:t>
            </w:r>
          </w:p>
        </w:tc>
      </w:tr>
      <w:tr>
        <w:trPr>
          <w:cantSplit/>
        </w:trPr>
        <w:tc>
          <w:tcPr>
            <w:tcW w:type="dxa" w:w="1417"/>
            <w:vAlign w:val="center"/>
          </w:tcPr>
          <w:p>
            <w:pPr>
              <w:spacing w:after="40" w:line="252" w:lineRule="auto"/>
              <w:outlineLvl w:val="9"/>
            </w:pPr>
            <w:r>
              <w:rPr>
                <w:rFonts w:ascii="Arial" w:hAnsi="Arial"/>
                <w:b w:val="0"/>
                <w:color w:val="000000"/>
                <w:sz w:val="20"/>
              </w:rPr>
              <w:t>imagen</w:t>
            </w:r>
          </w:p>
        </w:tc>
        <w:tc>
          <w:tcPr>
            <w:tcW w:type="dxa" w:w="4110"/>
            <w:vAlign w:val="center"/>
          </w:tcPr>
          <w:p>
            <w:pPr>
              <w:spacing w:after="40" w:line="252" w:lineRule="auto"/>
              <w:outlineLvl w:val="9"/>
            </w:pPr>
            <w:r>
              <w:rPr>
                <w:rFonts w:ascii="Arial" w:hAnsi="Arial"/>
                <w:b w:val="0"/>
                <w:color w:val="000000"/>
                <w:sz w:val="20"/>
              </w:rPr>
              <w:t>JPG JPEG PNG o WebP; contenido válido; hasta 5 MB.</w:t>
            </w:r>
          </w:p>
        </w:tc>
        <w:tc>
          <w:tcPr>
            <w:tcW w:type="dxa" w:w="4110"/>
            <w:vAlign w:val="center"/>
          </w:tcPr>
          <w:p>
            <w:pPr>
              <w:spacing w:after="40" w:line="252" w:lineRule="auto"/>
              <w:outlineLvl w:val="9"/>
            </w:pPr>
            <w:r>
              <w:rPr>
                <w:rFonts w:ascii="Arial" w:hAnsi="Arial"/>
                <w:b w:val="0"/>
                <w:color w:val="000000"/>
                <w:sz w:val="20"/>
              </w:rPr>
              <w:t>URL pública de imagen.</w:t>
            </w:r>
          </w:p>
        </w:tc>
      </w:tr>
      <w:tr>
        <w:trPr>
          <w:cantSplit/>
        </w:trPr>
        <w:tc>
          <w:tcPr>
            <w:tcW w:type="dxa" w:w="1417"/>
            <w:vAlign w:val="center"/>
          </w:tcPr>
          <w:p>
            <w:pPr>
              <w:spacing w:after="40" w:line="252" w:lineRule="auto"/>
              <w:outlineLvl w:val="9"/>
            </w:pPr>
            <w:r>
              <w:rPr>
                <w:rFonts w:ascii="Arial" w:hAnsi="Arial"/>
                <w:b w:val="0"/>
                <w:color w:val="000000"/>
                <w:sz w:val="20"/>
              </w:rPr>
              <w:t>documento</w:t>
            </w:r>
          </w:p>
        </w:tc>
        <w:tc>
          <w:tcPr>
            <w:tcW w:type="dxa" w:w="4110"/>
            <w:vAlign w:val="center"/>
          </w:tcPr>
          <w:p>
            <w:pPr>
              <w:spacing w:after="40" w:line="252" w:lineRule="auto"/>
              <w:outlineLvl w:val="9"/>
            </w:pPr>
            <w:r>
              <w:rPr>
                <w:rFonts w:ascii="Arial" w:hAnsi="Arial"/>
                <w:b w:val="0"/>
                <w:color w:val="000000"/>
                <w:sz w:val="20"/>
              </w:rPr>
              <w:t>Extensión PDF y firma %PDF-; hasta 10 MB.</w:t>
            </w:r>
          </w:p>
        </w:tc>
        <w:tc>
          <w:tcPr>
            <w:tcW w:type="dxa" w:w="4110"/>
            <w:vAlign w:val="center"/>
          </w:tcPr>
          <w:p>
            <w:pPr>
              <w:spacing w:after="40" w:line="252" w:lineRule="auto"/>
              <w:outlineLvl w:val="9"/>
            </w:pPr>
            <w:r>
              <w:rPr>
                <w:rFonts w:ascii="Arial" w:hAnsi="Arial"/>
                <w:b w:val="0"/>
                <w:color w:val="000000"/>
                <w:sz w:val="20"/>
              </w:rPr>
              <w:t>Sólo Administrador ve nombre base; nunca URL ni ruta.</w:t>
            </w:r>
          </w:p>
        </w:tc>
      </w:tr>
    </w:tbl>
    <w:p>
      <w:pPr>
        <w:spacing w:after="40"/>
        <w:outlineLvl w:val="9"/>
      </w:pPr>
    </w:p>
    <w:p>
      <w:pPr>
        <w:outlineLvl w:val="9"/>
      </w:pPr>
      <w:r>
        <w:t>Administrador y Operador pueden cargar archivos con multipart/form-data en POST o PUT de Disco. El cliente HTTP genera el boundary de la cabecera. Los PDF se guardan en privados; el Operador no recibe metadatos del archivo. La validación de firma del PDF es básica, no un análisis completo de su contenido.</w:t>
      </w:r>
    </w:p>
    <w:p>
      <w:pPr>
        <w:outlineLvl w:val="9"/>
      </w:pPr>
      <w:r>
        <w:t>Las relaciones PROTECT impiden borrar Cliente o Disco con ventas. Se responde 400 sin enumerar objetos privados. Las pruebas de SQLite comprueban la lógica local; la concurrencia y base remota requieren su validación posterior.</w:t>
      </w:r>
    </w:p>
    <w:p>
      <w:r>
        <w:br w:type="page"/>
      </w:r>
    </w:p>
    <w:p>
      <w:pPr>
        <w:pStyle w:val="TituloInforme"/>
        <w:outlineLvl w:val="9"/>
      </w:pPr>
      <w:r>
        <w:t>Errores y recomendaciones de seguridad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134"/>
        <w:gridCol w:w="8504"/>
      </w:tblGrid>
      <w:tr>
        <w:trPr>
          <w:tblHeader w:val="true"/>
          <w:cantSplit/>
        </w:trPr>
        <w:tc>
          <w:tcPr>
            <w:tcW w:type="dxa" w:w="1134"/>
            <w:vAlign w:val="center"/>
            <w:shd w:fill="EEEEEE"/>
          </w:tcPr>
          <w:p>
            <w:pPr>
              <w:spacing w:after="40" w:line="252" w:lineRule="auto"/>
              <w:jc w:val="center"/>
              <w:outlineLvl w:val="9"/>
            </w:pPr>
            <w:r>
              <w:rPr>
                <w:rFonts w:ascii="Arial" w:hAnsi="Arial"/>
                <w:b/>
                <w:color w:val="000000"/>
                <w:sz w:val="20"/>
              </w:rPr>
              <w:t>Código</w:t>
            </w:r>
          </w:p>
        </w:tc>
        <w:tc>
          <w:tcPr>
            <w:tcW w:type="dxa" w:w="8504"/>
            <w:vAlign w:val="center"/>
            <w:shd w:fill="EEEEEE"/>
          </w:tcPr>
          <w:p>
            <w:pPr>
              <w:spacing w:after="40" w:line="252" w:lineRule="auto"/>
              <w:outlineLvl w:val="9"/>
            </w:pPr>
            <w:r>
              <w:rPr>
                <w:rFonts w:ascii="Arial" w:hAnsi="Arial"/>
                <w:b/>
                <w:color w:val="000000"/>
                <w:sz w:val="20"/>
              </w:rPr>
              <w:t>Situación</w:t>
            </w:r>
          </w:p>
        </w:tc>
      </w:tr>
      <w:tr>
        <w:trPr>
          <w:cantSplit/>
        </w:trPr>
        <w:tc>
          <w:tcPr>
            <w:tcW w:type="dxa" w:w="1134"/>
            <w:vAlign w:val="center"/>
          </w:tcPr>
          <w:p>
            <w:pPr>
              <w:spacing w:after="40" w:line="252" w:lineRule="auto"/>
              <w:jc w:val="center"/>
              <w:outlineLvl w:val="9"/>
            </w:pPr>
            <w:r>
              <w:rPr>
                <w:rFonts w:ascii="Arial" w:hAnsi="Arial"/>
                <w:b w:val="0"/>
                <w:color w:val="000000"/>
                <w:sz w:val="20"/>
              </w:rPr>
              <w:t>200</w:t>
            </w:r>
          </w:p>
        </w:tc>
        <w:tc>
          <w:tcPr>
            <w:tcW w:type="dxa" w:w="8504"/>
            <w:vAlign w:val="center"/>
          </w:tcPr>
          <w:p>
            <w:pPr>
              <w:spacing w:after="40" w:line="252" w:lineRule="auto"/>
              <w:outlineLvl w:val="9"/>
            </w:pPr>
            <w:r>
              <w:rPr>
                <w:rFonts w:ascii="Arial" w:hAnsi="Arial"/>
                <w:b w:val="0"/>
                <w:color w:val="000000"/>
                <w:sz w:val="20"/>
              </w:rPr>
              <w:t>Consulta o modificación correcta.</w:t>
            </w:r>
          </w:p>
        </w:tc>
      </w:tr>
      <w:tr>
        <w:trPr>
          <w:cantSplit/>
        </w:trPr>
        <w:tc>
          <w:tcPr>
            <w:tcW w:type="dxa" w:w="1134"/>
            <w:vAlign w:val="center"/>
          </w:tcPr>
          <w:p>
            <w:pPr>
              <w:spacing w:after="40" w:line="252" w:lineRule="auto"/>
              <w:jc w:val="center"/>
              <w:outlineLvl w:val="9"/>
            </w:pPr>
            <w:r>
              <w:rPr>
                <w:rFonts w:ascii="Arial" w:hAnsi="Arial"/>
                <w:b w:val="0"/>
                <w:color w:val="000000"/>
                <w:sz w:val="20"/>
              </w:rPr>
              <w:t>201</w:t>
            </w:r>
          </w:p>
        </w:tc>
        <w:tc>
          <w:tcPr>
            <w:tcW w:type="dxa" w:w="8504"/>
            <w:vAlign w:val="center"/>
          </w:tcPr>
          <w:p>
            <w:pPr>
              <w:spacing w:after="40" w:line="252" w:lineRule="auto"/>
              <w:outlineLvl w:val="9"/>
            </w:pPr>
            <w:r>
              <w:rPr>
                <w:rFonts w:ascii="Arial" w:hAnsi="Arial"/>
                <w:b w:val="0"/>
                <w:color w:val="000000"/>
                <w:sz w:val="20"/>
              </w:rPr>
              <w:t>Creación correcta.</w:t>
            </w:r>
          </w:p>
        </w:tc>
      </w:tr>
      <w:tr>
        <w:trPr>
          <w:cantSplit/>
        </w:trPr>
        <w:tc>
          <w:tcPr>
            <w:tcW w:type="dxa" w:w="1134"/>
            <w:vAlign w:val="center"/>
          </w:tcPr>
          <w:p>
            <w:pPr>
              <w:spacing w:after="40" w:line="252" w:lineRule="auto"/>
              <w:jc w:val="center"/>
              <w:outlineLvl w:val="9"/>
            </w:pPr>
            <w:r>
              <w:rPr>
                <w:rFonts w:ascii="Arial" w:hAnsi="Arial"/>
                <w:b w:val="0"/>
                <w:color w:val="000000"/>
                <w:sz w:val="20"/>
              </w:rPr>
              <w:t>204</w:t>
            </w:r>
          </w:p>
        </w:tc>
        <w:tc>
          <w:tcPr>
            <w:tcW w:type="dxa" w:w="8504"/>
            <w:vAlign w:val="center"/>
          </w:tcPr>
          <w:p>
            <w:pPr>
              <w:spacing w:after="40" w:line="252" w:lineRule="auto"/>
              <w:outlineLvl w:val="9"/>
            </w:pPr>
            <w:r>
              <w:rPr>
                <w:rFonts w:ascii="Arial" w:hAnsi="Arial"/>
                <w:b w:val="0"/>
                <w:color w:val="000000"/>
                <w:sz w:val="20"/>
              </w:rPr>
              <w:t>Eliminación correcta sin cuerpo.</w:t>
            </w:r>
          </w:p>
        </w:tc>
      </w:tr>
      <w:tr>
        <w:trPr>
          <w:cantSplit/>
        </w:trPr>
        <w:tc>
          <w:tcPr>
            <w:tcW w:type="dxa" w:w="1134"/>
            <w:vAlign w:val="center"/>
          </w:tcPr>
          <w:p>
            <w:pPr>
              <w:spacing w:after="40" w:line="252" w:lineRule="auto"/>
              <w:jc w:val="center"/>
              <w:outlineLvl w:val="9"/>
            </w:pPr>
            <w:r>
              <w:rPr>
                <w:rFonts w:ascii="Arial" w:hAnsi="Arial"/>
                <w:b w:val="0"/>
                <w:color w:val="000000"/>
                <w:sz w:val="20"/>
              </w:rPr>
              <w:t>400</w:t>
            </w:r>
          </w:p>
        </w:tc>
        <w:tc>
          <w:tcPr>
            <w:tcW w:type="dxa" w:w="8504"/>
            <w:vAlign w:val="center"/>
          </w:tcPr>
          <w:p>
            <w:pPr>
              <w:spacing w:after="40" w:line="252" w:lineRule="auto"/>
              <w:outlineLvl w:val="9"/>
            </w:pPr>
            <w:r>
              <w:rPr>
                <w:rFonts w:ascii="Arial" w:hAnsi="Arial"/>
                <w:b w:val="0"/>
                <w:color w:val="000000"/>
                <w:sz w:val="20"/>
              </w:rPr>
              <w:t>Validación cantidad stock relación o borrado protegido.</w:t>
            </w:r>
          </w:p>
        </w:tc>
      </w:tr>
      <w:tr>
        <w:trPr>
          <w:cantSplit/>
        </w:trPr>
        <w:tc>
          <w:tcPr>
            <w:tcW w:type="dxa" w:w="1134"/>
            <w:vAlign w:val="center"/>
          </w:tcPr>
          <w:p>
            <w:pPr>
              <w:spacing w:after="40" w:line="252" w:lineRule="auto"/>
              <w:jc w:val="center"/>
              <w:outlineLvl w:val="9"/>
            </w:pPr>
            <w:r>
              <w:rPr>
                <w:rFonts w:ascii="Arial" w:hAnsi="Arial"/>
                <w:b w:val="0"/>
                <w:color w:val="000000"/>
                <w:sz w:val="20"/>
              </w:rPr>
              <w:t>401</w:t>
            </w:r>
          </w:p>
        </w:tc>
        <w:tc>
          <w:tcPr>
            <w:tcW w:type="dxa" w:w="8504"/>
            <w:vAlign w:val="center"/>
          </w:tcPr>
          <w:p>
            <w:pPr>
              <w:spacing w:after="40" w:line="252" w:lineRule="auto"/>
              <w:outlineLvl w:val="9"/>
            </w:pPr>
            <w:r>
              <w:rPr>
                <w:rFonts w:ascii="Arial" w:hAnsi="Arial"/>
                <w:b w:val="0"/>
                <w:color w:val="000000"/>
                <w:sz w:val="20"/>
              </w:rPr>
              <w:t>Token ausente inválido o vencido.</w:t>
            </w:r>
          </w:p>
        </w:tc>
      </w:tr>
      <w:tr>
        <w:trPr>
          <w:cantSplit/>
        </w:trPr>
        <w:tc>
          <w:tcPr>
            <w:tcW w:type="dxa" w:w="1134"/>
            <w:vAlign w:val="center"/>
          </w:tcPr>
          <w:p>
            <w:pPr>
              <w:spacing w:after="40" w:line="252" w:lineRule="auto"/>
              <w:jc w:val="center"/>
              <w:outlineLvl w:val="9"/>
            </w:pPr>
            <w:r>
              <w:rPr>
                <w:rFonts w:ascii="Arial" w:hAnsi="Arial"/>
                <w:b w:val="0"/>
                <w:color w:val="000000"/>
                <w:sz w:val="20"/>
              </w:rPr>
              <w:t>403</w:t>
            </w:r>
          </w:p>
        </w:tc>
        <w:tc>
          <w:tcPr>
            <w:tcW w:type="dxa" w:w="8504"/>
            <w:vAlign w:val="center"/>
          </w:tcPr>
          <w:p>
            <w:pPr>
              <w:spacing w:after="40" w:line="252" w:lineRule="auto"/>
              <w:outlineLvl w:val="9"/>
            </w:pPr>
            <w:r>
              <w:rPr>
                <w:rFonts w:ascii="Arial" w:hAnsi="Arial"/>
                <w:b w:val="0"/>
                <w:color w:val="000000"/>
                <w:sz w:val="20"/>
              </w:rPr>
              <w:t>Cuenta autenticada sin permiso para la acción.</w:t>
            </w:r>
          </w:p>
        </w:tc>
      </w:tr>
      <w:tr>
        <w:trPr>
          <w:cantSplit/>
        </w:trPr>
        <w:tc>
          <w:tcPr>
            <w:tcW w:type="dxa" w:w="1134"/>
            <w:vAlign w:val="center"/>
          </w:tcPr>
          <w:p>
            <w:pPr>
              <w:spacing w:after="40" w:line="252" w:lineRule="auto"/>
              <w:jc w:val="center"/>
              <w:outlineLvl w:val="9"/>
            </w:pPr>
            <w:r>
              <w:rPr>
                <w:rFonts w:ascii="Arial" w:hAnsi="Arial"/>
                <w:b w:val="0"/>
                <w:color w:val="000000"/>
                <w:sz w:val="20"/>
              </w:rPr>
              <w:t>404</w:t>
            </w:r>
          </w:p>
        </w:tc>
        <w:tc>
          <w:tcPr>
            <w:tcW w:type="dxa" w:w="8504"/>
            <w:vAlign w:val="center"/>
          </w:tcPr>
          <w:p>
            <w:pPr>
              <w:spacing w:after="40" w:line="252" w:lineRule="auto"/>
              <w:outlineLvl w:val="9"/>
            </w:pPr>
            <w:r>
              <w:rPr>
                <w:rFonts w:ascii="Arial" w:hAnsi="Arial"/>
                <w:b w:val="0"/>
                <w:color w:val="000000"/>
                <w:sz w:val="20"/>
              </w:rPr>
              <w:t>Registro inexistente o ajeno al Cliente.</w:t>
            </w:r>
          </w:p>
        </w:tc>
      </w:tr>
      <w:tr>
        <w:trPr>
          <w:cantSplit/>
        </w:trPr>
        <w:tc>
          <w:tcPr>
            <w:tcW w:type="dxa" w:w="1134"/>
            <w:vAlign w:val="center"/>
          </w:tcPr>
          <w:p>
            <w:pPr>
              <w:spacing w:after="40" w:line="252" w:lineRule="auto"/>
              <w:jc w:val="center"/>
              <w:outlineLvl w:val="9"/>
            </w:pPr>
            <w:r>
              <w:rPr>
                <w:rFonts w:ascii="Arial" w:hAnsi="Arial"/>
                <w:b w:val="0"/>
                <w:color w:val="000000"/>
                <w:sz w:val="20"/>
              </w:rPr>
              <w:t>405</w:t>
            </w:r>
          </w:p>
        </w:tc>
        <w:tc>
          <w:tcPr>
            <w:tcW w:type="dxa" w:w="8504"/>
            <w:vAlign w:val="center"/>
          </w:tcPr>
          <w:p>
            <w:pPr>
              <w:spacing w:after="40" w:line="252" w:lineRule="auto"/>
              <w:outlineLvl w:val="9"/>
            </w:pPr>
            <w:r>
              <w:rPr>
                <w:rFonts w:ascii="Arial" w:hAnsi="Arial"/>
                <w:b w:val="0"/>
                <w:color w:val="000000"/>
                <w:sz w:val="20"/>
              </w:rPr>
              <w:t>Método no admitido.</w:t>
            </w:r>
          </w:p>
        </w:tc>
      </w:tr>
      <w:tr>
        <w:trPr>
          <w:cantSplit/>
        </w:trPr>
        <w:tc>
          <w:tcPr>
            <w:tcW w:type="dxa" w:w="1134"/>
            <w:vAlign w:val="center"/>
          </w:tcPr>
          <w:p>
            <w:pPr>
              <w:spacing w:after="40" w:line="252" w:lineRule="auto"/>
              <w:jc w:val="center"/>
              <w:outlineLvl w:val="9"/>
            </w:pPr>
            <w:r>
              <w:rPr>
                <w:rFonts w:ascii="Arial" w:hAnsi="Arial"/>
                <w:b w:val="0"/>
                <w:color w:val="000000"/>
                <w:sz w:val="20"/>
              </w:rPr>
              <w:t>500</w:t>
            </w:r>
          </w:p>
        </w:tc>
        <w:tc>
          <w:tcPr>
            <w:tcW w:type="dxa" w:w="8504"/>
            <w:vAlign w:val="center"/>
          </w:tcPr>
          <w:p>
            <w:pPr>
              <w:spacing w:after="40" w:line="252" w:lineRule="auto"/>
              <w:outlineLvl w:val="9"/>
            </w:pPr>
            <w:r>
              <w:rPr>
                <w:rFonts w:ascii="Arial" w:hAnsi="Arial"/>
                <w:b w:val="0"/>
                <w:color w:val="000000"/>
                <w:sz w:val="20"/>
              </w:rPr>
              <w:t>Error inesperado con mensaje genérico.</w:t>
            </w:r>
          </w:p>
        </w:tc>
      </w:tr>
    </w:tbl>
    <w:p>
      <w:pPr>
        <w:spacing w:after="40"/>
        <w:outlineLvl w:val="9"/>
      </w:pPr>
    </w:p>
    <w:p>
      <w:pPr>
        <w:outlineLvl w:val="9"/>
      </w:pPr>
      <w:r>
        <w:t>Los mensajes de validación permiten corregir la entrada. Un error inesperado retorna {"detail": "No se pudo completar la operación."}. No se devuelve SQL, traceback, rutas privadas, valores financieros de ventas ni datos personales privados a perfiles no administrativos.</w:t>
      </w:r>
    </w:p>
    <w:p>
      <w:pPr>
        <w:pStyle w:val="SubtituloInforme"/>
        <w:outlineLvl w:val="9"/>
      </w:pPr>
      <w:r>
        <w:t>Medidas revisadas con apoyo de IA</w:t>
      </w:r>
    </w:p>
    <w:p>
      <w:pPr>
        <w:outlineLvl w:val="9"/>
      </w:pPr>
      <w:r>
        <w:t>La solicitud real que inició esta implementación fue "PLEASE IMPLEMENT THIS PLAN", seguida del plan aprobado para agregar la API REST, JWT, permisos, privacidad, Swagger, pruebas y documentación, conservando la web y aplazando AWS. La frase se conserva como evidencia del uso de IA; las medidas siguientes describen su aplicación concreta.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948"/>
        <w:gridCol w:w="6690"/>
      </w:tblGrid>
      <w:tr>
        <w:trPr>
          <w:tblHeader w:val="true"/>
          <w:cantSplit/>
        </w:trPr>
        <w:tc>
          <w:tcPr>
            <w:tcW w:type="dxa" w:w="2948"/>
            <w:vAlign w:val="center"/>
            <w:shd w:fill="EEEEEE"/>
          </w:tcPr>
          <w:p>
            <w:pPr>
              <w:spacing w:after="40" w:line="252" w:lineRule="auto"/>
              <w:outlineLvl w:val="9"/>
            </w:pPr>
            <w:r>
              <w:rPr>
                <w:rFonts w:ascii="Arial" w:hAnsi="Arial"/>
                <w:b/>
                <w:color w:val="000000"/>
                <w:sz w:val="20"/>
              </w:rPr>
              <w:t>Recomendación</w:t>
            </w:r>
          </w:p>
        </w:tc>
        <w:tc>
          <w:tcPr>
            <w:tcW w:type="dxa" w:w="6690"/>
            <w:vAlign w:val="center"/>
            <w:shd w:fill="EEEEEE"/>
          </w:tcPr>
          <w:p>
            <w:pPr>
              <w:spacing w:after="40" w:line="252" w:lineRule="auto"/>
              <w:outlineLvl w:val="9"/>
            </w:pPr>
            <w:r>
              <w:rPr>
                <w:rFonts w:ascii="Arial" w:hAnsi="Arial"/>
                <w:b/>
                <w:color w:val="000000"/>
                <w:sz w:val="20"/>
              </w:rPr>
              <w:t>Aplicación verificable</w:t>
            </w:r>
          </w:p>
        </w:tc>
      </w:tr>
      <w:tr>
        <w:trPr>
          <w:cantSplit/>
        </w:trPr>
        <w:tc>
          <w:tcPr>
            <w:tcW w:type="dxa" w:w="2948"/>
            <w:vAlign w:val="center"/>
          </w:tcPr>
          <w:p>
            <w:pPr>
              <w:spacing w:after="40" w:line="252" w:lineRule="auto"/>
              <w:outlineLvl w:val="9"/>
            </w:pPr>
            <w:r>
              <w:rPr>
                <w:rFonts w:ascii="Arial" w:hAnsi="Arial"/>
                <w:b w:val="0"/>
                <w:color w:val="000000"/>
                <w:sz w:val="20"/>
              </w:rPr>
              <w:t>Proteger endpoints</w:t>
            </w:r>
          </w:p>
        </w:tc>
        <w:tc>
          <w:tcPr>
            <w:tcW w:type="dxa" w:w="6690"/>
            <w:vAlign w:val="center"/>
          </w:tcPr>
          <w:p>
            <w:pPr>
              <w:spacing w:after="40" w:line="252" w:lineRule="auto"/>
              <w:outlineLvl w:val="9"/>
            </w:pPr>
            <w:r>
              <w:rPr>
                <w:rFonts w:ascii="Arial" w:hAnsi="Arial"/>
                <w:b w:val="0"/>
                <w:color w:val="000000"/>
                <w:sz w:val="20"/>
              </w:rPr>
              <w:t>JWT e IsAuthenticated para recursos; rutas de documentación públicas.</w:t>
            </w:r>
          </w:p>
        </w:tc>
      </w:tr>
      <w:tr>
        <w:trPr>
          <w:cantSplit/>
        </w:trPr>
        <w:tc>
          <w:tcPr>
            <w:tcW w:type="dxa" w:w="2948"/>
            <w:vAlign w:val="center"/>
          </w:tcPr>
          <w:p>
            <w:pPr>
              <w:spacing w:after="40" w:line="252" w:lineRule="auto"/>
              <w:outlineLvl w:val="9"/>
            </w:pPr>
            <w:r>
              <w:rPr>
                <w:rFonts w:ascii="Arial" w:hAnsi="Arial"/>
                <w:b w:val="0"/>
                <w:color w:val="000000"/>
                <w:sz w:val="20"/>
              </w:rPr>
              <w:t>Limitar campos por rol</w:t>
            </w:r>
          </w:p>
        </w:tc>
        <w:tc>
          <w:tcPr>
            <w:tcW w:type="dxa" w:w="6690"/>
            <w:vAlign w:val="center"/>
          </w:tcPr>
          <w:p>
            <w:pPr>
              <w:spacing w:after="40" w:line="252" w:lineRule="auto"/>
              <w:outlineLvl w:val="9"/>
            </w:pPr>
            <w:r>
              <w:rPr>
                <w:rFonts w:ascii="Arial" w:hAnsi="Arial"/>
                <w:b w:val="0"/>
                <w:color w:val="000000"/>
                <w:sz w:val="20"/>
              </w:rPr>
              <w:t>Serializers explícitos y respuestas sin datos sensibles para no administradores.</w:t>
            </w:r>
          </w:p>
        </w:tc>
      </w:tr>
      <w:tr>
        <w:trPr>
          <w:cantSplit/>
        </w:trPr>
        <w:tc>
          <w:tcPr>
            <w:tcW w:type="dxa" w:w="2948"/>
            <w:vAlign w:val="center"/>
          </w:tcPr>
          <w:p>
            <w:pPr>
              <w:spacing w:after="40" w:line="252" w:lineRule="auto"/>
              <w:outlineLvl w:val="9"/>
            </w:pPr>
            <w:r>
              <w:rPr>
                <w:rFonts w:ascii="Arial" w:hAnsi="Arial"/>
                <w:b w:val="0"/>
                <w:color w:val="000000"/>
                <w:sz w:val="20"/>
              </w:rPr>
              <w:t>Aislar al comprador</w:t>
            </w:r>
          </w:p>
        </w:tc>
        <w:tc>
          <w:tcPr>
            <w:tcW w:type="dxa" w:w="6690"/>
            <w:vAlign w:val="center"/>
          </w:tcPr>
          <w:p>
            <w:pPr>
              <w:spacing w:after="40" w:line="252" w:lineRule="auto"/>
              <w:outlineLvl w:val="9"/>
            </w:pPr>
            <w:r>
              <w:rPr>
                <w:rFonts w:ascii="Arial" w:hAnsi="Arial"/>
                <w:b w:val="0"/>
                <w:color w:val="000000"/>
                <w:sz w:val="20"/>
              </w:rPr>
              <w:t>Filtro de propiedad y valores de identidad fecha y precio elegidos por el servidor.</w:t>
            </w:r>
          </w:p>
        </w:tc>
      </w:tr>
      <w:tr>
        <w:trPr>
          <w:cantSplit/>
        </w:trPr>
        <w:tc>
          <w:tcPr>
            <w:tcW w:type="dxa" w:w="2948"/>
            <w:vAlign w:val="center"/>
          </w:tcPr>
          <w:p>
            <w:pPr>
              <w:spacing w:after="40" w:line="252" w:lineRule="auto"/>
              <w:outlineLvl w:val="9"/>
            </w:pPr>
            <w:r>
              <w:rPr>
                <w:rFonts w:ascii="Arial" w:hAnsi="Arial"/>
                <w:b w:val="0"/>
                <w:color w:val="000000"/>
                <w:sz w:val="20"/>
              </w:rPr>
              <w:t>Validar la transacción</w:t>
            </w:r>
          </w:p>
        </w:tc>
        <w:tc>
          <w:tcPr>
            <w:tcW w:type="dxa" w:w="6690"/>
            <w:vAlign w:val="center"/>
          </w:tcPr>
          <w:p>
            <w:pPr>
              <w:spacing w:after="40" w:line="252" w:lineRule="auto"/>
              <w:outlineLvl w:val="9"/>
            </w:pPr>
            <w:r>
              <w:rPr>
                <w:rFonts w:ascii="Arial" w:hAnsi="Arial"/>
                <w:b w:val="0"/>
                <w:color w:val="000000"/>
                <w:sz w:val="20"/>
              </w:rPr>
              <w:t>Cantidad stock relaciones precio histórico y rollback de errores.</w:t>
            </w:r>
          </w:p>
        </w:tc>
      </w:tr>
      <w:tr>
        <w:trPr>
          <w:cantSplit/>
        </w:trPr>
        <w:tc>
          <w:tcPr>
            <w:tcW w:type="dxa" w:w="2948"/>
            <w:vAlign w:val="center"/>
          </w:tcPr>
          <w:p>
            <w:pPr>
              <w:spacing w:after="40" w:line="252" w:lineRule="auto"/>
              <w:outlineLvl w:val="9"/>
            </w:pPr>
            <w:r>
              <w:rPr>
                <w:rFonts w:ascii="Arial" w:hAnsi="Arial"/>
                <w:b w:val="0"/>
                <w:color w:val="000000"/>
                <w:sz w:val="20"/>
              </w:rPr>
              <w:t>Proteger archivos</w:t>
            </w:r>
          </w:p>
        </w:tc>
        <w:tc>
          <w:tcPr>
            <w:tcW w:type="dxa" w:w="6690"/>
            <w:vAlign w:val="center"/>
          </w:tcPr>
          <w:p>
            <w:pPr>
              <w:spacing w:after="40" w:line="252" w:lineRule="auto"/>
              <w:outlineLvl w:val="9"/>
            </w:pPr>
            <w:r>
              <w:rPr>
                <w:rFonts w:ascii="Arial" w:hAnsi="Arial"/>
                <w:b w:val="0"/>
                <w:color w:val="000000"/>
                <w:sz w:val="20"/>
              </w:rPr>
              <w:t>Validación de contenido tamaño y PDF sin URL pública.</w:t>
            </w:r>
          </w:p>
        </w:tc>
      </w:tr>
      <w:tr>
        <w:trPr>
          <w:cantSplit/>
        </w:trPr>
        <w:tc>
          <w:tcPr>
            <w:tcW w:type="dxa" w:w="2948"/>
            <w:vAlign w:val="center"/>
          </w:tcPr>
          <w:p>
            <w:pPr>
              <w:spacing w:after="40" w:line="252" w:lineRule="auto"/>
              <w:outlineLvl w:val="9"/>
            </w:pPr>
            <w:r>
              <w:rPr>
                <w:rFonts w:ascii="Arial" w:hAnsi="Arial"/>
                <w:b w:val="0"/>
                <w:color w:val="000000"/>
                <w:sz w:val="20"/>
              </w:rPr>
              <w:t>Reducir información de errores</w:t>
            </w:r>
          </w:p>
        </w:tc>
        <w:tc>
          <w:tcPr>
            <w:tcW w:type="dxa" w:w="6690"/>
            <w:vAlign w:val="center"/>
          </w:tcPr>
          <w:p>
            <w:pPr>
              <w:spacing w:after="40" w:line="252" w:lineRule="auto"/>
              <w:outlineLvl w:val="9"/>
            </w:pPr>
            <w:r>
              <w:rPr>
                <w:rFonts w:ascii="Arial" w:hAnsi="Arial"/>
                <w:b w:val="0"/>
                <w:color w:val="000000"/>
                <w:sz w:val="20"/>
              </w:rPr>
              <w:t>Mensajes genéricos de integridad y fallos internos; no stringify de objetos privados.</w:t>
            </w:r>
          </w:p>
        </w:tc>
      </w:tr>
    </w:tbl>
    <w:p>
      <w:pPr>
        <w:spacing w:after="40"/>
        <w:outlineLvl w:val="9"/>
      </w:pPr>
    </w:p>
    <w:p>
      <w:pPr>
        <w:outlineLvl w:val="9"/>
      </w:pPr>
      <w:r>
        <w:t>Estas medidas son decisiones aplicadas al proyecto y comprobables en código y pruebas. La IA apoyó el diseño y la revisión, pero la presentación requiere explicar serializers, permisos, tokens y actualización de stock con palabras propias.</w:t>
      </w:r>
    </w:p>
    <w:p>
      <w:r>
        <w:br w:type="page"/>
      </w:r>
    </w:p>
    <w:p>
      <w:pPr>
        <w:pStyle w:val="TituloInforme"/>
        <w:outlineLvl w:val="9"/>
      </w:pPr>
      <w:r>
        <w:t>Verificación local y evidencias</w:t>
      </w:r>
    </w:p>
    <w:p>
      <w:pPr>
        <w:outlineLvl w:val="9"/>
      </w:pPr>
      <w:r>
        <w:t>Antes del cambio aprobaron las 94 pruebas de la web. La verificación final del 4 de octubre de 2026 aprobó 35 pruebas API en 3,139 segundos y 129 pruebas totales en 14,665 segundos. Las pruebas cubren CRUD, roles, JWT, privacidad, compra propia, stock, precio histórico, errores, relaciones protegidas, archivos y esquema.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4819"/>
        <w:gridCol w:w="4819"/>
      </w:tblGrid>
      <w:tr>
        <w:trPr>
          <w:tblHeader w:val="true"/>
          <w:cantSplit/>
        </w:trPr>
        <w:tc>
          <w:tcPr>
            <w:tcW w:type="dxa" w:w="4819"/>
            <w:vAlign w:val="center"/>
            <w:shd w:fill="EEEEEE"/>
          </w:tcPr>
          <w:p>
            <w:pPr>
              <w:spacing w:after="40" w:line="252" w:lineRule="auto"/>
              <w:outlineLvl w:val="9"/>
            </w:pPr>
            <w:r>
              <w:rPr>
                <w:rFonts w:ascii="Arial" w:hAnsi="Arial"/>
                <w:b/>
                <w:color w:val="000000"/>
                <w:sz w:val="20"/>
              </w:rPr>
              <w:t>Comprobación</w:t>
            </w:r>
          </w:p>
        </w:tc>
        <w:tc>
          <w:tcPr>
            <w:tcW w:type="dxa" w:w="4819"/>
            <w:vAlign w:val="center"/>
            <w:shd w:fill="EEEEEE"/>
          </w:tcPr>
          <w:p>
            <w:pPr>
              <w:spacing w:after="40" w:line="252" w:lineRule="auto"/>
              <w:outlineLvl w:val="9"/>
            </w:pPr>
            <w:r>
              <w:rPr>
                <w:rFonts w:ascii="Arial" w:hAnsi="Arial"/>
                <w:b/>
                <w:color w:val="000000"/>
                <w:sz w:val="20"/>
              </w:rPr>
              <w:t>Resultado real</w:t>
            </w:r>
          </w:p>
        </w:tc>
      </w:tr>
      <w:tr>
        <w:trPr>
          <w:cantSplit/>
        </w:trPr>
        <w:tc>
          <w:tcPr>
            <w:tcW w:type="dxa" w:w="4819"/>
            <w:vAlign w:val="center"/>
          </w:tcPr>
          <w:p>
            <w:pPr>
              <w:spacing w:after="40" w:line="252" w:lineRule="auto"/>
              <w:outlineLvl w:val="9"/>
            </w:pPr>
            <w:r>
              <w:rPr>
                <w:rFonts w:ascii="Arial" w:hAnsi="Arial"/>
                <w:b w:val="0"/>
                <w:color w:val="000000"/>
                <w:sz w:val="20"/>
              </w:rPr>
              <w:t>manage.py test discosApi</w:t>
            </w:r>
          </w:p>
        </w:tc>
        <w:tc>
          <w:tcPr>
            <w:tcW w:type="dxa" w:w="4819"/>
            <w:vAlign w:val="center"/>
          </w:tcPr>
          <w:p>
            <w:pPr>
              <w:spacing w:after="40" w:line="252" w:lineRule="auto"/>
              <w:outlineLvl w:val="9"/>
            </w:pPr>
            <w:r>
              <w:rPr>
                <w:rFonts w:ascii="Arial" w:hAnsi="Arial"/>
                <w:b w:val="0"/>
                <w:color w:val="000000"/>
                <w:sz w:val="20"/>
              </w:rPr>
              <w:t>35 pruebas aprobadas; código 0.</w:t>
            </w:r>
          </w:p>
        </w:tc>
      </w:tr>
      <w:tr>
        <w:trPr>
          <w:cantSplit/>
        </w:trPr>
        <w:tc>
          <w:tcPr>
            <w:tcW w:type="dxa" w:w="4819"/>
            <w:vAlign w:val="center"/>
          </w:tcPr>
          <w:p>
            <w:pPr>
              <w:spacing w:after="40" w:line="252" w:lineRule="auto"/>
              <w:outlineLvl w:val="9"/>
            </w:pPr>
            <w:r>
              <w:rPr>
                <w:rFonts w:ascii="Arial" w:hAnsi="Arial"/>
                <w:b w:val="0"/>
                <w:color w:val="000000"/>
                <w:sz w:val="20"/>
              </w:rPr>
              <w:t>manage.py test</w:t>
            </w:r>
          </w:p>
        </w:tc>
        <w:tc>
          <w:tcPr>
            <w:tcW w:type="dxa" w:w="4819"/>
            <w:vAlign w:val="center"/>
          </w:tcPr>
          <w:p>
            <w:pPr>
              <w:spacing w:after="40" w:line="252" w:lineRule="auto"/>
              <w:outlineLvl w:val="9"/>
            </w:pPr>
            <w:r>
              <w:rPr>
                <w:rFonts w:ascii="Arial" w:hAnsi="Arial"/>
                <w:b w:val="0"/>
                <w:color w:val="000000"/>
                <w:sz w:val="20"/>
              </w:rPr>
              <w:t>129 pruebas aprobadas; código 0.</w:t>
            </w:r>
          </w:p>
        </w:tc>
      </w:tr>
      <w:tr>
        <w:trPr>
          <w:cantSplit/>
        </w:trPr>
        <w:tc>
          <w:tcPr>
            <w:tcW w:type="dxa" w:w="4819"/>
            <w:vAlign w:val="center"/>
          </w:tcPr>
          <w:p>
            <w:pPr>
              <w:spacing w:after="40" w:line="252" w:lineRule="auto"/>
              <w:outlineLvl w:val="9"/>
            </w:pPr>
            <w:r>
              <w:rPr>
                <w:rFonts w:ascii="Arial" w:hAnsi="Arial"/>
                <w:b w:val="0"/>
                <w:color w:val="000000"/>
                <w:sz w:val="20"/>
              </w:rPr>
              <w:t>manage.py check</w:t>
            </w:r>
          </w:p>
        </w:tc>
        <w:tc>
          <w:tcPr>
            <w:tcW w:type="dxa" w:w="4819"/>
            <w:vAlign w:val="center"/>
          </w:tcPr>
          <w:p>
            <w:pPr>
              <w:spacing w:after="40" w:line="252" w:lineRule="auto"/>
              <w:outlineLvl w:val="9"/>
            </w:pPr>
            <w:r>
              <w:rPr>
                <w:rFonts w:ascii="Arial" w:hAnsi="Arial"/>
                <w:b w:val="0"/>
                <w:color w:val="000000"/>
                <w:sz w:val="20"/>
              </w:rPr>
              <w:t>Sin incidencias; código 0.</w:t>
            </w:r>
          </w:p>
        </w:tc>
      </w:tr>
      <w:tr>
        <w:trPr>
          <w:cantSplit/>
        </w:trPr>
        <w:tc>
          <w:tcPr>
            <w:tcW w:type="dxa" w:w="4819"/>
            <w:vAlign w:val="center"/>
          </w:tcPr>
          <w:p>
            <w:pPr>
              <w:spacing w:after="40" w:line="252" w:lineRule="auto"/>
              <w:outlineLvl w:val="9"/>
            </w:pPr>
            <w:r>
              <w:rPr>
                <w:rFonts w:ascii="Arial" w:hAnsi="Arial"/>
                <w:b w:val="0"/>
                <w:color w:val="000000"/>
                <w:sz w:val="20"/>
              </w:rPr>
              <w:t>makemigrations check dry run</w:t>
            </w:r>
          </w:p>
        </w:tc>
        <w:tc>
          <w:tcPr>
            <w:tcW w:type="dxa" w:w="4819"/>
            <w:vAlign w:val="center"/>
          </w:tcPr>
          <w:p>
            <w:pPr>
              <w:spacing w:after="40" w:line="252" w:lineRule="auto"/>
              <w:outlineLvl w:val="9"/>
            </w:pPr>
            <w:r>
              <w:rPr>
                <w:rFonts w:ascii="Arial" w:hAnsi="Arial"/>
                <w:b w:val="0"/>
                <w:color w:val="000000"/>
                <w:sz w:val="20"/>
              </w:rPr>
              <w:t>No changes detected; código 0.</w:t>
            </w:r>
          </w:p>
        </w:tc>
      </w:tr>
      <w:tr>
        <w:trPr>
          <w:cantSplit/>
        </w:trPr>
        <w:tc>
          <w:tcPr>
            <w:tcW w:type="dxa" w:w="4819"/>
            <w:vAlign w:val="center"/>
          </w:tcPr>
          <w:p>
            <w:pPr>
              <w:spacing w:after="40" w:line="252" w:lineRule="auto"/>
              <w:outlineLvl w:val="9"/>
            </w:pPr>
            <w:r>
              <w:rPr>
                <w:rFonts w:ascii="Arial" w:hAnsi="Arial"/>
                <w:b w:val="0"/>
                <w:color w:val="000000"/>
                <w:sz w:val="20"/>
              </w:rPr>
              <w:t>spectacular validate fail on warn</w:t>
            </w:r>
          </w:p>
        </w:tc>
        <w:tc>
          <w:tcPr>
            <w:tcW w:type="dxa" w:w="4819"/>
            <w:vAlign w:val="center"/>
          </w:tcPr>
          <w:p>
            <w:pPr>
              <w:spacing w:after="40" w:line="252" w:lineRule="auto"/>
              <w:outlineLvl w:val="9"/>
            </w:pPr>
            <w:r>
              <w:rPr>
                <w:rFonts w:ascii="Arial" w:hAnsi="Arial"/>
                <w:b w:val="0"/>
                <w:color w:val="000000"/>
                <w:sz w:val="20"/>
              </w:rPr>
              <w:t>Esquema válido sin advertencias; código 0.</w:t>
            </w:r>
          </w:p>
        </w:tc>
      </w:tr>
      <w:tr>
        <w:trPr>
          <w:cantSplit/>
        </w:trPr>
        <w:tc>
          <w:tcPr>
            <w:tcW w:type="dxa" w:w="4819"/>
            <w:vAlign w:val="center"/>
          </w:tcPr>
          <w:p>
            <w:pPr>
              <w:spacing w:after="40" w:line="252" w:lineRule="auto"/>
              <w:outlineLvl w:val="9"/>
            </w:pPr>
            <w:r>
              <w:rPr>
                <w:rFonts w:ascii="Arial" w:hAnsi="Arial"/>
                <w:b w:val="0"/>
                <w:color w:val="000000"/>
                <w:sz w:val="20"/>
              </w:rPr>
              <w:t>HTTP y Swagger Authorize</w:t>
            </w:r>
          </w:p>
        </w:tc>
        <w:tc>
          <w:tcPr>
            <w:tcW w:type="dxa" w:w="4819"/>
            <w:vAlign w:val="center"/>
          </w:tcPr>
          <w:p>
            <w:pPr>
              <w:spacing w:after="40" w:line="252" w:lineRule="auto"/>
              <w:outlineLvl w:val="9"/>
            </w:pPr>
            <w:r>
              <w:rPr>
                <w:rFonts w:ascii="Arial" w:hAnsi="Arial"/>
                <w:b w:val="0"/>
                <w:color w:val="000000"/>
                <w:sz w:val="20"/>
              </w:rPr>
              <w:t>Cuatro roles GET 200; sin JWT 401; Authorize y GET 200 locales.</w:t>
            </w:r>
          </w:p>
        </w:tc>
      </w:tr>
    </w:tbl>
    <w:p>
      <w:pPr>
        <w:spacing w:after="40"/>
        <w:outlineLvl w:val="9"/>
      </w:pPr>
    </w:p>
    <w:p>
      <w:pPr>
        <w:spacing w:after="60"/>
        <w:jc w:val="center"/>
        <w:outlineLvl w:val="9"/>
      </w:pPr>
      <w:r>
        <w:drawing>
          <wp:inline xmlns:a="http://schemas.openxmlformats.org/drawingml/2006/main" xmlns:pic="http://schemas.openxmlformats.org/drawingml/2006/picture">
            <wp:extent cx="6120000" cy="3444617"/>
            <wp:docPr id="4" name="Picture 4" descr="Figura 4  GET de discos protegido con respuesta 200 y datos sintéticos en Swagger local"/>
            <wp:cNvGraphicFramePr>
              <a:graphicFrameLocks noChangeAspect="1"/>
            </wp:cNvGraphicFramePr>
            <a:graphic>
              <a:graphicData uri="http://schemas.openxmlformats.org/drawingml/2006/picture">
                <pic:pic>
                  <pic:nvPicPr>
                    <pic:cNvPr id="0" name="05_con_jwt_200.jpg"/>
                    <pic:cNvPicPr/>
                  </pic:nvPicPr>
                  <pic:blipFill>
                    <a:blip r:embed="rId13"/>
                    <a:stretch>
                      <a:fillRect/>
                    </a:stretch>
                  </pic:blipFill>
                  <pic:spPr>
                    <a:xfrm>
                      <a:off x="0" y="0"/>
                      <a:ext cx="6120000" cy="3444617"/>
                    </a:xfrm>
                    <a:prstGeom prst="rect"/>
                  </pic:spPr>
                </pic:pic>
              </a:graphicData>
            </a:graphic>
          </wp:inline>
        </w:drawing>
      </w:r>
    </w:p>
    <w:p>
      <w:pPr>
        <w:pStyle w:val="PieImagen"/>
        <w:outlineLvl w:val="9"/>
      </w:pPr>
      <w:r>
        <w:t>Figura 4  GET de discos protegido con respuesta 200 y datos sintéticos en Swagger local</w:t>
      </w:r>
    </w:p>
    <w:p>
      <w:pPr>
        <w:outlineLvl w:val="9"/>
      </w:pPr>
      <w:r>
        <w:t>Se verificaron token y refresh con código 200 y consultas GET de Clientes Discos y Ventas para los cuatro perfiles, en un servidor local aislado con datos sintéticos. Una solicitud sin JWT y otra con JWT inválido devolvieron 401. Desde Swagger se utilizó Authorize y se obtuvo una respuesta protegida 200. Las capturas omiten credenciales y tokens.</w:t>
      </w:r>
    </w:p>
    <w:p>
      <w:pPr>
        <w:outlineLvl w:val="9"/>
      </w:pPr>
      <w:r>
        <w:t>Las pruebas automáticas usan una base temporal y datos sintéticos. Las capturas de esta sección se obtuvieron en local. No acreditan consumo desde EC2. La demostración de escritura debe utilizar una base separada de prueba para conservar los registros reales.</w:t>
      </w:r>
    </w:p>
    <w:p>
      <w:r>
        <w:br w:type="page"/>
      </w:r>
    </w:p>
    <w:p>
      <w:pPr>
        <w:pStyle w:val="TituloInforme"/>
        <w:outlineLvl w:val="9"/>
      </w:pPr>
      <w:r>
        <w:t>Estado de los diez criterios</w:t>
      </w:r>
    </w:p>
    <w:p>
      <w:pPr>
        <w:outlineLvl w:val="9"/>
      </w:pPr>
      <w:r>
        <w:t>Los criterios se toman de la Escala de Apreciación de Eva Sumativa 3. La tabla registra evidencias y pendientes; no asigna puntajes ni una calificación. La demostración presencial sigue siendo parte de la evaluación.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567"/>
        <w:gridCol w:w="4819"/>
        <w:gridCol w:w="4252"/>
      </w:tblGrid>
      <w:tr>
        <w:trPr>
          <w:tblHeader w:val="true"/>
          <w:cantSplit/>
        </w:trPr>
        <w:tc>
          <w:tcPr>
            <w:tcW w:type="dxa" w:w="567"/>
            <w:vAlign w:val="center"/>
            <w:shd w:fill="EEEEEE"/>
          </w:tcPr>
          <w:p>
            <w:pPr>
              <w:spacing w:after="40" w:line="252" w:lineRule="auto"/>
              <w:jc w:val="center"/>
              <w:outlineLvl w:val="9"/>
            </w:pPr>
            <w:r>
              <w:rPr>
                <w:rFonts w:ascii="Arial" w:hAnsi="Arial"/>
                <w:b/>
                <w:color w:val="000000"/>
                <w:sz w:val="20"/>
              </w:rPr>
              <w:t>Nº</w:t>
            </w:r>
          </w:p>
        </w:tc>
        <w:tc>
          <w:tcPr>
            <w:tcW w:type="dxa" w:w="4819"/>
            <w:vAlign w:val="center"/>
            <w:shd w:fill="EEEEEE"/>
          </w:tcPr>
          <w:p>
            <w:pPr>
              <w:spacing w:after="40" w:line="252" w:lineRule="auto"/>
              <w:outlineLvl w:val="9"/>
            </w:pPr>
            <w:r>
              <w:rPr>
                <w:rFonts w:ascii="Arial" w:hAnsi="Arial"/>
                <w:b/>
                <w:color w:val="000000"/>
                <w:sz w:val="20"/>
              </w:rPr>
              <w:t>Criterio</w:t>
            </w:r>
          </w:p>
        </w:tc>
        <w:tc>
          <w:tcPr>
            <w:tcW w:type="dxa" w:w="4252"/>
            <w:vAlign w:val="center"/>
            <w:shd w:fill="EEEEEE"/>
          </w:tcPr>
          <w:p>
            <w:pPr>
              <w:spacing w:after="40" w:line="252" w:lineRule="auto"/>
              <w:outlineLvl w:val="9"/>
            </w:pPr>
            <w:r>
              <w:rPr>
                <w:rFonts w:ascii="Arial" w:hAnsi="Arial"/>
                <w:b/>
                <w:color w:val="000000"/>
                <w:sz w:val="20"/>
              </w:rPr>
              <w:t>Evidencia y estado</w:t>
            </w:r>
          </w:p>
        </w:tc>
      </w:tr>
      <w:tr>
        <w:trPr>
          <w:cantSplit/>
        </w:trPr>
        <w:tc>
          <w:tcPr>
            <w:tcW w:type="dxa" w:w="567"/>
            <w:vAlign w:val="center"/>
          </w:tcPr>
          <w:p>
            <w:pPr>
              <w:spacing w:after="40" w:line="252" w:lineRule="auto"/>
              <w:jc w:val="center"/>
              <w:outlineLvl w:val="9"/>
            </w:pPr>
            <w:r>
              <w:rPr>
                <w:rFonts w:ascii="Arial" w:hAnsi="Arial"/>
                <w:b w:val="0"/>
                <w:color w:val="000000"/>
                <w:sz w:val="20"/>
              </w:rPr>
              <w:t>1</w:t>
            </w:r>
          </w:p>
        </w:tc>
        <w:tc>
          <w:tcPr>
            <w:tcW w:type="dxa" w:w="4819"/>
            <w:vAlign w:val="center"/>
          </w:tcPr>
          <w:p>
            <w:pPr>
              <w:spacing w:after="40" w:line="252" w:lineRule="auto"/>
              <w:outlineLvl w:val="9"/>
            </w:pPr>
            <w:r>
              <w:rPr>
                <w:rFonts w:ascii="Arial" w:hAnsi="Arial"/>
                <w:b w:val="0"/>
                <w:color w:val="000000"/>
                <w:sz w:val="20"/>
              </w:rPr>
              <w:t>Configura correctamente Django REST framework.</w:t>
            </w:r>
          </w:p>
        </w:tc>
        <w:tc>
          <w:tcPr>
            <w:tcW w:type="dxa" w:w="4252"/>
            <w:vAlign w:val="center"/>
          </w:tcPr>
          <w:p>
            <w:pPr>
              <w:spacing w:after="40" w:line="252" w:lineRule="auto"/>
              <w:outlineLvl w:val="9"/>
            </w:pPr>
            <w:r>
              <w:rPr>
                <w:rFonts w:ascii="Arial" w:hAnsi="Arial"/>
                <w:b w:val="0"/>
                <w:color w:val="000000"/>
                <w:sz w:val="20"/>
              </w:rPr>
              <w:t>Dependencias settings y check sin incidencias. Verificado localmente.</w:t>
            </w:r>
          </w:p>
        </w:tc>
      </w:tr>
      <w:tr>
        <w:trPr>
          <w:cantSplit/>
        </w:trPr>
        <w:tc>
          <w:tcPr>
            <w:tcW w:type="dxa" w:w="567"/>
            <w:vAlign w:val="center"/>
          </w:tcPr>
          <w:p>
            <w:pPr>
              <w:spacing w:after="40" w:line="252" w:lineRule="auto"/>
              <w:jc w:val="center"/>
              <w:outlineLvl w:val="9"/>
            </w:pPr>
            <w:r>
              <w:rPr>
                <w:rFonts w:ascii="Arial" w:hAnsi="Arial"/>
                <w:b w:val="0"/>
                <w:color w:val="000000"/>
                <w:sz w:val="20"/>
              </w:rPr>
              <w:t>2</w:t>
            </w:r>
          </w:p>
        </w:tc>
        <w:tc>
          <w:tcPr>
            <w:tcW w:type="dxa" w:w="4819"/>
            <w:vAlign w:val="center"/>
          </w:tcPr>
          <w:p>
            <w:pPr>
              <w:spacing w:after="40" w:line="252" w:lineRule="auto"/>
              <w:outlineLvl w:val="9"/>
            </w:pPr>
            <w:r>
              <w:rPr>
                <w:rFonts w:ascii="Arial" w:hAnsi="Arial"/>
                <w:b w:val="0"/>
                <w:color w:val="000000"/>
                <w:sz w:val="20"/>
              </w:rPr>
              <w:t>Implementa endpoints RESTful para los mantenedores y transacciones.</w:t>
            </w:r>
          </w:p>
        </w:tc>
        <w:tc>
          <w:tcPr>
            <w:tcW w:type="dxa" w:w="4252"/>
            <w:vAlign w:val="center"/>
          </w:tcPr>
          <w:p>
            <w:pPr>
              <w:spacing w:after="40" w:line="252" w:lineRule="auto"/>
              <w:outlineLvl w:val="9"/>
            </w:pPr>
            <w:r>
              <w:rPr>
                <w:rFonts w:ascii="Arial" w:hAnsi="Arial"/>
                <w:b w:val="0"/>
                <w:color w:val="000000"/>
                <w:sz w:val="20"/>
              </w:rPr>
              <w:t>CRUD de Cliente Disco y Venta. Pruebas API aprobadas en base temporal.</w:t>
            </w:r>
          </w:p>
        </w:tc>
      </w:tr>
      <w:tr>
        <w:trPr>
          <w:cantSplit/>
        </w:trPr>
        <w:tc>
          <w:tcPr>
            <w:tcW w:type="dxa" w:w="567"/>
            <w:vAlign w:val="center"/>
          </w:tcPr>
          <w:p>
            <w:pPr>
              <w:spacing w:after="40" w:line="252" w:lineRule="auto"/>
              <w:jc w:val="center"/>
              <w:outlineLvl w:val="9"/>
            </w:pPr>
            <w:r>
              <w:rPr>
                <w:rFonts w:ascii="Arial" w:hAnsi="Arial"/>
                <w:b w:val="0"/>
                <w:color w:val="000000"/>
                <w:sz w:val="20"/>
              </w:rPr>
              <w:t>3</w:t>
            </w:r>
          </w:p>
        </w:tc>
        <w:tc>
          <w:tcPr>
            <w:tcW w:type="dxa" w:w="4819"/>
            <w:vAlign w:val="center"/>
          </w:tcPr>
          <w:p>
            <w:pPr>
              <w:spacing w:after="40" w:line="252" w:lineRule="auto"/>
              <w:outlineLvl w:val="9"/>
            </w:pPr>
            <w:r>
              <w:rPr>
                <w:rFonts w:ascii="Arial" w:hAnsi="Arial"/>
                <w:b w:val="0"/>
                <w:color w:val="000000"/>
                <w:sz w:val="20"/>
              </w:rPr>
              <w:t>Implementa autenticación JWT.</w:t>
            </w:r>
          </w:p>
        </w:tc>
        <w:tc>
          <w:tcPr>
            <w:tcW w:type="dxa" w:w="4252"/>
            <w:vAlign w:val="center"/>
          </w:tcPr>
          <w:p>
            <w:pPr>
              <w:spacing w:after="40" w:line="252" w:lineRule="auto"/>
              <w:outlineLvl w:val="9"/>
            </w:pPr>
            <w:r>
              <w:rPr>
                <w:rFonts w:ascii="Arial" w:hAnsi="Arial"/>
                <w:b w:val="0"/>
                <w:color w:val="000000"/>
                <w:sz w:val="20"/>
              </w:rPr>
              <w:t>Token refresh y vencimiento probados. Authorize y consumo local comprobados.</w:t>
            </w:r>
          </w:p>
        </w:tc>
      </w:tr>
      <w:tr>
        <w:trPr>
          <w:cantSplit/>
        </w:trPr>
        <w:tc>
          <w:tcPr>
            <w:tcW w:type="dxa" w:w="567"/>
            <w:vAlign w:val="center"/>
          </w:tcPr>
          <w:p>
            <w:pPr>
              <w:spacing w:after="40" w:line="252" w:lineRule="auto"/>
              <w:jc w:val="center"/>
              <w:outlineLvl w:val="9"/>
            </w:pPr>
            <w:r>
              <w:rPr>
                <w:rFonts w:ascii="Arial" w:hAnsi="Arial"/>
                <w:b w:val="0"/>
                <w:color w:val="000000"/>
                <w:sz w:val="20"/>
              </w:rPr>
              <w:t>4</w:t>
            </w:r>
          </w:p>
        </w:tc>
        <w:tc>
          <w:tcPr>
            <w:tcW w:type="dxa" w:w="4819"/>
            <w:vAlign w:val="center"/>
          </w:tcPr>
          <w:p>
            <w:pPr>
              <w:spacing w:after="40" w:line="252" w:lineRule="auto"/>
              <w:outlineLvl w:val="9"/>
            </w:pPr>
            <w:r>
              <w:rPr>
                <w:rFonts w:ascii="Arial" w:hAnsi="Arial"/>
                <w:b w:val="0"/>
                <w:color w:val="000000"/>
                <w:sz w:val="20"/>
              </w:rPr>
              <w:t>Genera respuestas JSON válidas y estructuradas.</w:t>
            </w:r>
          </w:p>
        </w:tc>
        <w:tc>
          <w:tcPr>
            <w:tcW w:type="dxa" w:w="4252"/>
            <w:vAlign w:val="center"/>
          </w:tcPr>
          <w:p>
            <w:pPr>
              <w:spacing w:after="40" w:line="252" w:lineRule="auto"/>
              <w:outlineLvl w:val="9"/>
            </w:pPr>
            <w:r>
              <w:rPr>
                <w:rFonts w:ascii="Arial" w:hAnsi="Arial"/>
                <w:b w:val="0"/>
                <w:color w:val="000000"/>
                <w:sz w:val="20"/>
              </w:rPr>
              <w:t>JSON y códigos HTTP comprobados por pruebas de consulta escritura y errores.</w:t>
            </w:r>
          </w:p>
        </w:tc>
      </w:tr>
      <w:tr>
        <w:trPr>
          <w:cantSplit/>
        </w:trPr>
        <w:tc>
          <w:tcPr>
            <w:tcW w:type="dxa" w:w="567"/>
            <w:vAlign w:val="center"/>
          </w:tcPr>
          <w:p>
            <w:pPr>
              <w:spacing w:after="40" w:line="252" w:lineRule="auto"/>
              <w:jc w:val="center"/>
              <w:outlineLvl w:val="9"/>
            </w:pPr>
            <w:r>
              <w:rPr>
                <w:rFonts w:ascii="Arial" w:hAnsi="Arial"/>
                <w:b w:val="0"/>
                <w:color w:val="000000"/>
                <w:sz w:val="20"/>
              </w:rPr>
              <w:t>5</w:t>
            </w:r>
          </w:p>
        </w:tc>
        <w:tc>
          <w:tcPr>
            <w:tcW w:type="dxa" w:w="4819"/>
            <w:vAlign w:val="center"/>
          </w:tcPr>
          <w:p>
            <w:pPr>
              <w:spacing w:after="40" w:line="252" w:lineRule="auto"/>
              <w:outlineLvl w:val="9"/>
            </w:pPr>
            <w:r>
              <w:rPr>
                <w:rFonts w:ascii="Arial" w:hAnsi="Arial"/>
                <w:b w:val="0"/>
                <w:color w:val="000000"/>
                <w:sz w:val="20"/>
              </w:rPr>
              <w:t>Implementa control de acceso basado en roles.</w:t>
            </w:r>
          </w:p>
        </w:tc>
        <w:tc>
          <w:tcPr>
            <w:tcW w:type="dxa" w:w="4252"/>
            <w:vAlign w:val="center"/>
          </w:tcPr>
          <w:p>
            <w:pPr>
              <w:spacing w:after="40" w:line="252" w:lineRule="auto"/>
              <w:outlineLvl w:val="9"/>
            </w:pPr>
            <w:r>
              <w:rPr>
                <w:rFonts w:ascii="Arial" w:hAnsi="Arial"/>
                <w:b w:val="0"/>
                <w:color w:val="000000"/>
                <w:sz w:val="20"/>
              </w:rPr>
              <w:t>Cuatro roles precedencia cuenta sin grupo e is_staff aislado comprobados.</w:t>
            </w:r>
          </w:p>
        </w:tc>
      </w:tr>
      <w:tr>
        <w:trPr>
          <w:cantSplit/>
        </w:trPr>
        <w:tc>
          <w:tcPr>
            <w:tcW w:type="dxa" w:w="567"/>
            <w:vAlign w:val="center"/>
          </w:tcPr>
          <w:p>
            <w:pPr>
              <w:spacing w:after="40" w:line="252" w:lineRule="auto"/>
              <w:jc w:val="center"/>
              <w:outlineLvl w:val="9"/>
            </w:pPr>
            <w:r>
              <w:rPr>
                <w:rFonts w:ascii="Arial" w:hAnsi="Arial"/>
                <w:b w:val="0"/>
                <w:color w:val="000000"/>
                <w:sz w:val="20"/>
              </w:rPr>
              <w:t>6</w:t>
            </w:r>
          </w:p>
        </w:tc>
        <w:tc>
          <w:tcPr>
            <w:tcW w:type="dxa" w:w="4819"/>
            <w:vAlign w:val="center"/>
          </w:tcPr>
          <w:p>
            <w:pPr>
              <w:spacing w:after="40" w:line="252" w:lineRule="auto"/>
              <w:outlineLvl w:val="9"/>
            </w:pPr>
            <w:r>
              <w:rPr>
                <w:rFonts w:ascii="Arial" w:hAnsi="Arial"/>
                <w:b w:val="0"/>
                <w:color w:val="000000"/>
                <w:sz w:val="20"/>
              </w:rPr>
              <w:t>Protege adecuadamente la información sensible.</w:t>
            </w:r>
          </w:p>
        </w:tc>
        <w:tc>
          <w:tcPr>
            <w:tcW w:type="dxa" w:w="4252"/>
            <w:vAlign w:val="center"/>
          </w:tcPr>
          <w:p>
            <w:pPr>
              <w:spacing w:after="40" w:line="252" w:lineRule="auto"/>
              <w:outlineLvl w:val="9"/>
            </w:pPr>
            <w:r>
              <w:rPr>
                <w:rFonts w:ascii="Arial" w:hAnsi="Arial"/>
                <w:b w:val="0"/>
                <w:color w:val="000000"/>
                <w:sz w:val="20"/>
              </w:rPr>
              <w:t>Campos por perfil propiedad y errores sin exposición de datos privados comprobados.</w:t>
            </w:r>
          </w:p>
        </w:tc>
      </w:tr>
      <w:tr>
        <w:trPr>
          <w:cantSplit/>
        </w:trPr>
        <w:tc>
          <w:tcPr>
            <w:tcW w:type="dxa" w:w="567"/>
            <w:vAlign w:val="center"/>
          </w:tcPr>
          <w:p>
            <w:pPr>
              <w:spacing w:after="40" w:line="252" w:lineRule="auto"/>
              <w:jc w:val="center"/>
              <w:outlineLvl w:val="9"/>
            </w:pPr>
            <w:r>
              <w:rPr>
                <w:rFonts w:ascii="Arial" w:hAnsi="Arial"/>
                <w:b w:val="0"/>
                <w:color w:val="000000"/>
                <w:sz w:val="20"/>
              </w:rPr>
              <w:t>7</w:t>
            </w:r>
          </w:p>
        </w:tc>
        <w:tc>
          <w:tcPr>
            <w:tcW w:type="dxa" w:w="4819"/>
            <w:vAlign w:val="center"/>
          </w:tcPr>
          <w:p>
            <w:pPr>
              <w:spacing w:after="40" w:line="252" w:lineRule="auto"/>
              <w:outlineLvl w:val="9"/>
            </w:pPr>
            <w:r>
              <w:rPr>
                <w:rFonts w:ascii="Arial" w:hAnsi="Arial"/>
                <w:b w:val="0"/>
                <w:color w:val="000000"/>
                <w:sz w:val="20"/>
              </w:rPr>
              <w:t>Integra Swagger/OpenAPI de forma funcional.</w:t>
            </w:r>
          </w:p>
        </w:tc>
        <w:tc>
          <w:tcPr>
            <w:tcW w:type="dxa" w:w="4252"/>
            <w:vAlign w:val="center"/>
          </w:tcPr>
          <w:p>
            <w:pPr>
              <w:spacing w:after="40" w:line="252" w:lineRule="auto"/>
              <w:outlineLvl w:val="9"/>
            </w:pPr>
            <w:r>
              <w:rPr>
                <w:rFonts w:ascii="Arial" w:hAnsi="Arial"/>
                <w:b w:val="0"/>
                <w:color w:val="000000"/>
                <w:sz w:val="20"/>
              </w:rPr>
              <w:t>Esquema válido sin advertencias. Swagger público y Authorize local comprobados.</w:t>
            </w:r>
          </w:p>
        </w:tc>
      </w:tr>
      <w:tr>
        <w:trPr>
          <w:cantSplit/>
        </w:trPr>
        <w:tc>
          <w:tcPr>
            <w:tcW w:type="dxa" w:w="567"/>
            <w:vAlign w:val="center"/>
          </w:tcPr>
          <w:p>
            <w:pPr>
              <w:spacing w:after="40" w:line="252" w:lineRule="auto"/>
              <w:jc w:val="center"/>
              <w:outlineLvl w:val="9"/>
            </w:pPr>
            <w:r>
              <w:rPr>
                <w:rFonts w:ascii="Arial" w:hAnsi="Arial"/>
                <w:b w:val="0"/>
                <w:color w:val="000000"/>
                <w:sz w:val="20"/>
              </w:rPr>
              <w:t>8</w:t>
            </w:r>
          </w:p>
        </w:tc>
        <w:tc>
          <w:tcPr>
            <w:tcW w:type="dxa" w:w="4819"/>
            <w:vAlign w:val="center"/>
          </w:tcPr>
          <w:p>
            <w:pPr>
              <w:spacing w:after="40" w:line="252" w:lineRule="auto"/>
              <w:outlineLvl w:val="9"/>
            </w:pPr>
            <w:r>
              <w:rPr>
                <w:rFonts w:ascii="Arial" w:hAnsi="Arial"/>
                <w:b w:val="0"/>
                <w:color w:val="000000"/>
                <w:sz w:val="20"/>
              </w:rPr>
              <w:t>Aplica recomendaciones de seguridad obtenidas mediante IA.</w:t>
            </w:r>
          </w:p>
        </w:tc>
        <w:tc>
          <w:tcPr>
            <w:tcW w:type="dxa" w:w="4252"/>
            <w:vAlign w:val="center"/>
          </w:tcPr>
          <w:p>
            <w:pPr>
              <w:spacing w:after="40" w:line="252" w:lineRule="auto"/>
              <w:outlineLvl w:val="9"/>
            </w:pPr>
            <w:r>
              <w:rPr>
                <w:rFonts w:ascii="Arial" w:hAnsi="Arial"/>
                <w:b w:val="0"/>
                <w:color w:val="000000"/>
                <w:sz w:val="20"/>
              </w:rPr>
              <w:t>Medidas de seguridad documentadas y verificadas mediante pruebas.</w:t>
            </w:r>
          </w:p>
        </w:tc>
      </w:tr>
      <w:tr>
        <w:trPr>
          <w:cantSplit/>
        </w:trPr>
        <w:tc>
          <w:tcPr>
            <w:tcW w:type="dxa" w:w="567"/>
            <w:vAlign w:val="center"/>
          </w:tcPr>
          <w:p>
            <w:pPr>
              <w:spacing w:after="40" w:line="252" w:lineRule="auto"/>
              <w:jc w:val="center"/>
              <w:outlineLvl w:val="9"/>
            </w:pPr>
            <w:r>
              <w:rPr>
                <w:rFonts w:ascii="Arial" w:hAnsi="Arial"/>
                <w:b w:val="0"/>
                <w:color w:val="000000"/>
                <w:sz w:val="20"/>
              </w:rPr>
              <w:t>9</w:t>
            </w:r>
          </w:p>
        </w:tc>
        <w:tc>
          <w:tcPr>
            <w:tcW w:type="dxa" w:w="4819"/>
            <w:vAlign w:val="center"/>
          </w:tcPr>
          <w:p>
            <w:pPr>
              <w:spacing w:after="40" w:line="252" w:lineRule="auto"/>
              <w:outlineLvl w:val="9"/>
            </w:pPr>
            <w:r>
              <w:rPr>
                <w:rFonts w:ascii="Arial" w:hAnsi="Arial"/>
                <w:b w:val="0"/>
                <w:color w:val="000000"/>
                <w:sz w:val="20"/>
              </w:rPr>
              <w:t>Despliega exitosamente la solución en AWS EC2.</w:t>
            </w:r>
          </w:p>
        </w:tc>
        <w:tc>
          <w:tcPr>
            <w:tcW w:type="dxa" w:w="4252"/>
            <w:vAlign w:val="center"/>
          </w:tcPr>
          <w:p>
            <w:pPr>
              <w:spacing w:after="40" w:line="252" w:lineRule="auto"/>
              <w:outlineLvl w:val="9"/>
            </w:pPr>
            <w:r>
              <w:rPr>
                <w:rFonts w:ascii="Arial" w:hAnsi="Arial"/>
                <w:b w:val="0"/>
                <w:color w:val="000000"/>
                <w:sz w:val="20"/>
              </w:rPr>
              <w:t>Pendiente AWS aplazado. Preparación inicial sin base o servicios comprobados.</w:t>
            </w:r>
          </w:p>
        </w:tc>
      </w:tr>
      <w:tr>
        <w:trPr>
          <w:cantSplit/>
        </w:trPr>
        <w:tc>
          <w:tcPr>
            <w:tcW w:type="dxa" w:w="567"/>
            <w:vAlign w:val="center"/>
          </w:tcPr>
          <w:p>
            <w:pPr>
              <w:spacing w:after="40" w:line="252" w:lineRule="auto"/>
              <w:jc w:val="center"/>
              <w:outlineLvl w:val="9"/>
            </w:pPr>
            <w:r>
              <w:rPr>
                <w:rFonts w:ascii="Arial" w:hAnsi="Arial"/>
                <w:b w:val="0"/>
                <w:color w:val="000000"/>
                <w:sz w:val="20"/>
              </w:rPr>
              <w:t>10</w:t>
            </w:r>
          </w:p>
        </w:tc>
        <w:tc>
          <w:tcPr>
            <w:tcW w:type="dxa" w:w="4819"/>
            <w:vAlign w:val="center"/>
          </w:tcPr>
          <w:p>
            <w:pPr>
              <w:spacing w:after="40" w:line="252" w:lineRule="auto"/>
              <w:outlineLvl w:val="9"/>
            </w:pPr>
            <w:r>
              <w:rPr>
                <w:rFonts w:ascii="Arial" w:hAnsi="Arial"/>
                <w:b w:val="0"/>
                <w:color w:val="000000"/>
                <w:sz w:val="20"/>
              </w:rPr>
              <w:t>Presenta documentación y demostración técnica completa.</w:t>
            </w:r>
          </w:p>
        </w:tc>
        <w:tc>
          <w:tcPr>
            <w:tcW w:type="dxa" w:w="4252"/>
            <w:vAlign w:val="center"/>
          </w:tcPr>
          <w:p>
            <w:pPr>
              <w:spacing w:after="40" w:line="252" w:lineRule="auto"/>
              <w:outlineLvl w:val="9"/>
            </w:pPr>
            <w:r>
              <w:rPr>
                <w:rFonts w:ascii="Arial" w:hAnsi="Arial"/>
                <w:b w:val="0"/>
                <w:color w:val="000000"/>
                <w:sz w:val="20"/>
              </w:rPr>
              <w:t>README guía informe y evidencia local. Demostración presencial y remota pendientes.</w:t>
            </w:r>
          </w:p>
        </w:tc>
      </w:tr>
    </w:tbl>
    <w:p>
      <w:pPr>
        <w:spacing w:after="40"/>
        <w:outlineLvl w:val="9"/>
      </w:pPr>
    </w:p>
    <w:p>
      <w:pPr>
        <w:outlineLvl w:val="9"/>
      </w:pPr>
      <w:r>
        <w:t>El criterio 9 permanece pendiente porque AWS está aplazado. Tener código, guía o preparación del entorno no demuestra que la API esté publicada. El criterio 10 cuenta con documentación local, pero la demostración presencial y evidencia remota todavía requieren ejecución.</w:t>
      </w:r>
    </w:p>
    <w:p>
      <w:r>
        <w:br w:type="page"/>
      </w:r>
    </w:p>
    <w:p>
      <w:pPr>
        <w:pStyle w:val="TituloInforme"/>
        <w:outlineLvl w:val="9"/>
      </w:pPr>
      <w:r>
        <w:t>AWS conclusiones y fuentes</w:t>
      </w:r>
    </w:p>
    <w:p>
      <w:pPr>
        <w:pStyle w:val="SubtituloInforme"/>
        <w:outlineLvl w:val="9"/>
      </w:pPr>
      <w:r>
        <w:t>Estado de EC2</w:t>
      </w:r>
    </w:p>
    <w:p>
      <w:pPr>
        <w:outlineLvl w:val="9"/>
      </w:pPr>
      <w:r>
        <w:t>El registro anterior confirma acceso inicial a la instancia, clonación del repositorio y preparación del entorno virtual con dependencias. No confirma una base remota operativa, migraciones aplicadas ni servicios Gunicorn y NGINX activos. La ampliación API tampoco se ha demostrado desde esa instancia. El trabajo de AWS está aplazado por decisión del usuario.</w:t>
      </w:r>
    </w:p>
    <w:p>
      <w:pPr>
        <w:outlineLvl w:val="9"/>
      </w:pPr>
      <w:r>
        <w:t>Para cerrar el requisito se debe comprobar base y migraciones, publicar web y servicios REST, configurar acceso remoto y reunir capturas reales de EC2, endpoints, Swagger y JWT. No se incluyen IP, usuario SSH, claves o contraseñas en este informe. La guía despliegue_ec2.md conserva los pasos propuestos, sin servir como evidencia de ejecución.</w:t>
      </w:r>
    </w:p>
    <w:p>
      <w:pPr>
        <w:pStyle w:val="SubtituloInforme"/>
        <w:outlineLvl w:val="9"/>
      </w:pPr>
      <w:r>
        <w:t>Conclusiones</w:t>
      </w:r>
    </w:p>
    <w:p>
      <w:pPr>
        <w:outlineLvl w:val="9"/>
      </w:pPr>
      <w:r>
        <w:t>La ampliación permite consultar y gestionar clientes discos y ventas mediante JSON con JWT. Las 129 pruebas totales aprobaron y la interfaz web conserva sus funciones. Los servicios restringen operaciones y campos según perfil; el Cliente compra para su propia cuenta sin elegir identidad fecha o precio. El funcionamiento local cuenta con pruebas repetibles y documentación para su consumo.</w:t>
      </w:r>
    </w:p>
    <w:p>
      <w:pPr>
        <w:outlineLvl w:val="9"/>
      </w:pPr>
      <w:r>
        <w:t>La separación de roles limita tanto operaciones como campos de salida. El stock y el precio histórico utilizan los modelos existentes. Para completar la evaluación falta ejecutar el despliegue remoto y la demostración presencial; las comprobaciones locales no reemplazan esas evidencias.</w:t>
      </w:r>
    </w:p>
    <w:p>
      <w:pPr>
        <w:pStyle w:val="SubtituloInforme"/>
        <w:outlineLvl w:val="9"/>
      </w:pPr>
      <w:r>
        <w:t>Fuentes entregadas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4139"/>
        <w:gridCol w:w="5499"/>
      </w:tblGrid>
      <w:tr>
        <w:trPr>
          <w:tblHeader w:val="true"/>
          <w:cantSplit/>
        </w:trPr>
        <w:tc>
          <w:tcPr>
            <w:tcW w:type="dxa" w:w="4139"/>
            <w:vAlign w:val="center"/>
            <w:shd w:fill="EEEEEE"/>
          </w:tcPr>
          <w:p>
            <w:pPr>
              <w:spacing w:after="40" w:line="252" w:lineRule="auto"/>
              <w:outlineLvl w:val="9"/>
            </w:pPr>
            <w:r>
              <w:rPr>
                <w:rFonts w:ascii="Arial" w:hAnsi="Arial"/>
                <w:b/>
                <w:color w:val="000000"/>
                <w:sz w:val="20"/>
              </w:rPr>
              <w:t>Fuente</w:t>
            </w:r>
          </w:p>
        </w:tc>
        <w:tc>
          <w:tcPr>
            <w:tcW w:type="dxa" w:w="5499"/>
            <w:vAlign w:val="center"/>
            <w:shd w:fill="EEEEEE"/>
          </w:tcPr>
          <w:p>
            <w:pPr>
              <w:spacing w:after="40" w:line="252" w:lineRule="auto"/>
              <w:outlineLvl w:val="9"/>
            </w:pPr>
            <w:r>
              <w:rPr>
                <w:rFonts w:ascii="Arial" w:hAnsi="Arial"/>
                <w:b/>
                <w:color w:val="000000"/>
                <w:sz w:val="20"/>
              </w:rPr>
              <w:t>Contenido utilizado</w:t>
            </w:r>
          </w:p>
        </w:tc>
      </w:tr>
      <w:tr>
        <w:trPr>
          <w:cantSplit/>
        </w:trPr>
        <w:tc>
          <w:tcPr>
            <w:tcW w:type="dxa" w:w="4139"/>
            <w:vAlign w:val="center"/>
          </w:tcPr>
          <w:p>
            <w:pPr>
              <w:spacing w:after="40" w:line="252" w:lineRule="auto"/>
              <w:outlineLvl w:val="9"/>
            </w:pPr>
            <w:r>
              <w:rPr>
                <w:rFonts w:ascii="Arial" w:hAnsi="Arial"/>
                <w:b w:val="0"/>
                <w:color w:val="000000"/>
                <w:sz w:val="20"/>
              </w:rPr>
              <w:t>Eva Sumativa 3 - flex.docx</w:t>
            </w:r>
          </w:p>
        </w:tc>
        <w:tc>
          <w:tcPr>
            <w:tcW w:type="dxa" w:w="5499"/>
            <w:vAlign w:val="center"/>
          </w:tcPr>
          <w:p>
            <w:pPr>
              <w:spacing w:after="40" w:line="252" w:lineRule="auto"/>
              <w:outlineLvl w:val="9"/>
            </w:pPr>
            <w:r>
              <w:rPr>
                <w:rFonts w:ascii="Arial" w:hAnsi="Arial"/>
                <w:b w:val="0"/>
                <w:color w:val="000000"/>
                <w:sz w:val="20"/>
              </w:rPr>
              <w:t>Requerimientos funcionales técnicos de seguridad infraestructura entregables y Escala de Apreciación; sin paginación Word supuesta.</w:t>
            </w:r>
          </w:p>
        </w:tc>
      </w:tr>
      <w:tr>
        <w:trPr>
          <w:cantSplit/>
        </w:trPr>
        <w:tc>
          <w:tcPr>
            <w:tcW w:type="dxa" w:w="4139"/>
            <w:vAlign w:val="center"/>
          </w:tcPr>
          <w:p>
            <w:pPr>
              <w:spacing w:after="40" w:line="252" w:lineRule="auto"/>
              <w:outlineLvl w:val="9"/>
            </w:pPr>
            <w:r>
              <w:rPr>
                <w:rFonts w:ascii="Arial" w:hAnsi="Arial"/>
                <w:b w:val="0"/>
                <w:color w:val="000000"/>
                <w:sz w:val="20"/>
              </w:rPr>
              <w:t>10 API RESTFUL.pdf</w:t>
              <w:br/>
              <w:t>Páginas 1 a 3</w:t>
            </w:r>
          </w:p>
        </w:tc>
        <w:tc>
          <w:tcPr>
            <w:tcW w:type="dxa" w:w="5499"/>
            <w:vAlign w:val="center"/>
          </w:tcPr>
          <w:p>
            <w:pPr>
              <w:spacing w:after="40" w:line="252" w:lineRule="auto"/>
              <w:outlineLvl w:val="9"/>
            </w:pPr>
            <w:r>
              <w:rPr>
                <w:rFonts w:ascii="Arial" w:hAnsi="Arial"/>
                <w:b w:val="0"/>
                <w:color w:val="000000"/>
                <w:sz w:val="20"/>
              </w:rPr>
              <w:t>Aplicación API instalación rutas y respuesta JSON.</w:t>
            </w:r>
          </w:p>
        </w:tc>
      </w:tr>
      <w:tr>
        <w:trPr>
          <w:cantSplit/>
        </w:trPr>
        <w:tc>
          <w:tcPr>
            <w:tcW w:type="dxa" w:w="4139"/>
            <w:vAlign w:val="center"/>
          </w:tcPr>
          <w:p>
            <w:pPr>
              <w:spacing w:after="40" w:line="252" w:lineRule="auto"/>
              <w:outlineLvl w:val="9"/>
            </w:pPr>
            <w:r>
              <w:rPr>
                <w:rFonts w:ascii="Arial" w:hAnsi="Arial"/>
                <w:b w:val="0"/>
                <w:color w:val="000000"/>
                <w:sz w:val="20"/>
              </w:rPr>
              <w:t>11 DJANGO RESTFRAMEWORK A TRAVES DE FUNCIONES.pdf</w:t>
              <w:br/>
              <w:t>Páginas 1 a 5</w:t>
            </w:r>
          </w:p>
        </w:tc>
        <w:tc>
          <w:tcPr>
            <w:tcW w:type="dxa" w:w="5499"/>
            <w:vAlign w:val="center"/>
          </w:tcPr>
          <w:p>
            <w:pPr>
              <w:spacing w:after="40" w:line="252" w:lineRule="auto"/>
              <w:outlineLvl w:val="9"/>
            </w:pPr>
            <w:r>
              <w:rPr>
                <w:rFonts w:ascii="Arial" w:hAnsi="Arial"/>
                <w:b w:val="0"/>
                <w:color w:val="000000"/>
                <w:sz w:val="20"/>
              </w:rPr>
              <w:t>Serializers validación vistas por función rutas lista y detalle.</w:t>
            </w:r>
          </w:p>
        </w:tc>
      </w:tr>
      <w:tr>
        <w:trPr>
          <w:cantSplit/>
        </w:trPr>
        <w:tc>
          <w:tcPr>
            <w:tcW w:type="dxa" w:w="4139"/>
            <w:vAlign w:val="center"/>
          </w:tcPr>
          <w:p>
            <w:pPr>
              <w:spacing w:after="40" w:line="252" w:lineRule="auto"/>
              <w:outlineLvl w:val="9"/>
            </w:pPr>
            <w:r>
              <w:rPr>
                <w:rFonts w:ascii="Arial" w:hAnsi="Arial"/>
                <w:b w:val="0"/>
                <w:color w:val="000000"/>
                <w:sz w:val="20"/>
              </w:rPr>
              <w:t>12 Swagger - JWT.pdf</w:t>
              <w:br/>
              <w:t>Páginas 1 a 12</w:t>
            </w:r>
          </w:p>
        </w:tc>
        <w:tc>
          <w:tcPr>
            <w:tcW w:type="dxa" w:w="5499"/>
            <w:vAlign w:val="center"/>
          </w:tcPr>
          <w:p>
            <w:pPr>
              <w:spacing w:after="40" w:line="252" w:lineRule="auto"/>
              <w:outlineLvl w:val="9"/>
            </w:pPr>
            <w:r>
              <w:rPr>
                <w:rFonts w:ascii="Arial" w:hAnsi="Arial"/>
                <w:b w:val="0"/>
                <w:color w:val="000000"/>
                <w:sz w:val="20"/>
              </w:rPr>
              <w:t>Dependencias configuración esquema documentación ejemplos respuestas y rutas JWT.</w:t>
            </w:r>
          </w:p>
        </w:tc>
      </w:tr>
      <w:tr>
        <w:trPr>
          <w:cantSplit/>
        </w:trPr>
        <w:tc>
          <w:tcPr>
            <w:tcW w:type="dxa" w:w="4139"/>
            <w:vAlign w:val="center"/>
          </w:tcPr>
          <w:p>
            <w:pPr>
              <w:spacing w:after="40" w:line="252" w:lineRule="auto"/>
              <w:outlineLvl w:val="9"/>
            </w:pPr>
            <w:r>
              <w:rPr>
                <w:rFonts w:ascii="Arial" w:hAnsi="Arial"/>
                <w:b w:val="0"/>
                <w:color w:val="000000"/>
                <w:sz w:val="20"/>
              </w:rPr>
              <w:t>12 Swagger - JWT.pdf</w:t>
              <w:br/>
              <w:t>Páginas 13 a 17</w:t>
            </w:r>
          </w:p>
        </w:tc>
        <w:tc>
          <w:tcPr>
            <w:tcW w:type="dxa" w:w="5499"/>
            <w:vAlign w:val="center"/>
          </w:tcPr>
          <w:p>
            <w:pPr>
              <w:spacing w:after="40" w:line="252" w:lineRule="auto"/>
              <w:outlineLvl w:val="9"/>
            </w:pPr>
            <w:r>
              <w:rPr>
                <w:rFonts w:ascii="Arial" w:hAnsi="Arial"/>
                <w:b w:val="0"/>
                <w:color w:val="000000"/>
                <w:sz w:val="20"/>
              </w:rPr>
              <w:t>Obtención de tokens Authorize y consumo de endpoints.</w:t>
            </w:r>
          </w:p>
        </w:tc>
      </w:tr>
      <w:tr>
        <w:trPr>
          <w:cantSplit/>
        </w:trPr>
        <w:tc>
          <w:tcPr>
            <w:tcW w:type="dxa" w:w="4139"/>
            <w:vAlign w:val="center"/>
          </w:tcPr>
          <w:p>
            <w:pPr>
              <w:spacing w:after="40" w:line="252" w:lineRule="auto"/>
              <w:outlineLvl w:val="9"/>
            </w:pPr>
            <w:r>
              <w:rPr>
                <w:rFonts w:ascii="Arial" w:hAnsi="Arial"/>
                <w:b w:val="0"/>
                <w:color w:val="000000"/>
                <w:sz w:val="20"/>
              </w:rPr>
              <w:t>README API Sumativa3 y código del proyecto</w:t>
            </w:r>
          </w:p>
        </w:tc>
        <w:tc>
          <w:tcPr>
            <w:tcW w:type="dxa" w:w="5499"/>
            <w:vAlign w:val="center"/>
          </w:tcPr>
          <w:p>
            <w:pPr>
              <w:spacing w:after="40" w:line="252" w:lineRule="auto"/>
              <w:outlineLvl w:val="9"/>
            </w:pPr>
            <w:r>
              <w:rPr>
                <w:rFonts w:ascii="Arial" w:hAnsi="Arial"/>
                <w:b w:val="0"/>
                <w:color w:val="000000"/>
                <w:sz w:val="20"/>
              </w:rPr>
              <w:t>Contrato específico campos por perfil stock ejemplos y resultados de verificación.</w:t>
            </w:r>
          </w:p>
        </w:tc>
      </w:tr>
    </w:tbl>
    <w:p>
      <w:pPr>
        <w:spacing w:after="40"/>
        <w:outlineLvl w:val="9"/>
      </w:pPr>
    </w:p>
    <w:p>
      <w:pPr>
        <w:outlineLvl w:val="9"/>
      </w:pPr>
      <w:r>
        <w:t>Los PDF de Unidad 3 explican el procedimiento. Las capturas del curso no se utilizan como prueba del funcionamiento de Feria NewMix. La privacidad por rol y la compra propia se aplican al contexto de este proyecto.</w:t>
      </w:r>
    </w:p>
    <w:sectPr w:rsidR="00FC693F" w:rsidRPr="0006063C" w:rsidSect="00034616">
      <w:footerReference w:type="default" r:id="rId9"/>
      <w:pgSz w:w="11906" w:h="16838"/>
      <w:pgMar w:top="1134" w:right="1134" w:bottom="1134" w:left="113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outlineLvl w:val="9"/>
    </w:pPr>
    <w:r>
      <w:rPr>
        <w:rFonts w:ascii="Arial" w:hAnsi="Arial"/>
        <w:sz w:val="18"/>
      </w:rPr>
      <w:t xml:space="preserve">Feria NewMix  |  Sumativa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outlineLvl w:val="9"/>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outlineLvl w:val="9"/>
    </w:pPr>
    <w:rPr>
      <w:rFonts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Informe">
    <w:name w:val="TituloInforme"/>
    <w:basedOn w:val="Normal"/>
    <w:pPr>
      <w:keepNext/>
      <w:spacing w:before="0" w:after="180"/>
      <w:outlineLvl w:val="9"/>
    </w:pPr>
    <w:rPr>
      <w:rFonts w:ascii="Arial" w:hAnsi="Arial"/>
      <w:b/>
      <w:color w:val="000000"/>
      <w:sz w:val="30"/>
    </w:rPr>
  </w:style>
  <w:style w:type="paragraph" w:customStyle="1" w:styleId="SubtituloInforme">
    <w:name w:val="SubtituloInforme"/>
    <w:basedOn w:val="Normal"/>
    <w:pPr>
      <w:keepNext/>
      <w:spacing w:before="180" w:after="100"/>
      <w:outlineLvl w:val="9"/>
    </w:pPr>
    <w:rPr>
      <w:rFonts w:ascii="Arial" w:hAnsi="Arial"/>
      <w:b/>
      <w:color w:val="000000"/>
      <w:sz w:val="24"/>
    </w:rPr>
  </w:style>
  <w:style w:type="paragraph" w:customStyle="1" w:styleId="CodigoInforme">
    <w:name w:val="CodigoInforme"/>
    <w:basedOn w:val="Normal"/>
    <w:pPr>
      <w:keepNext w:val="0"/>
      <w:spacing w:before="0" w:after="80" w:line="240" w:lineRule="auto"/>
      <w:outlineLvl w:val="9"/>
    </w:pPr>
    <w:rPr>
      <w:rFonts w:ascii="Consolas" w:hAnsi="Consolas"/>
      <w:b w:val="0"/>
      <w:color w:val="000000"/>
      <w:sz w:val="18"/>
    </w:rPr>
  </w:style>
  <w:style w:type="paragraph" w:customStyle="1" w:styleId="PieImagen">
    <w:name w:val="PieImagen"/>
    <w:basedOn w:val="Normal"/>
    <w:pPr>
      <w:keepNext w:val="0"/>
      <w:spacing w:before="0" w:after="140"/>
      <w:outlineLvl w:val="9"/>
    </w:pPr>
    <w:rPr>
      <w:rFonts w:ascii="Arial" w:hAnsi="Arial"/>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tecnico Sumativa 3 Feria NewMix</dc:title>
  <dc:subject>API REST JWT Swagger y estado de AWS</dc:subject>
  <dc:creator/>
  <cp:keywords/>
  <dc:description/>
  <cp:lastModifiedBy/>
  <cp:revision>1</cp:revision>
  <dcterms:created xsi:type="dcterms:W3CDTF">2013-12-23T23:15:00Z</dcterms:created>
  <dcterms:modified xsi:type="dcterms:W3CDTF">2013-12-23T23:15:00Z</dcterms:modified>
  <cp:category/>
</cp:coreProperties>
</file>