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5320C8">
      <w:pPr>
        <w:pStyle w:val="2"/>
        <w:bidi w:val="0"/>
        <w:jc w:val="center"/>
        <w:rPr>
          <w:rFonts w:hint="default" w:eastAsiaTheme="minor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量化投资作业1：因子报告</w:t>
      </w:r>
    </w:p>
    <w:p w14:paraId="6C5AE69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/>
          <w:bCs w:val="0"/>
          <w:iCs/>
          <w:sz w:val="24"/>
          <w:szCs w:val="24"/>
        </w:rPr>
      </w:pPr>
      <w:r>
        <w:rPr>
          <w:rFonts w:hint="eastAsia" w:ascii="宋体" w:hAnsi="宋体" w:eastAsia="宋体" w:cs="宋体"/>
          <w:b/>
          <w:bCs w:val="0"/>
          <w:iCs/>
          <w:sz w:val="24"/>
          <w:szCs w:val="24"/>
          <w:lang w:val="en-US" w:eastAsia="zh-CN"/>
        </w:rPr>
        <w:t>因子1：</w:t>
      </w:r>
      <w:r>
        <w:rPr>
          <w:rFonts w:hint="eastAsia" w:ascii="宋体" w:hAnsi="宋体" w:eastAsia="宋体" w:cs="宋体"/>
          <w:b/>
          <w:bCs w:val="0"/>
          <w:iCs/>
          <w:sz w:val="24"/>
          <w:szCs w:val="24"/>
        </w:rPr>
        <w:t>return_1m</w:t>
      </w:r>
    </w:p>
    <w:p w14:paraId="666E25C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 w:ascii="宋体" w:hAnsi="宋体" w:eastAsia="宋体" w:cs="宋体"/>
          <w:b w:val="0"/>
          <w:bCs/>
          <w:i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iCs/>
          <w:sz w:val="24"/>
          <w:szCs w:val="24"/>
          <w:lang w:val="en-US" w:eastAsia="zh-CN"/>
        </w:rPr>
        <w:t>因子return_1m代表个股最近21个交易日区间收益率。其在2010年12月底至2024年11月底期间的累计RankIC值（累计采用单利计算）如下图所示。</w:t>
      </w:r>
    </w:p>
    <w:p w14:paraId="4D3CC37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textAlignment w:val="auto"/>
        <w:rPr>
          <w:rFonts w:hint="default" w:ascii="宋体" w:hAnsi="宋体" w:eastAsia="宋体" w:cs="宋体"/>
          <w:b w:val="0"/>
          <w:bCs/>
          <w:i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iCs/>
          <w:sz w:val="24"/>
          <w:szCs w:val="24"/>
          <w:lang w:val="en-US" w:eastAsia="zh-CN"/>
        </w:rPr>
        <w:drawing>
          <wp:inline distT="0" distB="0" distL="114300" distR="114300">
            <wp:extent cx="5266690" cy="2633345"/>
            <wp:effectExtent l="0" t="0" r="3810" b="8255"/>
            <wp:docPr id="1" name="图片 1" descr="factor_return_1m_Rank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factor_return_1m_RankIC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419B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 w:ascii="宋体" w:hAnsi="宋体" w:eastAsia="宋体" w:cs="宋体"/>
          <w:b w:val="0"/>
          <w:bCs/>
          <w:i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iCs/>
          <w:sz w:val="24"/>
          <w:szCs w:val="24"/>
          <w:lang w:val="en-US" w:eastAsia="zh-CN"/>
        </w:rPr>
        <w:t>因子return_1m的RankIC均值为-0.0581。从图中可以看出，其累积RankIC值从最开始便为负数，且随着年份的增加，累计RankIC值总体呈越来越小的趋势。</w:t>
      </w:r>
    </w:p>
    <w:p w14:paraId="68D5622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 w:ascii="宋体" w:hAnsi="宋体" w:eastAsia="宋体" w:cs="宋体"/>
          <w:b w:val="0"/>
          <w:bCs/>
          <w:i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iCs/>
          <w:sz w:val="24"/>
          <w:szCs w:val="24"/>
          <w:lang w:val="en-US" w:eastAsia="zh-CN"/>
        </w:rPr>
        <w:t>因子return_1m在2010年12月底至2024年11月底期间的5分层收益率曲线如下图所示，其中Layer1包含对非空因子值进行降序排列后前20%的股票。</w:t>
      </w:r>
    </w:p>
    <w:p w14:paraId="2DA7F04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textAlignment w:val="auto"/>
        <w:rPr>
          <w:rFonts w:hint="default" w:ascii="宋体" w:hAnsi="宋体" w:eastAsia="宋体" w:cs="宋体"/>
          <w:b w:val="0"/>
          <w:bCs/>
          <w:i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iCs/>
          <w:sz w:val="24"/>
          <w:szCs w:val="24"/>
          <w:lang w:val="en-US" w:eastAsia="zh-CN"/>
        </w:rPr>
        <w:drawing>
          <wp:inline distT="0" distB="0" distL="114300" distR="114300">
            <wp:extent cx="5266690" cy="2633345"/>
            <wp:effectExtent l="0" t="0" r="3810" b="8255"/>
            <wp:docPr id="2" name="图片 2" descr="factor_return_1m_Lay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factor_return_1m_Layer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47A5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jc w:val="left"/>
        <w:textAlignment w:val="auto"/>
        <w:rPr>
          <w:rFonts w:hint="eastAsia" w:ascii="宋体" w:hAnsi="宋体" w:eastAsia="宋体" w:cs="宋体"/>
          <w:b w:val="0"/>
          <w:bCs/>
          <w:i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iCs/>
          <w:sz w:val="24"/>
          <w:szCs w:val="24"/>
          <w:lang w:val="en-US" w:eastAsia="zh-CN"/>
        </w:rPr>
        <w:t>从图中可以看出，Layer1（因子值最大的20%股票）的累计收益最低，且始终在0上下浮动。而其它层的累计收益随着年份的增加总体呈上升趋势，且Layer5（因子值最小的20%股票）在大多数时间下的累计收益高于其它层。</w:t>
      </w:r>
    </w:p>
    <w:p w14:paraId="6A2B255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jc w:val="left"/>
        <w:textAlignment w:val="auto"/>
        <w:rPr>
          <w:rFonts w:hint="eastAsia" w:ascii="宋体" w:hAnsi="宋体" w:eastAsia="宋体" w:cs="宋体"/>
          <w:b w:val="0"/>
          <w:bCs/>
          <w:i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iCs/>
          <w:sz w:val="24"/>
          <w:szCs w:val="24"/>
          <w:lang w:val="en-US" w:eastAsia="zh-CN"/>
        </w:rPr>
        <w:t>分析上面的两幅图可以推断，因子return_1m是一个</w:t>
      </w:r>
      <w:r>
        <w:rPr>
          <w:rFonts w:hint="eastAsia" w:ascii="宋体" w:hAnsi="宋体" w:eastAsia="宋体" w:cs="宋体"/>
          <w:b/>
          <w:bCs w:val="0"/>
          <w:iCs/>
          <w:sz w:val="24"/>
          <w:szCs w:val="24"/>
          <w:lang w:val="en-US" w:eastAsia="zh-CN"/>
        </w:rPr>
        <w:t>负向</w:t>
      </w:r>
      <w:r>
        <w:rPr>
          <w:rFonts w:hint="eastAsia" w:ascii="宋体" w:hAnsi="宋体" w:eastAsia="宋体" w:cs="宋体"/>
          <w:b w:val="0"/>
          <w:bCs/>
          <w:iCs/>
          <w:sz w:val="24"/>
          <w:szCs w:val="24"/>
          <w:lang w:val="en-US" w:eastAsia="zh-CN"/>
        </w:rPr>
        <w:t>因子，在月度频率上，过去涨得好的股票未来倾向于下跌，具有显著的负向预测能力。事实上它是动量反转类因子，具有短期反转效应：在A股市场，由于散户占比较高，短期价格容易因情绪驱动而出现过度反应。当一只股票在短期内涨幅过大时，往往透支了未来预期，导致资金获利了结，引发价格回调；反之，短期超跌股则容易迎来均值回归的修复行情。因此，在构建多因子模型时，我们通常会将该因子方向取反使用。</w:t>
      </w:r>
    </w:p>
    <w:p w14:paraId="774C710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default" w:ascii="宋体" w:hAnsi="宋体" w:eastAsia="宋体" w:cs="宋体"/>
          <w:b/>
          <w:bCs w:val="0"/>
          <w:i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iCs/>
          <w:sz w:val="24"/>
          <w:szCs w:val="24"/>
          <w:lang w:val="en-US" w:eastAsia="zh-CN"/>
        </w:rPr>
        <w:t>因子2：turn_1m</w:t>
      </w:r>
    </w:p>
    <w:p w14:paraId="1D78DBA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="宋体" w:hAnsi="宋体" w:eastAsia="宋体" w:cs="宋体"/>
          <w:b w:val="0"/>
          <w:bCs/>
          <w:i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iCs/>
          <w:sz w:val="24"/>
          <w:szCs w:val="24"/>
          <w:lang w:val="en-US" w:eastAsia="zh-CN"/>
        </w:rPr>
        <w:t>因子return_1m代表个股最近21个交易日内，每日换手率的均值。其在2010年12月底至2024年11月底期间的累计RankIC值（累计采用单利计算）如下图所示。</w:t>
      </w:r>
    </w:p>
    <w:p w14:paraId="2A69892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textAlignment w:val="auto"/>
        <w:rPr>
          <w:rFonts w:hint="default" w:ascii="宋体" w:hAnsi="宋体" w:eastAsia="宋体" w:cs="宋体"/>
          <w:b w:val="0"/>
          <w:bCs/>
          <w:i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iCs/>
          <w:sz w:val="24"/>
          <w:szCs w:val="24"/>
          <w:lang w:val="en-US" w:eastAsia="zh-CN"/>
        </w:rPr>
        <w:drawing>
          <wp:inline distT="0" distB="0" distL="114300" distR="114300">
            <wp:extent cx="5266690" cy="2633345"/>
            <wp:effectExtent l="0" t="0" r="3810" b="8255"/>
            <wp:docPr id="3" name="图片 3" descr="factor_turn_1m_Rank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factor_turn_1m_RankIC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3738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 w:ascii="宋体" w:hAnsi="宋体" w:eastAsia="宋体" w:cs="宋体"/>
          <w:b w:val="0"/>
          <w:bCs/>
          <w:i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iCs/>
          <w:sz w:val="24"/>
          <w:szCs w:val="24"/>
          <w:lang w:val="en-US" w:eastAsia="zh-CN"/>
        </w:rPr>
        <w:t>因子turn_1m的RankIC均值为-0.0934。从图中可以看出，其累积RankIC值从最开始便为负数，且随着年份的增加，累计RankIC值总体呈越来越小的趋势。</w:t>
      </w:r>
    </w:p>
    <w:p w14:paraId="7CB811C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 w:ascii="宋体" w:hAnsi="宋体" w:eastAsia="宋体" w:cs="宋体"/>
          <w:b w:val="0"/>
          <w:bCs/>
          <w:i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iCs/>
          <w:sz w:val="24"/>
          <w:szCs w:val="24"/>
          <w:lang w:val="en-US" w:eastAsia="zh-CN"/>
        </w:rPr>
        <w:t>因子turn_1m在2010年12月底至2024年11月底期间的5分层收益率曲线如下图所示，其中Layer1包含对非空因子值进行降序排列后前20%的股票。</w:t>
      </w:r>
    </w:p>
    <w:p w14:paraId="1261DB5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default" w:ascii="宋体" w:hAnsi="宋体" w:eastAsia="宋体" w:cs="宋体"/>
          <w:b w:val="0"/>
          <w:bCs/>
          <w:i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iCs/>
          <w:sz w:val="24"/>
          <w:szCs w:val="24"/>
          <w:lang w:val="en-US" w:eastAsia="zh-CN"/>
        </w:rPr>
        <w:drawing>
          <wp:inline distT="0" distB="0" distL="114300" distR="114300">
            <wp:extent cx="5266690" cy="2633345"/>
            <wp:effectExtent l="0" t="0" r="3810" b="8255"/>
            <wp:docPr id="4" name="图片 4" descr="factor_turn_1m_Lay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factor_turn_1m_Layer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AEE4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jc w:val="left"/>
        <w:textAlignment w:val="auto"/>
        <w:rPr>
          <w:rFonts w:hint="eastAsia" w:ascii="宋体" w:hAnsi="宋体" w:eastAsia="宋体" w:cs="宋体"/>
          <w:b w:val="0"/>
          <w:bCs/>
          <w:i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iCs/>
          <w:sz w:val="24"/>
          <w:szCs w:val="24"/>
          <w:lang w:val="en-US" w:eastAsia="zh-CN"/>
        </w:rPr>
        <w:t>从图中可以看出，Layer1（因子值最大的20%股票）的累计收益最低，且始终在0上下浮动。而其它层的累计收益随着年份的增加总体呈上升趋势，且总体呈现因子值越小，累计收益越高的趋势。</w:t>
      </w:r>
    </w:p>
    <w:p w14:paraId="3DEC6E1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jc w:val="left"/>
        <w:textAlignment w:val="auto"/>
        <w:rPr>
          <w:rFonts w:hint="eastAsia" w:ascii="宋体" w:hAnsi="宋体" w:eastAsia="宋体" w:cs="宋体"/>
          <w:b w:val="0"/>
          <w:bCs/>
          <w:i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iCs/>
          <w:sz w:val="24"/>
          <w:szCs w:val="24"/>
          <w:lang w:val="en-US" w:eastAsia="zh-CN"/>
        </w:rPr>
        <w:t>分析上面的两幅图可以推断，因子turn_1m是一个</w:t>
      </w:r>
      <w:r>
        <w:rPr>
          <w:rFonts w:hint="eastAsia" w:ascii="宋体" w:hAnsi="宋体" w:eastAsia="宋体" w:cs="宋体"/>
          <w:b/>
          <w:bCs w:val="0"/>
          <w:iCs/>
          <w:sz w:val="24"/>
          <w:szCs w:val="24"/>
          <w:lang w:val="en-US" w:eastAsia="zh-CN"/>
        </w:rPr>
        <w:t>负向</w:t>
      </w:r>
      <w:r>
        <w:rPr>
          <w:rFonts w:hint="eastAsia" w:ascii="宋体" w:hAnsi="宋体" w:eastAsia="宋体" w:cs="宋体"/>
          <w:b w:val="0"/>
          <w:bCs/>
          <w:iCs/>
          <w:sz w:val="24"/>
          <w:szCs w:val="24"/>
          <w:lang w:val="en-US" w:eastAsia="zh-CN"/>
        </w:rPr>
        <w:t>因子。高换手率往往伴随着投机交易过热和博弈剧烈，而</w:t>
      </w:r>
      <w:r>
        <w:rPr>
          <w:rFonts w:ascii="宋体" w:hAnsi="宋体" w:eastAsia="宋体" w:cs="宋体"/>
          <w:sz w:val="24"/>
          <w:szCs w:val="24"/>
        </w:rPr>
        <w:t>Layer 5的低换手股票通常是受关注度较低的冷门股或稳健股，投资者因承担了“难以迅速变现”的流动性风险，从而要求更高的预期回报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3579A9A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eastAsia" w:ascii="宋体" w:hAnsi="宋体" w:eastAsia="宋体" w:cs="宋体"/>
          <w:b/>
          <w:bCs w:val="0"/>
          <w:i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iCs/>
          <w:sz w:val="24"/>
          <w:szCs w:val="24"/>
          <w:lang w:val="en-US" w:eastAsia="zh-CN"/>
        </w:rPr>
        <w:t>因子3：std_1m</w:t>
      </w:r>
    </w:p>
    <w:p w14:paraId="111E731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="宋体" w:hAnsi="宋体" w:eastAsia="宋体" w:cs="宋体"/>
          <w:b w:val="0"/>
          <w:bCs/>
          <w:i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iCs/>
          <w:sz w:val="24"/>
          <w:szCs w:val="24"/>
          <w:lang w:val="en-US" w:eastAsia="zh-CN"/>
        </w:rPr>
        <w:t>因子std_1m代表个股最近21个交易日内，每日收益率的标准差。其在2010年12月底至2024年11月底期间的累计RankIC值（累计采用单利计算）如下图所示。</w:t>
      </w:r>
    </w:p>
    <w:p w14:paraId="2301F1A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textAlignment w:val="auto"/>
        <w:rPr>
          <w:rFonts w:hint="default" w:ascii="宋体" w:hAnsi="宋体" w:eastAsia="宋体" w:cs="宋体"/>
          <w:b w:val="0"/>
          <w:bCs/>
          <w:i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iCs/>
          <w:sz w:val="24"/>
          <w:szCs w:val="24"/>
          <w:lang w:val="en-US" w:eastAsia="zh-CN"/>
        </w:rPr>
        <w:drawing>
          <wp:inline distT="0" distB="0" distL="114300" distR="114300">
            <wp:extent cx="5266690" cy="2633345"/>
            <wp:effectExtent l="0" t="0" r="3810" b="8255"/>
            <wp:docPr id="5" name="图片 5" descr="factor_std_1m_Rank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factor_std_1m_RankIC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EA71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 w:ascii="宋体" w:hAnsi="宋体" w:eastAsia="宋体" w:cs="宋体"/>
          <w:b w:val="0"/>
          <w:bCs/>
          <w:i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iCs/>
          <w:sz w:val="24"/>
          <w:szCs w:val="24"/>
          <w:lang w:val="en-US" w:eastAsia="zh-CN"/>
        </w:rPr>
        <w:t>因子std_1m的RankIC均值为-0.0767。从图中可以看出，其累积RankIC值从最开始便为负数，且随着年份的增加，累计RankIC值总体呈越来越小的趋势。</w:t>
      </w:r>
    </w:p>
    <w:p w14:paraId="5BF7E00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both"/>
        <w:textAlignment w:val="auto"/>
        <w:rPr>
          <w:rFonts w:hint="eastAsia" w:ascii="宋体" w:hAnsi="宋体" w:eastAsia="宋体" w:cs="宋体"/>
          <w:b w:val="0"/>
          <w:bCs/>
          <w:i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iCs/>
          <w:sz w:val="24"/>
          <w:szCs w:val="24"/>
          <w:lang w:val="en-US" w:eastAsia="zh-CN"/>
        </w:rPr>
        <w:t>因子std_1m在2010年12月底至2024年11月底期间的5分层收益率曲线如下图所示，其中Layer1包含对非空因子值进行降序排列后前20%的股票。</w:t>
      </w:r>
    </w:p>
    <w:p w14:paraId="5249A94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textAlignment w:val="auto"/>
        <w:rPr>
          <w:rFonts w:hint="eastAsia" w:ascii="宋体" w:hAnsi="宋体" w:eastAsia="宋体" w:cs="宋体"/>
          <w:b w:val="0"/>
          <w:bCs/>
          <w:i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iCs/>
          <w:sz w:val="24"/>
          <w:szCs w:val="24"/>
          <w:lang w:val="en-US" w:eastAsia="zh-CN"/>
        </w:rPr>
        <w:drawing>
          <wp:inline distT="0" distB="0" distL="114300" distR="114300">
            <wp:extent cx="5266690" cy="2633345"/>
            <wp:effectExtent l="0" t="0" r="3810" b="8255"/>
            <wp:docPr id="6" name="图片 6" descr="factor_std_1m_Lay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factor_std_1m_Layer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8295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jc w:val="left"/>
        <w:textAlignment w:val="auto"/>
        <w:rPr>
          <w:rFonts w:hint="eastAsia" w:ascii="宋体" w:hAnsi="宋体" w:eastAsia="宋体" w:cs="宋体"/>
          <w:b w:val="0"/>
          <w:bCs/>
          <w:i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iCs/>
          <w:sz w:val="24"/>
          <w:szCs w:val="24"/>
          <w:lang w:val="en-US" w:eastAsia="zh-CN"/>
        </w:rPr>
        <w:t>从图中可以看出，Layer1（因子值最大的20%股票）的累计收益最低，大多数时间下在0.3上下浮动。而其它层的累计收益随着年份的增加总体呈上升趋势，Layer3、Layer4和Layer5（因子值最小的60%股票）的累计收益差距不大。</w:t>
      </w:r>
    </w:p>
    <w:p w14:paraId="6049F72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jc w:val="both"/>
        <w:textAlignment w:val="auto"/>
        <w:rPr>
          <w:rFonts w:hint="eastAsia" w:ascii="宋体" w:hAnsi="宋体" w:eastAsia="宋体" w:cs="宋体"/>
          <w:b w:val="0"/>
          <w:bCs/>
          <w:i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iCs/>
          <w:sz w:val="24"/>
          <w:szCs w:val="24"/>
          <w:lang w:val="en-US" w:eastAsia="zh-CN"/>
        </w:rPr>
        <w:t>分析上面的两幅图可以推断，因子std_1m是一个</w:t>
      </w:r>
      <w:r>
        <w:rPr>
          <w:rFonts w:hint="eastAsia" w:ascii="宋体" w:hAnsi="宋体" w:eastAsia="宋体" w:cs="宋体"/>
          <w:b/>
          <w:bCs w:val="0"/>
          <w:iCs/>
          <w:sz w:val="24"/>
          <w:szCs w:val="24"/>
          <w:lang w:val="en-US" w:eastAsia="zh-CN"/>
        </w:rPr>
        <w:t>负向</w:t>
      </w:r>
      <w:r>
        <w:rPr>
          <w:rFonts w:hint="eastAsia" w:ascii="宋体" w:hAnsi="宋体" w:eastAsia="宋体" w:cs="宋体"/>
          <w:b w:val="0"/>
          <w:bCs/>
          <w:iCs/>
          <w:sz w:val="24"/>
          <w:szCs w:val="24"/>
          <w:lang w:val="en-US" w:eastAsia="zh-CN"/>
        </w:rPr>
        <w:t>因子。收益率标准差大，意味着该股票不稳定。按照传统CAPM 理论，高风险应对应高收益，但在实际市场中，高波动股票往往表现不佳。原因在于投资者出于博取暴利的心理，愿意为这种高风险资产支付溢价，导致其价格被高估，未来预期收益率反而降低。相反，低波动股票往往被忽视，估值相对合理。</w:t>
      </w:r>
    </w:p>
    <w:p w14:paraId="7AB1354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eastAsia" w:ascii="宋体" w:hAnsi="宋体" w:eastAsia="宋体" w:cs="宋体"/>
          <w:b/>
          <w:bCs w:val="0"/>
          <w:i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iCs/>
          <w:sz w:val="24"/>
          <w:szCs w:val="24"/>
          <w:lang w:val="en-US" w:eastAsia="zh-CN"/>
        </w:rPr>
        <w:t>因子4：std_FF3factor_1m</w:t>
      </w:r>
    </w:p>
    <w:p w14:paraId="3D6BE17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default" w:ascii="宋体" w:hAnsi="宋体" w:eastAsia="宋体" w:cs="宋体"/>
          <w:b w:val="0"/>
          <w:bCs/>
          <w:i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iCs/>
          <w:sz w:val="24"/>
          <w:szCs w:val="24"/>
          <w:lang w:val="en-US" w:eastAsia="zh-CN"/>
        </w:rPr>
        <w:t>因子std_FF3factor_1m代表个股最近21个交易日内，日收益率序列对中证全指日收益率、SMB因子日收益率、HML因子日收益率序列进行多元线性回归的残差的标准差。其在2010年12月底至2024年11月底期间的累计RankIC值（累计采用单利计算）如下图所示。</w:t>
      </w:r>
    </w:p>
    <w:p w14:paraId="60B1B12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textAlignment w:val="auto"/>
        <w:rPr>
          <w:rFonts w:hint="eastAsia" w:ascii="宋体" w:hAnsi="宋体" w:eastAsia="宋体" w:cs="宋体"/>
          <w:b w:val="0"/>
          <w:bCs/>
          <w:i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iCs/>
          <w:sz w:val="24"/>
          <w:szCs w:val="24"/>
          <w:lang w:val="en-US" w:eastAsia="zh-CN"/>
        </w:rPr>
        <w:drawing>
          <wp:inline distT="0" distB="0" distL="114300" distR="114300">
            <wp:extent cx="5266690" cy="2633345"/>
            <wp:effectExtent l="0" t="0" r="3810" b="8255"/>
            <wp:docPr id="7" name="图片 7" descr="factor_std_FF3_1m_Rank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factor_std_FF3_1m_RankIC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64E3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 w:ascii="宋体" w:hAnsi="宋体" w:eastAsia="宋体" w:cs="宋体"/>
          <w:b w:val="0"/>
          <w:bCs/>
          <w:i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iCs/>
          <w:sz w:val="24"/>
          <w:szCs w:val="24"/>
          <w:lang w:val="en-US" w:eastAsia="zh-CN"/>
        </w:rPr>
        <w:t>因子std_FF3factor_1m的RankIC均值为-0.0978。从图中可以看出，其累积RankIC值从最开始便为负数，且随着年份的增加，累计RankIC值总体呈越来越小的趋势。</w:t>
      </w:r>
    </w:p>
    <w:p w14:paraId="5F66B20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="宋体" w:hAnsi="宋体" w:eastAsia="宋体" w:cs="宋体"/>
          <w:b w:val="0"/>
          <w:bCs/>
          <w:i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iCs/>
          <w:sz w:val="24"/>
          <w:szCs w:val="24"/>
          <w:lang w:val="en-US" w:eastAsia="zh-CN"/>
        </w:rPr>
        <w:t>因子std_FF3factor_1m在2010年12月底至2024年11月底期间的5分层收益率曲线如下图所示，其中Layer1包含对非空因子值进行降序排列后前20%的股票。</w:t>
      </w:r>
    </w:p>
    <w:p w14:paraId="50E143F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textAlignment w:val="auto"/>
        <w:rPr>
          <w:rFonts w:hint="default" w:ascii="宋体" w:hAnsi="宋体" w:eastAsia="宋体" w:cs="宋体"/>
          <w:b w:val="0"/>
          <w:bCs/>
          <w:i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iCs/>
          <w:sz w:val="24"/>
          <w:szCs w:val="24"/>
          <w:lang w:val="en-US" w:eastAsia="zh-CN"/>
        </w:rPr>
        <w:drawing>
          <wp:inline distT="0" distB="0" distL="114300" distR="114300">
            <wp:extent cx="5266690" cy="2633345"/>
            <wp:effectExtent l="0" t="0" r="3810" b="8255"/>
            <wp:docPr id="8" name="图片 8" descr="factor_std_FF3_1m_Lay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factor_std_FF3_1m_Layer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7CAD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jc w:val="left"/>
        <w:textAlignment w:val="auto"/>
        <w:rPr>
          <w:rFonts w:hint="eastAsia" w:ascii="宋体" w:hAnsi="宋体" w:eastAsia="宋体" w:cs="宋体"/>
          <w:b w:val="0"/>
          <w:bCs/>
          <w:i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iCs/>
          <w:sz w:val="24"/>
          <w:szCs w:val="24"/>
          <w:lang w:val="en-US" w:eastAsia="zh-CN"/>
        </w:rPr>
        <w:t>从图中可以看出，Layer1（因子值最大的20%股票）的累计收益最低，大多数时间下在0上下浮动。而其它层的累计收益随着年份的增加总体呈上升趋势，且总体呈现因子值越小，累计收益越高的趋势。</w:t>
      </w:r>
    </w:p>
    <w:p w14:paraId="6AA37E2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jc w:val="left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/>
          <w:iCs/>
          <w:sz w:val="24"/>
          <w:szCs w:val="24"/>
          <w:lang w:val="en-US" w:eastAsia="zh-CN"/>
        </w:rPr>
        <w:t>分析上面的两幅图可以推断，因子std_FF3factor_1m是一个</w:t>
      </w:r>
      <w:r>
        <w:rPr>
          <w:rFonts w:hint="eastAsia" w:ascii="宋体" w:hAnsi="宋体" w:eastAsia="宋体" w:cs="宋体"/>
          <w:b/>
          <w:bCs w:val="0"/>
          <w:iCs/>
          <w:sz w:val="24"/>
          <w:szCs w:val="24"/>
          <w:lang w:val="en-US" w:eastAsia="zh-CN"/>
        </w:rPr>
        <w:t>负向</w:t>
      </w:r>
      <w:r>
        <w:rPr>
          <w:rFonts w:hint="eastAsia" w:ascii="宋体" w:hAnsi="宋体" w:eastAsia="宋体" w:cs="宋体"/>
          <w:b w:val="0"/>
          <w:bCs/>
          <w:iCs/>
          <w:sz w:val="24"/>
          <w:szCs w:val="24"/>
          <w:lang w:val="en-US" w:eastAsia="zh-CN"/>
        </w:rPr>
        <w:t>因子。它是一种特质波动率，通过对市值、价值、规模等因素做回归，将股票的系统风险与公司层面的特质风险剥离开来，</w:t>
      </w:r>
      <w:r>
        <w:rPr>
          <w:rFonts w:ascii="宋体" w:hAnsi="宋体" w:eastAsia="宋体" w:cs="宋体"/>
          <w:sz w:val="24"/>
          <w:szCs w:val="24"/>
        </w:rPr>
        <w:t>是四个因子中负向预测能力最强的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3473179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0" w:firstLineChars="0"/>
        <w:jc w:val="left"/>
        <w:textAlignment w:val="auto"/>
        <w:rPr>
          <w:rFonts w:hint="eastAsia" w:ascii="宋体" w:hAnsi="宋体" w:eastAsia="宋体" w:cs="宋体"/>
          <w:b w:val="0"/>
          <w:bCs/>
          <w:i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iCs/>
          <w:sz w:val="24"/>
          <w:szCs w:val="24"/>
          <w:lang w:val="en-US" w:eastAsia="zh-CN"/>
        </w:rPr>
        <w:t>剔除系统性风险后，纯粹的个股特质波动依然对未来收益有显著的负面影响。高特质波动往往与信息不确定性高、分析师分歧大或主力资金炒作有关。这类股票虽然短期可能有爆发力，但长期来看，其风险收益比极低。</w:t>
      </w:r>
    </w:p>
    <w:p w14:paraId="68E1677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0" w:firstLineChars="0"/>
        <w:jc w:val="left"/>
        <w:textAlignment w:val="auto"/>
        <w:rPr>
          <w:rFonts w:hint="eastAsia" w:ascii="宋体" w:hAnsi="宋体" w:eastAsia="宋体" w:cs="宋体"/>
          <w:b w:val="0"/>
          <w:bCs/>
          <w:iCs/>
          <w:sz w:val="24"/>
          <w:szCs w:val="24"/>
          <w:lang w:val="en-US" w:eastAsia="zh-CN"/>
        </w:rPr>
      </w:pPr>
    </w:p>
    <w:p w14:paraId="087E197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jc w:val="left"/>
        <w:textAlignment w:val="auto"/>
        <w:rPr>
          <w:rFonts w:hint="default" w:ascii="宋体" w:hAnsi="宋体" w:eastAsia="宋体" w:cs="宋体"/>
          <w:b w:val="0"/>
          <w:bCs/>
          <w:i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iCs/>
          <w:sz w:val="24"/>
          <w:szCs w:val="24"/>
          <w:lang w:val="en-US" w:eastAsia="zh-CN"/>
        </w:rPr>
        <w:t>综上所述，本次计算的4个因子呈现显著的</w:t>
      </w:r>
      <w:r>
        <w:rPr>
          <w:rFonts w:hint="eastAsia" w:ascii="宋体" w:hAnsi="宋体" w:eastAsia="宋体" w:cs="宋体"/>
          <w:b/>
          <w:bCs w:val="0"/>
          <w:iCs/>
          <w:sz w:val="24"/>
          <w:szCs w:val="24"/>
          <w:lang w:val="en-US" w:eastAsia="zh-CN"/>
        </w:rPr>
        <w:t>负向</w:t>
      </w:r>
      <w:r>
        <w:rPr>
          <w:rFonts w:hint="eastAsia" w:ascii="宋体" w:hAnsi="宋体" w:eastAsia="宋体" w:cs="宋体"/>
          <w:b w:val="0"/>
          <w:bCs/>
          <w:iCs/>
          <w:sz w:val="24"/>
          <w:szCs w:val="24"/>
          <w:lang w:val="en-US" w:eastAsia="zh-CN"/>
        </w:rPr>
        <w:t>选股能力。另外，观察5分层收益率曲线可以发现，在2016年-2019年累计收益都出现了一定程度的下降，这与当时A股市场的历史环境相关。</w:t>
      </w:r>
    </w:p>
    <w:p w14:paraId="147C5C2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0" w:firstLineChars="0"/>
        <w:jc w:val="left"/>
        <w:textAlignment w:val="auto"/>
        <w:rPr>
          <w:rFonts w:hint="eastAsia" w:ascii="宋体" w:hAnsi="宋体" w:eastAsia="宋体" w:cs="宋体"/>
          <w:b w:val="0"/>
          <w:bCs/>
          <w:iCs/>
          <w:sz w:val="24"/>
          <w:szCs w:val="24"/>
          <w:lang w:val="en-US" w:eastAsia="zh-CN"/>
        </w:rPr>
      </w:pPr>
    </w:p>
    <w:p w14:paraId="0157C14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both"/>
        <w:textAlignment w:val="auto"/>
        <w:rPr>
          <w:rFonts w:hint="default" w:ascii="宋体" w:hAnsi="宋体" w:eastAsia="宋体" w:cs="宋体"/>
          <w:b w:val="0"/>
          <w:bCs/>
          <w:iCs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BE6958D"/>
    <w:multiLevelType w:val="singleLevel"/>
    <w:tmpl w:val="EBE6958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FA6E3B"/>
    <w:rsid w:val="1082224E"/>
    <w:rsid w:val="2B4325BF"/>
    <w:rsid w:val="31112F4C"/>
    <w:rsid w:val="31B92CD5"/>
    <w:rsid w:val="360C3DF4"/>
    <w:rsid w:val="3921614A"/>
    <w:rsid w:val="5D1D358A"/>
    <w:rsid w:val="60A47849"/>
    <w:rsid w:val="6A674B7F"/>
    <w:rsid w:val="6A6F64DF"/>
    <w:rsid w:val="731D6723"/>
    <w:rsid w:val="7A6B2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1837</Words>
  <Characters>2281</Characters>
  <Lines>0</Lines>
  <Paragraphs>0</Paragraphs>
  <TotalTime>25</TotalTime>
  <ScaleCrop>false</ScaleCrop>
  <LinksUpToDate>false</LinksUpToDate>
  <CharactersWithSpaces>2283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2026-01-23T11:44:00Z</dcterms:created>
  <dc:creator>admin</dc:creator>
  <cp:lastModifiedBy>张子乐</cp:lastModifiedBy>
  <dcterms:modified xsi:type="dcterms:W3CDTF">2026-02-06T06:07:12Z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eyJoZGlkIjoiODI3MDRjYWNiODFmYThiYTBiOTBhYzgzYjEwYjEyZGIiLCJ1c2VySWQiOiIxNjQwNjU0Njc4In0=</vt:lpwstr>
  </property>
  <property fmtid="{D5CDD505-2E9C-101B-9397-08002B2CF9AE}" pid="4" name="ICV">
    <vt:lpwstr>492EEB2DCB2443938F2FBEECCD339E0A_12</vt:lpwstr>
  </property>
</Properties>
</file>