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40" w:before="0" w:after="0"/>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pPr>
        <w:pStyle w:val="Normal"/>
        <w:widowControl w:val="false"/>
        <w:spacing w:lineRule="auto" w:line="240" w:before="0" w:after="0"/>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pPr>
        <w:pStyle w:val="Normal"/>
        <w:widowControl w:val="false"/>
        <w:spacing w:lineRule="auto" w:line="240" w:before="0" w:after="0"/>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pPr>
        <w:pStyle w:val="Normal"/>
        <w:widowControl w:val="false"/>
        <w:spacing w:lineRule="auto" w:line="240" w:before="0" w:after="0"/>
        <w:jc w:val="center"/>
        <w:rPr>
          <w:rFonts w:eastAsia="Times New Roman" w:cs="Times New Roman"/>
          <w:color w:val="000000"/>
          <w:szCs w:val="28"/>
          <w:lang w:eastAsia="ru-RU"/>
        </w:rPr>
      </w:pPr>
      <w:r>
        <w:rPr>
          <w:rFonts w:eastAsia="Times New Roman" w:cs="Times New Roman"/>
          <w:color w:val="000000"/>
          <w:szCs w:val="28"/>
          <w:lang w:eastAsia="ru-RU"/>
        </w:rPr>
      </w:r>
    </w:p>
    <w:p>
      <w:pPr>
        <w:pStyle w:val="Normal"/>
        <w:widowControl w:val="false"/>
        <w:spacing w:lineRule="auto" w:line="240" w:before="0" w:after="0"/>
        <w:jc w:val="center"/>
        <w:rPr>
          <w:rFonts w:eastAsia="Times New Roman" w:cs="Times New Roman"/>
          <w:color w:val="000000"/>
          <w:szCs w:val="28"/>
          <w:lang w:eastAsia="ru-RU"/>
        </w:rPr>
      </w:pPr>
      <w:r>
        <w:rPr>
          <w:rFonts w:eastAsia="Times New Roman" w:cs="Times New Roman"/>
          <w:color w:val="000000"/>
          <w:szCs w:val="28"/>
          <w:lang w:eastAsia="ru-RU"/>
        </w:rPr>
      </w:r>
    </w:p>
    <w:p>
      <w:pPr>
        <w:pStyle w:val="Normal"/>
        <w:widowControl w:val="false"/>
        <w:spacing w:lineRule="auto" w:line="240" w:before="0" w:after="0"/>
        <w:jc w:val="start"/>
        <w:rPr>
          <w:rFonts w:eastAsia="Times New Roman" w:cs="Times New Roman"/>
          <w:szCs w:val="28"/>
          <w:lang w:eastAsia="ru-RU"/>
        </w:rPr>
      </w:pPr>
      <w:r>
        <w:rPr>
          <w:rFonts w:eastAsia="Times New Roman" w:cs="Times New Roman"/>
          <w:szCs w:val="28"/>
          <w:lang w:eastAsia="ru-RU"/>
        </w:rPr>
      </w:r>
    </w:p>
    <w:p>
      <w:pPr>
        <w:pStyle w:val="Normal"/>
        <w:widowControl w:val="false"/>
        <w:spacing w:lineRule="auto" w:line="240" w:before="0" w:after="0"/>
        <w:ind w:start="4809"/>
        <w:jc w:val="start"/>
        <w:rPr>
          <w:rFonts w:eastAsia="Times New Roman" w:cs="Times New Roman"/>
          <w:szCs w:val="28"/>
          <w:lang w:eastAsia="ru-RU"/>
        </w:rPr>
      </w:pPr>
      <w:r>
        <w:rPr>
          <w:rFonts w:eastAsia="Times New Roman" w:cs="Times New Roman"/>
          <w:color w:val="000000"/>
          <w:szCs w:val="28"/>
          <w:lang w:eastAsia="ru-RU"/>
        </w:rPr>
        <w:t>К ЗАЩИТЕ ДОПУСТИТЬ</w:t>
      </w:r>
    </w:p>
    <w:p>
      <w:pPr>
        <w:pStyle w:val="Normal"/>
        <w:spacing w:lineRule="auto" w:line="240" w:before="0" w:after="0"/>
        <w:ind w:start="4809"/>
        <w:jc w:val="start"/>
        <w:rPr>
          <w:rFonts w:eastAsia="Times New Roman" w:cs="Times New Roman"/>
          <w:color w:val="000000"/>
          <w:szCs w:val="28"/>
          <w:lang w:eastAsia="ru-RU"/>
        </w:rPr>
      </w:pPr>
      <w:r>
        <w:rPr>
          <w:rFonts w:eastAsia="Times New Roman" w:cs="Times New Roman"/>
          <w:color w:val="000000"/>
          <w:szCs w:val="28"/>
          <w:lang w:eastAsia="ru-RU"/>
        </w:rPr>
        <w:t xml:space="preserve">Заместитель директора по образовательной деятельности </w:t>
      </w:r>
    </w:p>
    <w:p>
      <w:pPr>
        <w:pStyle w:val="Normal"/>
        <w:spacing w:lineRule="auto" w:line="240" w:before="0" w:after="0"/>
        <w:ind w:start="4809"/>
        <w:rPr>
          <w:rFonts w:cs="Times New Roman"/>
          <w:szCs w:val="28"/>
          <w:vertAlign w:val="superscript"/>
        </w:rPr>
      </w:pPr>
      <w:r>
        <w:rPr>
          <w:rFonts w:cs="Times New Roman"/>
          <w:szCs w:val="28"/>
          <w:vertAlign w:val="superscript"/>
        </w:rPr>
      </w:r>
    </w:p>
    <w:p>
      <w:pPr>
        <w:pStyle w:val="Normal"/>
        <w:widowControl w:val="false"/>
        <w:spacing w:lineRule="auto" w:line="240" w:before="0" w:after="0"/>
        <w:ind w:start="4809"/>
        <w:jc w:val="start"/>
        <w:rPr>
          <w:rFonts w:eastAsia="Times New Roman" w:cs="Times New Roman"/>
          <w:color w:val="000000"/>
          <w:szCs w:val="28"/>
          <w:lang w:eastAsia="ru-RU"/>
        </w:rPr>
      </w:pPr>
      <w:r>
        <w:rPr>
          <w:rFonts w:eastAsia="Times New Roman" w:cs="Times New Roman"/>
          <w:color w:val="000000"/>
          <w:szCs w:val="28"/>
          <w:lang w:eastAsia="ru-RU"/>
        </w:rPr>
        <w:t>________________ О. Д. Федоров</w:t>
      </w:r>
    </w:p>
    <w:p>
      <w:pPr>
        <w:pStyle w:val="Normal"/>
        <w:widowControl w:val="false"/>
        <w:spacing w:lineRule="auto" w:line="240" w:before="0" w:after="0"/>
        <w:ind w:start="4809"/>
        <w:jc w:val="start"/>
        <w:rPr>
          <w:rFonts w:eastAsia="Times New Roman" w:cs="Times New Roman"/>
          <w:szCs w:val="28"/>
          <w:lang w:eastAsia="ru-RU"/>
        </w:rPr>
      </w:pPr>
      <w:r>
        <w:rPr>
          <w:rFonts w:eastAsia="Times New Roman" w:cs="Times New Roman"/>
          <w:color w:val="000000"/>
          <w:szCs w:val="28"/>
          <w:lang w:eastAsia="ru-RU"/>
        </w:rPr>
        <w:t>«___» ________________ 2026 г.</w:t>
      </w:r>
    </w:p>
    <w:p>
      <w:pPr>
        <w:pStyle w:val="Normal"/>
        <w:widowControl w:val="false"/>
        <w:spacing w:lineRule="auto" w:line="240" w:before="0" w:after="0"/>
        <w:jc w:val="start"/>
        <w:rPr>
          <w:rFonts w:eastAsia="Times New Roman" w:cs="Times New Roman"/>
          <w:szCs w:val="28"/>
          <w:lang w:eastAsia="ru-RU"/>
        </w:rPr>
      </w:pPr>
      <w:r>
        <w:rPr>
          <w:rFonts w:eastAsia="Times New Roman" w:cs="Times New Roman"/>
          <w:szCs w:val="28"/>
          <w:lang w:eastAsia="ru-RU"/>
        </w:rPr>
      </w:r>
    </w:p>
    <w:p>
      <w:pPr>
        <w:pStyle w:val="Normal"/>
        <w:widowControl w:val="false"/>
        <w:spacing w:lineRule="auto" w:line="240" w:before="0" w:after="0"/>
        <w:rPr>
          <w:rFonts w:eastAsia="Times New Roman" w:cs="Times New Roman"/>
          <w:szCs w:val="28"/>
          <w:lang w:eastAsia="ru-RU"/>
        </w:rPr>
      </w:pPr>
      <w:r>
        <w:rPr>
          <w:rFonts w:eastAsia="Times New Roman" w:cs="Times New Roman"/>
          <w:szCs w:val="28"/>
          <w:lang w:eastAsia="ru-RU"/>
        </w:rPr>
      </w:r>
    </w:p>
    <w:p>
      <w:pPr>
        <w:pStyle w:val="Normal"/>
        <w:widowControl w:val="false"/>
        <w:spacing w:lineRule="auto" w:line="240" w:before="0" w:after="0"/>
        <w:rPr>
          <w:rFonts w:eastAsia="Times New Roman" w:cs="Times New Roman"/>
          <w:szCs w:val="28"/>
          <w:lang w:eastAsia="ru-RU"/>
        </w:rPr>
      </w:pPr>
      <w:r>
        <w:rPr>
          <w:rFonts w:eastAsia="Times New Roman" w:cs="Times New Roman"/>
          <w:szCs w:val="28"/>
          <w:lang w:eastAsia="ru-RU"/>
        </w:rPr>
      </w:r>
    </w:p>
    <w:p>
      <w:pPr>
        <w:pStyle w:val="Normal"/>
        <w:widowControl w:val="false"/>
        <w:spacing w:lineRule="auto" w:line="240" w:before="0" w:after="0"/>
        <w:jc w:val="center"/>
        <w:rPr>
          <w:rFonts w:eastAsia="Times New Roman" w:cs="Times New Roman"/>
          <w:szCs w:val="28"/>
          <w:lang w:eastAsia="ru-RU"/>
        </w:rPr>
      </w:pPr>
      <w:r>
        <w:rPr>
          <w:rFonts w:eastAsia="Times New Roman" w:cs="Times New Roman"/>
          <w:color w:val="000000"/>
          <w:szCs w:val="28"/>
          <w:lang w:eastAsia="ru-RU"/>
        </w:rPr>
        <w:t>«</w:t>
      </w:r>
      <w:r>
        <w:rPr>
          <w:rStyle w:val="Emphasis"/>
          <w:rFonts w:eastAsia="Times New Roman" w:cs="Times New Roman"/>
          <w:b/>
          <w:bCs/>
          <w:i w:val="false"/>
          <w:iCs w:val="false"/>
          <w:strike w:val="false"/>
          <w:dstrike w:val="false"/>
          <w:color w:val="000000"/>
          <w:szCs w:val="28"/>
          <w:lang w:eastAsia="ru-RU"/>
        </w:rPr>
        <w:t>РАЗРАБОТКА ЗАЩИЩЕННОГО RESTful API С ПРИМЕНЕНИЕМ ПОСТКВАНТОВОЙ КРИПТОГРАФИИ ДЛЯ КОРПОРАТИВНЫХ СИСТЕМ</w:t>
      </w:r>
      <w:r>
        <w:rPr>
          <w:rFonts w:eastAsia="Times New Roman" w:cs="Times New Roman"/>
          <w:color w:val="000000"/>
          <w:szCs w:val="28"/>
          <w:lang w:eastAsia="ru-RU"/>
        </w:rPr>
        <w:t>»</w:t>
      </w:r>
    </w:p>
    <w:p>
      <w:pPr>
        <w:pStyle w:val="Normal"/>
        <w:widowControl w:val="false"/>
        <w:spacing w:lineRule="auto" w:line="240" w:before="0" w:after="0"/>
        <w:jc w:val="center"/>
        <w:rPr>
          <w:rFonts w:eastAsia="Times New Roman" w:cs="Times New Roman"/>
          <w:color w:val="000000"/>
          <w:szCs w:val="28"/>
          <w:lang w:eastAsia="ru-RU"/>
        </w:rPr>
      </w:pPr>
      <w:r>
        <w:rPr>
          <w:rFonts w:eastAsia="Times New Roman" w:cs="Times New Roman"/>
          <w:color w:val="000000"/>
          <w:szCs w:val="28"/>
          <w:lang w:eastAsia="ru-RU"/>
        </w:rPr>
      </w:r>
    </w:p>
    <w:p>
      <w:pPr>
        <w:pStyle w:val="Normal"/>
        <w:widowControl w:val="false"/>
        <w:spacing w:lineRule="auto" w:line="240" w:before="0" w:after="0"/>
        <w:jc w:val="center"/>
        <w:rPr>
          <w:rFonts w:cs="Times New Roman"/>
          <w:color w:val="FF0000"/>
          <w:szCs w:val="28"/>
          <w:shd w:fill="FFFFFF" w:val="clear"/>
        </w:rPr>
      </w:pPr>
      <w:r>
        <w:rPr>
          <w:rFonts w:eastAsia="Times New Roman" w:cs="Times New Roman"/>
          <w:color w:val="000000"/>
          <w:szCs w:val="28"/>
          <w:lang w:eastAsia="ru-RU"/>
        </w:rPr>
        <w:t xml:space="preserve">Дипломный проект </w:t>
      </w:r>
      <w:r>
        <w:rPr>
          <w:rFonts w:eastAsia="Times New Roman" w:cs="Times New Roman"/>
          <w:szCs w:val="28"/>
          <w:lang w:eastAsia="ru-RU"/>
        </w:rPr>
        <w:t xml:space="preserve">(работа) </w:t>
      </w:r>
      <w:r>
        <w:rPr>
          <w:rFonts w:eastAsia="Times New Roman" w:cs="Times New Roman"/>
          <w:color w:themeColor="text1" w:val="000000"/>
          <w:szCs w:val="28"/>
          <w:lang w:eastAsia="ru-RU"/>
        </w:rPr>
        <w:t xml:space="preserve">по </w:t>
      </w:r>
      <w:r>
        <w:rPr>
          <w:rFonts w:cs="Times New Roman"/>
          <w:color w:themeColor="text1" w:val="000000"/>
          <w:szCs w:val="28"/>
          <w:shd w:fill="FFFFFF" w:val="clear"/>
        </w:rPr>
        <w:t>специальности</w:t>
      </w:r>
      <w:r>
        <w:rPr>
          <w:rFonts w:cs="Times New Roman"/>
          <w:color w:val="FF0000"/>
          <w:szCs w:val="28"/>
          <w:shd w:fill="FFFFFF" w:val="clear"/>
        </w:rPr>
        <w:t xml:space="preserve"> </w:t>
      </w:r>
      <w:r>
        <w:rPr>
          <w:rFonts w:eastAsia="Times New Roman" w:cs="Times New Roman"/>
          <w:szCs w:val="28"/>
          <w:lang w:eastAsia="ru-RU"/>
        </w:rPr>
        <w:t xml:space="preserve">09.02.07 </w:t>
      </w:r>
      <w:r>
        <w:rPr>
          <w:rFonts w:eastAsia="Times New Roman" w:cs="Times New Roman"/>
          <w:szCs w:val="28"/>
          <w:u w:val="single"/>
          <w:lang w:eastAsia="ru-RU"/>
        </w:rPr>
        <w:t>Информационные системы и программирование</w:t>
      </w:r>
    </w:p>
    <w:p>
      <w:pPr>
        <w:pStyle w:val="Normal"/>
        <w:widowControl w:val="false"/>
        <w:spacing w:lineRule="auto" w:line="240" w:before="0" w:after="0"/>
        <w:rPr>
          <w:rFonts w:eastAsia="Times New Roman" w:cs="Times New Roman"/>
          <w:szCs w:val="28"/>
          <w:lang w:eastAsia="ru-RU"/>
        </w:rPr>
      </w:pPr>
      <w:r>
        <w:rPr>
          <w:rFonts w:eastAsia="Times New Roman" w:cs="Times New Roman"/>
          <w:szCs w:val="28"/>
          <w:lang w:eastAsia="ru-RU"/>
        </w:rPr>
      </w:r>
    </w:p>
    <w:p>
      <w:pPr>
        <w:pStyle w:val="Normal"/>
        <w:widowControl w:val="false"/>
        <w:spacing w:lineRule="auto" w:line="240" w:before="0" w:after="0"/>
        <w:rPr>
          <w:rFonts w:eastAsia="Times New Roman" w:cs="Times New Roman"/>
          <w:szCs w:val="28"/>
          <w:lang w:eastAsia="ru-RU"/>
        </w:rPr>
      </w:pPr>
      <w:r>
        <w:rPr>
          <w:rFonts w:eastAsia="Times New Roman" w:cs="Times New Roman"/>
          <w:szCs w:val="28"/>
          <w:lang w:eastAsia="ru-RU"/>
        </w:rPr>
      </w:r>
    </w:p>
    <w:tbl>
      <w:tblPr>
        <w:tblStyle w:val="aa"/>
        <w:tblW w:w="4673" w:type="dxa"/>
        <w:jc w:val="start"/>
        <w:tblInd w:w="4848" w:type="dxa"/>
        <w:tblLayout w:type="fixed"/>
        <w:tblCellMar>
          <w:top w:w="0" w:type="dxa"/>
          <w:start w:w="108" w:type="dxa"/>
          <w:bottom w:w="0" w:type="dxa"/>
          <w:end w:w="108" w:type="dxa"/>
        </w:tblCellMar>
        <w:tblLook w:firstRow="1" w:noVBand="1" w:lastRow="0" w:firstColumn="1" w:lastColumn="0" w:noHBand="0" w:val="04a0"/>
      </w:tblPr>
      <w:tblGrid>
        <w:gridCol w:w="4673"/>
      </w:tblGrid>
      <w:tr>
        <w:trPr/>
        <w:tc>
          <w:tcPr>
            <w:tcW w:w="4673" w:type="dxa"/>
            <w:tcBorders>
              <w:top w:val="nil"/>
              <w:start w:val="nil"/>
              <w:bottom w:val="nil"/>
              <w:end w:val="nil"/>
            </w:tcBorders>
          </w:tcPr>
          <w:p>
            <w:pPr>
              <w:pStyle w:val="Normal"/>
              <w:widowControl w:val="false"/>
              <w:suppressAutoHyphens w:val="true"/>
              <w:spacing w:lineRule="auto" w:line="240" w:before="0" w:after="0"/>
              <w:jc w:val="start"/>
              <w:rPr>
                <w:rFonts w:eastAsia="Times New Roman"/>
                <w:szCs w:val="28"/>
              </w:rPr>
            </w:pPr>
            <w:r>
              <w:rPr>
                <w:rFonts w:eastAsia="Times New Roman" w:cs="Times New Roman"/>
                <w:color w:val="000000"/>
                <w:kern w:val="0"/>
                <w:szCs w:val="28"/>
                <w:lang w:val="ru-RU" w:eastAsia="ru-RU" w:bidi="ar-SA"/>
              </w:rPr>
              <w:t xml:space="preserve">Студент гр. </w:t>
            </w:r>
            <w:r>
              <w:rPr>
                <w:rFonts w:eastAsia="Times New Roman" w:cs="Times New Roman"/>
                <w:color w:val="000000"/>
                <w:kern w:val="0"/>
                <w:szCs w:val="28"/>
                <w:u w:val="single"/>
                <w:lang w:val="ru-RU" w:eastAsia="ru-RU" w:bidi="ar-SA"/>
              </w:rPr>
              <w:t>К0709-22</w:t>
            </w:r>
          </w:p>
          <w:p>
            <w:pPr>
              <w:pStyle w:val="Normal"/>
              <w:widowControl w:val="false"/>
              <w:suppressAutoHyphens w:val="true"/>
              <w:spacing w:lineRule="auto" w:line="240" w:before="0" w:after="0"/>
              <w:jc w:val="start"/>
              <w:rPr>
                <w:rFonts w:eastAsia="Times New Roman"/>
                <w:szCs w:val="28"/>
              </w:rPr>
            </w:pPr>
            <w:r>
              <w:rPr>
                <w:rFonts w:eastAsia="Times New Roman" w:cs="Times New Roman"/>
                <w:color w:val="000000"/>
                <w:kern w:val="0"/>
                <w:szCs w:val="28"/>
                <w:u w:val="single"/>
                <w:lang w:val="ru-RU" w:eastAsia="ru-RU" w:bidi="ar-SA"/>
              </w:rPr>
              <w:t>А. В. Зайцев</w:t>
            </w:r>
            <w:r>
              <w:rPr>
                <w:rFonts w:eastAsia="Times New Roman" w:cs="Times New Roman"/>
                <w:color w:val="000000"/>
                <w:kern w:val="0"/>
                <w:szCs w:val="28"/>
                <w:lang w:val="ru-RU" w:eastAsia="ru-RU" w:bidi="ar-SA"/>
              </w:rPr>
              <w:t xml:space="preserve"> И. О. Фамилия </w:t>
            </w:r>
          </w:p>
          <w:p>
            <w:pPr>
              <w:pStyle w:val="Normal"/>
              <w:widowControl w:val="false"/>
              <w:suppressAutoHyphens w:val="true"/>
              <w:spacing w:lineRule="auto" w:line="240" w:before="0" w:after="0"/>
              <w:jc w:val="start"/>
              <w:rPr>
                <w:rFonts w:eastAsia="Times New Roman"/>
                <w:szCs w:val="28"/>
              </w:rPr>
            </w:pPr>
            <w:r>
              <w:rPr>
                <w:rFonts w:eastAsia="Times New Roman" w:cs="Times New Roman"/>
                <w:color w:val="000000"/>
                <w:kern w:val="0"/>
                <w:szCs w:val="28"/>
                <w:lang w:val="ru-RU" w:eastAsia="ru-RU" w:bidi="ar-SA"/>
              </w:rPr>
              <w:t>«____» ______________ 2026 г.</w:t>
            </w:r>
          </w:p>
          <w:p>
            <w:pPr>
              <w:pStyle w:val="Normal"/>
              <w:widowControl w:val="false"/>
              <w:suppressAutoHyphens w:val="true"/>
              <w:spacing w:lineRule="auto" w:line="240" w:before="0" w:after="0"/>
              <w:jc w:val="start"/>
              <w:rPr>
                <w:rFonts w:eastAsia="Times New Roman"/>
                <w:color w:val="000000"/>
                <w:szCs w:val="28"/>
              </w:rPr>
            </w:pPr>
            <w:r>
              <w:rPr>
                <w:rFonts w:eastAsia="Times New Roman"/>
                <w:color w:val="000000"/>
                <w:szCs w:val="28"/>
              </w:rPr>
            </w:r>
          </w:p>
          <w:p>
            <w:pPr>
              <w:pStyle w:val="Normal"/>
              <w:widowControl w:val="false"/>
              <w:suppressAutoHyphens w:val="true"/>
              <w:spacing w:lineRule="auto" w:line="240" w:before="0" w:after="0"/>
              <w:jc w:val="start"/>
              <w:rPr>
                <w:rFonts w:eastAsia="Times New Roman"/>
                <w:color w:val="000000"/>
                <w:szCs w:val="28"/>
              </w:rPr>
            </w:pPr>
            <w:r>
              <w:rPr>
                <w:rFonts w:eastAsia="Times New Roman"/>
                <w:color w:val="000000"/>
                <w:szCs w:val="28"/>
              </w:rPr>
            </w:r>
          </w:p>
          <w:p>
            <w:pPr>
              <w:pStyle w:val="Normal"/>
              <w:widowControl w:val="false"/>
              <w:suppressAutoHyphens w:val="true"/>
              <w:spacing w:lineRule="auto" w:line="240" w:before="0" w:after="0"/>
              <w:jc w:val="start"/>
              <w:rPr>
                <w:rFonts w:eastAsia="Times New Roman"/>
                <w:color w:val="000000"/>
                <w:szCs w:val="28"/>
              </w:rPr>
            </w:pPr>
            <w:r>
              <w:rPr>
                <w:rFonts w:eastAsia="Times New Roman" w:cs="Times New Roman"/>
                <w:color w:val="000000"/>
                <w:kern w:val="0"/>
                <w:szCs w:val="28"/>
                <w:lang w:val="ru-RU" w:eastAsia="ru-RU" w:bidi="ar-SA"/>
              </w:rPr>
              <w:t>Руководитель</w:t>
            </w:r>
          </w:p>
          <w:p>
            <w:pPr>
              <w:pStyle w:val="Normal"/>
              <w:widowControl w:val="false"/>
              <w:suppressAutoHyphens w:val="true"/>
              <w:spacing w:lineRule="auto" w:line="240" w:before="0" w:after="0"/>
              <w:jc w:val="start"/>
              <w:rPr>
                <w:rFonts w:eastAsia="Times New Roman"/>
                <w:szCs w:val="28"/>
                <w:u w:val="single"/>
              </w:rPr>
            </w:pPr>
            <w:r>
              <w:rPr>
                <w:rFonts w:eastAsia="Times New Roman" w:cs="Times New Roman"/>
                <w:kern w:val="0"/>
                <w:szCs w:val="28"/>
                <w:u w:val="single"/>
                <w:lang w:val="ru-RU" w:eastAsia="ru-RU" w:bidi="ar-SA"/>
              </w:rPr>
              <w:t>преподаватель</w:t>
            </w:r>
          </w:p>
          <w:p>
            <w:pPr>
              <w:pStyle w:val="Normal"/>
              <w:widowControl/>
              <w:suppressAutoHyphens w:val="true"/>
              <w:spacing w:lineRule="auto" w:line="240" w:before="0" w:after="0"/>
              <w:rPr>
                <w:szCs w:val="28"/>
                <w:vertAlign w:val="superscript"/>
              </w:rPr>
            </w:pPr>
            <w:r>
              <w:rPr>
                <w:rFonts w:eastAsia="Calibri" w:cs="Times New Roman"/>
                <w:kern w:val="0"/>
                <w:szCs w:val="28"/>
                <w:vertAlign w:val="superscript"/>
                <w:lang w:val="ru-RU" w:eastAsia="ru-RU" w:bidi="ar-SA"/>
              </w:rPr>
              <w:t>(должность, ученая степень, звание)</w:t>
            </w:r>
          </w:p>
          <w:p>
            <w:pPr>
              <w:pStyle w:val="Normal"/>
              <w:widowControl w:val="false"/>
              <w:suppressAutoHyphens w:val="true"/>
              <w:spacing w:lineRule="auto" w:line="240" w:before="0" w:after="0"/>
              <w:jc w:val="start"/>
              <w:rPr>
                <w:rFonts w:eastAsia="Times New Roman"/>
                <w:szCs w:val="28"/>
              </w:rPr>
            </w:pPr>
            <w:r>
              <w:rPr>
                <w:rFonts w:eastAsia="Times New Roman" w:cs="Times New Roman"/>
                <w:color w:val="000000"/>
                <w:kern w:val="0"/>
                <w:szCs w:val="28"/>
                <w:u w:val="single"/>
                <w:lang w:val="ru-RU" w:eastAsia="ru-RU" w:bidi="ar-SA"/>
              </w:rPr>
              <w:t>В. В. Мик</w:t>
            </w:r>
            <w:bookmarkStart w:id="0" w:name="_GoBack"/>
            <w:bookmarkEnd w:id="0"/>
            <w:r>
              <w:rPr>
                <w:rFonts w:eastAsia="Times New Roman" w:cs="Times New Roman"/>
                <w:color w:val="000000"/>
                <w:kern w:val="0"/>
                <w:szCs w:val="28"/>
                <w:u w:val="single"/>
                <w:lang w:val="ru-RU" w:eastAsia="ru-RU" w:bidi="ar-SA"/>
              </w:rPr>
              <w:t>ишенко</w:t>
            </w:r>
            <w:r>
              <w:rPr>
                <w:rFonts w:eastAsia="Times New Roman" w:cs="Times New Roman"/>
                <w:color w:val="000000"/>
                <w:kern w:val="0"/>
                <w:szCs w:val="28"/>
                <w:lang w:val="ru-RU" w:eastAsia="ru-RU" w:bidi="ar-SA"/>
              </w:rPr>
              <w:t xml:space="preserve"> И. О. Фамилия</w:t>
            </w:r>
          </w:p>
          <w:p>
            <w:pPr>
              <w:pStyle w:val="Normal"/>
              <w:widowControl w:val="false"/>
              <w:suppressAutoHyphens w:val="true"/>
              <w:spacing w:lineRule="auto" w:line="240" w:before="0" w:after="0"/>
              <w:jc w:val="start"/>
              <w:rPr>
                <w:rFonts w:eastAsia="Times New Roman"/>
                <w:szCs w:val="28"/>
              </w:rPr>
            </w:pPr>
            <w:r>
              <w:rPr>
                <w:rFonts w:eastAsia="Times New Roman" w:cs="Times New Roman"/>
                <w:color w:val="000000"/>
                <w:kern w:val="0"/>
                <w:szCs w:val="28"/>
                <w:lang w:val="ru-RU" w:eastAsia="ru-RU" w:bidi="ar-SA"/>
              </w:rPr>
              <w:t>«____» ______________ 2026 г.</w:t>
            </w:r>
          </w:p>
          <w:p>
            <w:pPr>
              <w:pStyle w:val="Normal"/>
              <w:widowControl w:val="false"/>
              <w:suppressAutoHyphens w:val="true"/>
              <w:spacing w:lineRule="auto" w:line="240" w:before="0" w:after="0"/>
              <w:jc w:val="start"/>
              <w:rPr>
                <w:rFonts w:eastAsia="Times New Roman"/>
                <w:szCs w:val="28"/>
              </w:rPr>
            </w:pPr>
            <w:r>
              <w:rPr>
                <w:rFonts w:eastAsia="Times New Roman"/>
                <w:szCs w:val="28"/>
              </w:rPr>
            </w:r>
          </w:p>
          <w:p>
            <w:pPr>
              <w:pStyle w:val="Normal"/>
              <w:widowControl w:val="false"/>
              <w:suppressAutoHyphens w:val="true"/>
              <w:spacing w:lineRule="auto" w:line="240" w:before="0" w:after="0"/>
              <w:jc w:val="center"/>
              <w:rPr>
                <w:rFonts w:eastAsia="Times New Roman"/>
                <w:szCs w:val="28"/>
              </w:rPr>
            </w:pPr>
            <w:r>
              <w:rPr>
                <w:rFonts w:eastAsia="Times New Roman"/>
                <w:szCs w:val="28"/>
              </w:rPr>
            </w:r>
          </w:p>
        </w:tc>
      </w:tr>
    </w:tbl>
    <w:p>
      <w:pPr>
        <w:pStyle w:val="Normal"/>
        <w:widowControl w:val="false"/>
        <w:spacing w:lineRule="auto" w:line="240" w:before="0" w:after="0"/>
        <w:jc w:val="center"/>
        <w:rPr>
          <w:rFonts w:eastAsia="Times New Roman" w:cs="Times New Roman"/>
          <w:szCs w:val="28"/>
          <w:lang w:eastAsia="ru-RU"/>
        </w:rPr>
      </w:pPr>
      <w:r>
        <w:rPr>
          <w:rFonts w:eastAsia="Times New Roman" w:cs="Times New Roman"/>
          <w:szCs w:val="28"/>
          <w:lang w:eastAsia="ru-RU"/>
        </w:rPr>
      </w:r>
    </w:p>
    <w:p>
      <w:pPr>
        <w:pStyle w:val="Normal"/>
        <w:widowControl w:val="false"/>
        <w:spacing w:lineRule="auto" w:line="240" w:before="0" w:after="0"/>
        <w:jc w:val="start"/>
        <w:rPr>
          <w:rFonts w:eastAsia="Times New Roman" w:cs="Times New Roman"/>
          <w:szCs w:val="28"/>
          <w:lang w:eastAsia="ru-RU"/>
        </w:rPr>
      </w:pPr>
      <w:r>
        <w:rPr>
          <w:rFonts w:eastAsia="Times New Roman" w:cs="Times New Roman"/>
          <w:szCs w:val="28"/>
          <w:lang w:eastAsia="ru-RU"/>
        </w:rPr>
      </w:r>
    </w:p>
    <w:p>
      <w:pPr>
        <w:pStyle w:val="Normal"/>
        <w:widowControl w:val="false"/>
        <w:spacing w:lineRule="auto" w:line="240" w:before="0" w:after="0"/>
        <w:jc w:val="start"/>
        <w:rPr>
          <w:rFonts w:eastAsia="Times New Roman" w:cs="Times New Roman"/>
          <w:szCs w:val="28"/>
          <w:lang w:eastAsia="ru-RU"/>
        </w:rPr>
      </w:pPr>
      <w:r>
        <w:rPr>
          <w:rFonts w:eastAsia="Times New Roman" w:cs="Times New Roman"/>
          <w:szCs w:val="28"/>
          <w:lang w:eastAsia="ru-RU"/>
        </w:rPr>
      </w:r>
    </w:p>
    <w:p>
      <w:pPr>
        <w:pStyle w:val="Normal"/>
        <w:widowControl w:val="false"/>
        <w:spacing w:lineRule="auto" w:line="240" w:before="0" w:after="0"/>
        <w:jc w:val="start"/>
        <w:rPr>
          <w:rFonts w:eastAsia="Times New Roman" w:cs="Times New Roman"/>
          <w:szCs w:val="28"/>
          <w:lang w:eastAsia="ru-RU"/>
        </w:rPr>
      </w:pPr>
      <w:r>
        <w:rPr>
          <w:rFonts w:eastAsia="Times New Roman" w:cs="Times New Roman"/>
          <w:szCs w:val="28"/>
          <w:lang w:eastAsia="ru-RU"/>
        </w:rPr>
      </w:r>
    </w:p>
    <w:p>
      <w:pPr>
        <w:pStyle w:val="Normal"/>
        <w:widowControl w:val="false"/>
        <w:spacing w:lineRule="auto" w:line="240" w:before="0" w:after="0"/>
        <w:jc w:val="start"/>
        <w:rPr>
          <w:rFonts w:eastAsia="Times New Roman" w:cs="Times New Roman"/>
          <w:szCs w:val="28"/>
          <w:lang w:eastAsia="ru-RU"/>
        </w:rPr>
      </w:pPr>
      <w:r>
        <w:rPr>
          <w:rFonts w:eastAsia="Times New Roman" w:cs="Times New Roman"/>
          <w:szCs w:val="28"/>
          <w:lang w:eastAsia="ru-RU"/>
        </w:rPr>
      </w:r>
    </w:p>
    <w:p>
      <w:pPr>
        <w:pStyle w:val="Normal"/>
        <w:widowControl w:val="false"/>
        <w:spacing w:lineRule="auto" w:line="240" w:before="0" w:after="0"/>
        <w:jc w:val="start"/>
        <w:rPr>
          <w:rFonts w:eastAsia="Times New Roman" w:cs="Times New Roman"/>
          <w:szCs w:val="28"/>
          <w:lang w:eastAsia="ru-RU"/>
        </w:rPr>
      </w:pPr>
      <w:r>
        <w:rPr>
          <w:rFonts w:eastAsia="Times New Roman" w:cs="Times New Roman"/>
          <w:szCs w:val="28"/>
          <w:lang w:eastAsia="ru-RU"/>
        </w:rPr>
      </w:r>
    </w:p>
    <w:p>
      <w:pPr>
        <w:pStyle w:val="Normal"/>
        <w:widowControl w:val="false"/>
        <w:spacing w:lineRule="auto" w:line="240" w:before="0" w:after="0"/>
        <w:jc w:val="start"/>
        <w:rPr>
          <w:rFonts w:eastAsia="Times New Roman" w:cs="Times New Roman"/>
          <w:szCs w:val="28"/>
          <w:lang w:eastAsia="ru-RU"/>
        </w:rPr>
      </w:pPr>
      <w:r>
        <w:rPr>
          <w:rFonts w:eastAsia="Times New Roman" w:cs="Times New Roman"/>
          <w:szCs w:val="28"/>
          <w:lang w:eastAsia="ru-RU"/>
        </w:rPr>
      </w:r>
    </w:p>
    <w:p>
      <w:pPr>
        <w:pStyle w:val="Normal"/>
        <w:widowControl w:val="false"/>
        <w:spacing w:lineRule="auto" w:line="240" w:before="0" w:after="0"/>
        <w:jc w:val="start"/>
        <w:rPr>
          <w:rFonts w:eastAsia="Times New Roman" w:cs="Times New Roman"/>
          <w:szCs w:val="28"/>
          <w:lang w:eastAsia="ru-RU"/>
        </w:rPr>
      </w:pPr>
      <w:r>
        <w:rPr>
          <w:rFonts w:eastAsia="Times New Roman" w:cs="Times New Roman"/>
          <w:szCs w:val="28"/>
          <w:lang w:eastAsia="ru-RU"/>
        </w:rPr>
      </w:r>
    </w:p>
    <w:p>
      <w:pPr>
        <w:pStyle w:val="Normal"/>
        <w:widowControl w:val="false"/>
        <w:spacing w:lineRule="auto" w:line="240" w:before="0" w:after="0"/>
        <w:jc w:val="start"/>
        <w:rPr>
          <w:rFonts w:eastAsia="Times New Roman" w:cs="Times New Roman"/>
          <w:szCs w:val="28"/>
          <w:lang w:eastAsia="ru-RU"/>
        </w:rPr>
      </w:pPr>
      <w:r>
        <w:rPr>
          <w:rFonts w:eastAsia="Times New Roman" w:cs="Times New Roman"/>
          <w:szCs w:val="28"/>
          <w:lang w:eastAsia="ru-RU"/>
        </w:rPr>
      </w:r>
    </w:p>
    <w:p>
      <w:pPr>
        <w:pStyle w:val="Normal"/>
        <w:widowControl w:val="false"/>
        <w:spacing w:lineRule="auto" w:line="240" w:before="0" w:after="0"/>
        <w:jc w:val="center"/>
        <w:rPr>
          <w:rFonts w:eastAsia="Times New Roman" w:cs="Times New Roman"/>
          <w:szCs w:val="28"/>
          <w:lang w:eastAsia="ru-RU"/>
        </w:rPr>
      </w:pPr>
      <w:r>
        <w:rPr>
          <w:rFonts w:eastAsia="Times New Roman" w:cs="Times New Roman"/>
          <w:color w:val="000000"/>
          <w:szCs w:val="28"/>
          <w:lang w:eastAsia="ru-RU"/>
        </w:rPr>
        <w:t xml:space="preserve">Федеральная территория «Сириус» – 2026 </w:t>
      </w:r>
      <w:r>
        <w:br w:type="page"/>
      </w:r>
    </w:p>
    <w:p>
      <w:pPr>
        <w:pStyle w:val="Normal"/>
        <w:widowControl w:val="false"/>
        <w:spacing w:lineRule="auto" w:line="240" w:before="0" w:after="0"/>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pPr>
        <w:pStyle w:val="Normal"/>
        <w:widowControl w:val="false"/>
        <w:spacing w:lineRule="auto" w:line="240" w:before="0" w:after="0"/>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pPr>
        <w:pStyle w:val="Normal"/>
        <w:widowControl w:val="false"/>
        <w:spacing w:lineRule="auto" w:line="240" w:before="0" w:after="0"/>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pPr>
        <w:pStyle w:val="Normal"/>
        <w:widowControl w:val="false"/>
        <w:spacing w:lineRule="auto" w:line="240" w:before="0" w:after="0"/>
        <w:jc w:val="center"/>
        <w:rPr>
          <w:rFonts w:eastAsia="Times New Roman" w:cs="Times New Roman"/>
          <w:color w:val="000000"/>
          <w:szCs w:val="28"/>
          <w:lang w:eastAsia="ru-RU"/>
        </w:rPr>
      </w:pPr>
      <w:r>
        <w:rPr>
          <w:rFonts w:eastAsia="Times New Roman" w:cs="Times New Roman"/>
          <w:color w:val="000000"/>
          <w:szCs w:val="28"/>
          <w:lang w:eastAsia="ru-RU"/>
        </w:rPr>
      </w:r>
    </w:p>
    <w:p>
      <w:pPr>
        <w:pStyle w:val="Normal"/>
        <w:spacing w:lineRule="auto" w:line="240" w:before="0" w:after="240"/>
        <w:jc w:val="start"/>
        <w:rPr>
          <w:rFonts w:eastAsia="Times New Roman" w:cs="Times New Roman"/>
          <w:szCs w:val="28"/>
          <w:lang w:eastAsia="ru-RU"/>
        </w:rPr>
      </w:pPr>
      <w:r>
        <w:rPr>
          <w:rFonts w:eastAsia="Times New Roman" w:cs="Times New Roman"/>
          <w:szCs w:val="28"/>
          <w:lang w:eastAsia="ru-RU"/>
        </w:rPr>
      </w:r>
    </w:p>
    <w:p>
      <w:pPr>
        <w:pStyle w:val="Normal"/>
        <w:spacing w:lineRule="auto" w:line="240" w:before="0" w:after="0"/>
        <w:ind w:start="5103"/>
        <w:rPr>
          <w:rFonts w:eastAsia="Times New Roman" w:cs="Times New Roman"/>
          <w:szCs w:val="28"/>
          <w:lang w:eastAsia="ru-RU"/>
        </w:rPr>
      </w:pPr>
      <w:r>
        <w:rPr>
          <w:rFonts w:eastAsia="Times New Roman" w:cs="Times New Roman"/>
          <w:color w:val="000000"/>
          <w:szCs w:val="28"/>
          <w:lang w:eastAsia="ru-RU"/>
        </w:rPr>
        <w:t>УТВЕРДИТЬ</w:t>
      </w:r>
    </w:p>
    <w:p>
      <w:pPr>
        <w:pStyle w:val="Normal"/>
        <w:spacing w:lineRule="auto" w:line="240" w:before="0" w:after="0"/>
        <w:ind w:start="5103"/>
        <w:jc w:val="start"/>
        <w:rPr>
          <w:rFonts w:eastAsia="Times New Roman" w:cs="Times New Roman"/>
          <w:color w:val="000000"/>
          <w:szCs w:val="28"/>
          <w:lang w:eastAsia="ru-RU"/>
        </w:rPr>
      </w:pPr>
      <w:r>
        <w:rPr>
          <w:rFonts w:eastAsia="Times New Roman" w:cs="Times New Roman"/>
          <w:color w:val="000000"/>
          <w:szCs w:val="28"/>
          <w:lang w:eastAsia="ru-RU"/>
        </w:rPr>
        <w:t>Заместитель директора по образовательной деятельности</w:t>
      </w:r>
    </w:p>
    <w:p>
      <w:pPr>
        <w:pStyle w:val="Normal"/>
        <w:spacing w:lineRule="auto" w:line="240" w:before="0" w:after="0"/>
        <w:ind w:firstLine="5103"/>
        <w:jc w:val="start"/>
        <w:rPr>
          <w:rFonts w:eastAsia="Times New Roman" w:cs="Times New Roman"/>
          <w:szCs w:val="28"/>
          <w:lang w:eastAsia="ru-RU"/>
        </w:rPr>
      </w:pPr>
      <w:r>
        <w:rPr>
          <w:rFonts w:eastAsia="Times New Roman" w:cs="Times New Roman"/>
          <w:szCs w:val="28"/>
          <w:lang w:eastAsia="ru-RU"/>
        </w:rPr>
      </w:r>
    </w:p>
    <w:p>
      <w:pPr>
        <w:pStyle w:val="Normal"/>
        <w:spacing w:lineRule="auto" w:line="240" w:before="0" w:after="0"/>
        <w:ind w:firstLine="5103"/>
        <w:jc w:val="start"/>
        <w:rPr>
          <w:rFonts w:eastAsia="Times New Roman" w:cs="Times New Roman"/>
          <w:color w:val="000000"/>
          <w:szCs w:val="28"/>
          <w:lang w:eastAsia="ru-RU"/>
        </w:rPr>
      </w:pPr>
      <w:r>
        <w:rPr>
          <w:rFonts w:eastAsia="Times New Roman" w:cs="Times New Roman"/>
          <w:color w:val="000000"/>
          <w:szCs w:val="28"/>
          <w:lang w:eastAsia="ru-RU"/>
        </w:rPr>
        <w:t>________________ О. Д. Федоров</w:t>
      </w:r>
    </w:p>
    <w:p>
      <w:pPr>
        <w:pStyle w:val="Normal"/>
        <w:spacing w:lineRule="auto" w:line="240" w:before="0" w:after="0"/>
        <w:ind w:firstLine="5103"/>
        <w:jc w:val="start"/>
        <w:rPr>
          <w:rFonts w:eastAsia="Times New Roman" w:cs="Times New Roman"/>
          <w:color w:val="000000"/>
          <w:szCs w:val="28"/>
          <w:lang w:eastAsia="ru-RU"/>
        </w:rPr>
      </w:pPr>
      <w:r>
        <w:rPr>
          <w:rFonts w:eastAsia="Times New Roman" w:cs="Times New Roman"/>
          <w:color w:val="000000"/>
          <w:szCs w:val="28"/>
          <w:lang w:eastAsia="ru-RU"/>
        </w:rPr>
        <w:t>«___» ________________ 2026 г.</w:t>
      </w:r>
    </w:p>
    <w:p>
      <w:pPr>
        <w:pStyle w:val="Normal"/>
        <w:spacing w:lineRule="auto" w:line="240" w:before="0" w:after="240"/>
        <w:jc w:val="start"/>
        <w:rPr>
          <w:rFonts w:eastAsia="Times New Roman" w:cs="Times New Roman"/>
          <w:szCs w:val="28"/>
          <w:lang w:eastAsia="ru-RU"/>
        </w:rPr>
      </w:pPr>
      <w:r>
        <w:rPr>
          <w:rFonts w:eastAsia="Times New Roman" w:cs="Times New Roman"/>
          <w:szCs w:val="28"/>
          <w:lang w:eastAsia="ru-RU"/>
        </w:rPr>
      </w:r>
    </w:p>
    <w:p>
      <w:pPr>
        <w:pStyle w:val="Normal"/>
        <w:spacing w:lineRule="auto" w:line="240" w:before="0" w:after="240"/>
        <w:jc w:val="start"/>
        <w:rPr>
          <w:rFonts w:eastAsia="Times New Roman" w:cs="Times New Roman"/>
          <w:szCs w:val="28"/>
          <w:lang w:eastAsia="ru-RU"/>
        </w:rPr>
      </w:pPr>
      <w:r>
        <w:rPr>
          <w:rFonts w:eastAsia="Times New Roman" w:cs="Times New Roman"/>
          <w:szCs w:val="28"/>
          <w:lang w:eastAsia="ru-RU"/>
        </w:rPr>
      </w:r>
    </w:p>
    <w:p>
      <w:pPr>
        <w:pStyle w:val="Normal"/>
        <w:spacing w:lineRule="auto" w:line="240" w:before="0" w:after="0"/>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pPr>
        <w:pStyle w:val="Normal"/>
        <w:spacing w:lineRule="auto" w:line="240" w:before="0" w:after="0"/>
        <w:jc w:val="center"/>
        <w:rPr>
          <w:rFonts w:cs="Times New Roman"/>
          <w:color w:val="FF0000"/>
          <w:szCs w:val="28"/>
          <w:shd w:fill="FFFFFF" w:val="clear"/>
        </w:rPr>
      </w:pPr>
      <w:r>
        <w:rPr>
          <w:rFonts w:eastAsia="Times New Roman" w:cs="Times New Roman"/>
          <w:color w:val="000000"/>
          <w:szCs w:val="28"/>
          <w:lang w:eastAsia="ru-RU"/>
        </w:rPr>
        <w:t xml:space="preserve">на выполнение дипломного проекта </w:t>
      </w:r>
      <w:r>
        <w:rPr>
          <w:rFonts w:eastAsia="Times New Roman" w:cs="Times New Roman"/>
          <w:szCs w:val="28"/>
          <w:lang w:eastAsia="ru-RU"/>
        </w:rPr>
        <w:t>(работы)</w:t>
      </w:r>
    </w:p>
    <w:p>
      <w:pPr>
        <w:pStyle w:val="Normal"/>
        <w:spacing w:lineRule="auto" w:line="240" w:before="0" w:after="0"/>
        <w:jc w:val="center"/>
        <w:rPr>
          <w:rFonts w:eastAsia="Times New Roman" w:cs="Times New Roman"/>
          <w:color w:val="FF0000"/>
          <w:szCs w:val="28"/>
          <w:lang w:eastAsia="ru-RU"/>
        </w:rPr>
      </w:pPr>
      <w:r>
        <w:rPr>
          <w:rFonts w:eastAsia="Times New Roman" w:cs="Times New Roman"/>
          <w:color w:themeColor="text1" w:val="000000"/>
          <w:szCs w:val="28"/>
          <w:lang w:eastAsia="ru-RU"/>
        </w:rPr>
        <w:t xml:space="preserve">по </w:t>
      </w:r>
      <w:r>
        <w:rPr>
          <w:rFonts w:cs="Times New Roman"/>
          <w:color w:themeColor="text1" w:val="000000"/>
          <w:szCs w:val="28"/>
          <w:shd w:fill="FFFFFF" w:val="clear"/>
        </w:rPr>
        <w:t>специальности</w:t>
      </w:r>
      <w:r>
        <w:rPr>
          <w:rFonts w:cs="Times New Roman"/>
          <w:color w:val="FF0000"/>
          <w:szCs w:val="28"/>
          <w:shd w:fill="FFFFFF" w:val="clear"/>
        </w:rPr>
        <w:t xml:space="preserve"> </w:t>
      </w:r>
      <w:r>
        <w:rPr>
          <w:rFonts w:eastAsia="Times New Roman" w:cs="Times New Roman"/>
          <w:szCs w:val="28"/>
          <w:lang w:eastAsia="ru-RU"/>
        </w:rPr>
        <w:t xml:space="preserve">09.02.07 </w:t>
      </w:r>
      <w:r>
        <w:rPr>
          <w:rFonts w:eastAsia="Times New Roman" w:cs="Times New Roman"/>
          <w:szCs w:val="28"/>
          <w:u w:val="single"/>
          <w:lang w:eastAsia="ru-RU"/>
        </w:rPr>
        <w:t>Информационные системы и программирование</w:t>
      </w:r>
    </w:p>
    <w:p>
      <w:pPr>
        <w:pStyle w:val="Normal"/>
        <w:spacing w:lineRule="auto" w:line="240" w:before="0" w:after="0"/>
        <w:jc w:val="center"/>
        <w:rPr>
          <w:rFonts w:eastAsia="Times New Roman" w:cs="Times New Roman"/>
          <w:szCs w:val="28"/>
          <w:lang w:eastAsia="ru-RU"/>
        </w:rPr>
      </w:pPr>
      <w:r>
        <w:rPr>
          <w:rFonts w:eastAsia="Times New Roman" w:cs="Times New Roman"/>
          <w:szCs w:val="28"/>
          <w:lang w:eastAsia="ru-RU"/>
        </w:rPr>
      </w:r>
    </w:p>
    <w:p>
      <w:pPr>
        <w:pStyle w:val="Normal"/>
        <w:spacing w:lineRule="auto" w:line="240" w:before="0" w:after="0"/>
        <w:jc w:val="center"/>
        <w:rPr>
          <w:rFonts w:eastAsia="Times New Roman" w:cs="Times New Roman"/>
          <w:b/>
          <w:bCs/>
          <w:color w:val="000000"/>
          <w:szCs w:val="28"/>
          <w:lang w:eastAsia="ru-RU"/>
        </w:rPr>
      </w:pPr>
      <w:r>
        <w:rPr>
          <w:rFonts w:eastAsia="Times New Roman" w:cs="Times New Roman"/>
          <w:b/>
          <w:bCs/>
          <w:color w:val="000000"/>
          <w:szCs w:val="28"/>
          <w:lang w:eastAsia="ru-RU"/>
        </w:rPr>
        <w:t>Зайцев Алексей Вадимович</w:t>
      </w:r>
    </w:p>
    <w:p>
      <w:pPr>
        <w:pStyle w:val="Normal"/>
        <w:spacing w:lineRule="auto" w:line="240" w:before="0" w:after="0"/>
        <w:rPr>
          <w:rFonts w:eastAsia="Times New Roman" w:cs="Times New Roman"/>
          <w:szCs w:val="28"/>
          <w:lang w:eastAsia="ru-RU"/>
        </w:rPr>
      </w:pPr>
      <w:r>
        <w:rPr>
          <w:rFonts w:eastAsia="Times New Roman" w:cs="Times New Roman"/>
          <w:szCs w:val="28"/>
          <w:lang w:eastAsia="ru-RU"/>
        </w:rPr>
      </w:r>
    </w:p>
    <w:p>
      <w:pPr>
        <w:pStyle w:val="Normal"/>
        <w:spacing w:lineRule="auto" w:line="240" w:before="0" w:after="0"/>
        <w:jc w:val="start"/>
        <w:rPr>
          <w:rFonts w:eastAsia="Times New Roman" w:cs="Times New Roman"/>
          <w:szCs w:val="28"/>
          <w:lang w:eastAsia="ru-RU"/>
        </w:rPr>
      </w:pPr>
      <w:r>
        <w:rPr>
          <w:rFonts w:eastAsia="Times New Roman" w:cs="Times New Roman"/>
          <w:szCs w:val="28"/>
          <w:lang w:eastAsia="ru-RU"/>
        </w:rPr>
      </w:r>
    </w:p>
    <w:p>
      <w:pPr>
        <w:pStyle w:val="Normal"/>
        <w:numPr>
          <w:ilvl w:val="0"/>
          <w:numId w:val="1"/>
        </w:numPr>
        <w:tabs>
          <w:tab w:val="clear" w:pos="708"/>
          <w:tab w:val="left" w:pos="284" w:leader="none"/>
        </w:tabs>
        <w:spacing w:before="0" w:after="0"/>
        <w:ind w:hanging="0" w:start="0"/>
        <w:textAlignment w:val="baseline"/>
        <w:rPr>
          <w:lang w:val="ru-RU" w:eastAsia="ru-RU"/>
        </w:rPr>
      </w:pPr>
      <w:r>
        <w:rPr>
          <w:rFonts w:eastAsia="Times New Roman" w:cs="Times New Roman"/>
          <w:color w:val="000000"/>
          <w:szCs w:val="28"/>
          <w:lang w:val="ru-RU" w:eastAsia="ru-RU"/>
        </w:rPr>
        <w:t>Тема: «Разработка защищённого RESTful API с применением постквантовой криптографии для корпоративных систем»</w:t>
      </w:r>
    </w:p>
    <w:p>
      <w:pPr>
        <w:pStyle w:val="Normal"/>
        <w:numPr>
          <w:ilvl w:val="0"/>
          <w:numId w:val="1"/>
        </w:numPr>
        <w:tabs>
          <w:tab w:val="clear" w:pos="708"/>
          <w:tab w:val="left" w:pos="284" w:leader="none"/>
        </w:tabs>
        <w:spacing w:before="0" w:after="0"/>
        <w:ind w:hanging="0" w:start="0"/>
        <w:textAlignment w:val="baseline"/>
        <w:rPr>
          <w:rFonts w:eastAsia="Times New Roman" w:cs="Times New Roman"/>
          <w:color w:val="000000"/>
          <w:szCs w:val="28"/>
          <w:lang w:eastAsia="ru-RU"/>
        </w:rPr>
      </w:pPr>
      <w:r>
        <w:rPr>
          <w:rFonts w:eastAsia="Times New Roman" w:cs="Times New Roman"/>
          <w:color w:val="000000"/>
          <w:szCs w:val="28"/>
          <w:lang w:eastAsia="ru-RU"/>
        </w:rPr>
        <w:t>Цель: спроектировать и программно реализовать серверный компонент распределенной системы, предоставляющий защищенный интерфейс REST API и использующий криптографические механизмы постквантового уровня для превентивного обеспечения конфиденциальности корпоративного трафика, ведения изолированных сессий и сквозного кодирования полезной нагрузки JSON-пакетов.</w:t>
      </w:r>
    </w:p>
    <w:p>
      <w:pPr>
        <w:pStyle w:val="Normal"/>
        <w:numPr>
          <w:ilvl w:val="0"/>
          <w:numId w:val="1"/>
        </w:numPr>
        <w:tabs>
          <w:tab w:val="clear" w:pos="708"/>
          <w:tab w:val="left" w:pos="284" w:leader="none"/>
        </w:tabs>
        <w:spacing w:before="0" w:after="0"/>
        <w:ind w:hanging="0" w:start="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pPr>
        <w:pStyle w:val="Normal"/>
        <w:numPr>
          <w:ilvl w:val="1"/>
          <w:numId w:val="2"/>
        </w:numPr>
        <w:tabs>
          <w:tab w:val="clear" w:pos="708"/>
          <w:tab w:val="left" w:pos="284" w:leader="none"/>
          <w:tab w:val="left" w:pos="993" w:leader="none"/>
        </w:tabs>
        <w:spacing w:before="0" w:after="0"/>
        <w:ind w:firstLine="709" w:start="0"/>
        <w:textAlignment w:val="baseline"/>
        <w:rPr>
          <w:rFonts w:eastAsia="Times New Roman" w:cs="Times New Roman"/>
          <w:color w:val="000000"/>
          <w:szCs w:val="28"/>
          <w:lang w:eastAsia="ru-RU"/>
        </w:rPr>
      </w:pPr>
      <w:r>
        <w:rPr>
          <w:rFonts w:eastAsia="Times New Roman" w:cs="Times New Roman"/>
          <w:color w:val="000000"/>
          <w:szCs w:val="28"/>
          <w:lang w:eastAsia="ru-RU"/>
        </w:rPr>
        <w:t>Выполнить исследование специфики функционирования веб-служб в современных инфраструктурах предприятий, а также классифицировать потенциальные угрозы безопасности, возникающие ввиду развития квантового криптоанализа и алгоритма Шора;</w:t>
      </w:r>
    </w:p>
    <w:p>
      <w:pPr>
        <w:pStyle w:val="Normal"/>
        <w:numPr>
          <w:ilvl w:val="1"/>
          <w:numId w:val="2"/>
        </w:numPr>
        <w:tabs>
          <w:tab w:val="clear" w:pos="708"/>
          <w:tab w:val="left" w:pos="284" w:leader="none"/>
          <w:tab w:val="left" w:pos="993" w:leader="none"/>
        </w:tabs>
        <w:spacing w:before="0" w:after="0"/>
        <w:ind w:firstLine="709" w:start="0"/>
        <w:textAlignment w:val="baseline"/>
        <w:rPr>
          <w:rFonts w:eastAsia="Times New Roman" w:cs="Times New Roman"/>
          <w:color w:val="000000"/>
          <w:szCs w:val="28"/>
          <w:lang w:eastAsia="ru-RU"/>
        </w:rPr>
      </w:pPr>
      <w:r>
        <w:rPr>
          <w:rFonts w:eastAsia="Times New Roman" w:cs="Times New Roman"/>
          <w:color w:val="000000"/>
          <w:szCs w:val="28"/>
          <w:lang w:eastAsia="ru-RU"/>
        </w:rPr>
        <w:t>Оценить ключевые технологические ограничения традиционных средств защиты сетевого взаимодействия, сформировать детальный перечень требований к бэкенд-платформе и доказать необходимость реализации защитных мер непосредственно на прикладном уровне;</w:t>
      </w:r>
    </w:p>
    <w:p>
      <w:pPr>
        <w:pStyle w:val="Normal"/>
        <w:numPr>
          <w:ilvl w:val="1"/>
          <w:numId w:val="2"/>
        </w:numPr>
        <w:tabs>
          <w:tab w:val="clear" w:pos="708"/>
          <w:tab w:val="left" w:pos="284" w:leader="none"/>
          <w:tab w:val="left" w:pos="993" w:leader="none"/>
        </w:tabs>
        <w:spacing w:before="0" w:after="0"/>
        <w:ind w:firstLine="709" w:start="0"/>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архитектурную схему серверной части приложения, включающую структуру реляционной базы данных для валидации сессионных состояний, логику гибридного обмена ключами и ролевую модель разграничения доступа пользователей;</w:t>
      </w:r>
    </w:p>
    <w:p>
      <w:pPr>
        <w:pStyle w:val="Normal"/>
        <w:numPr>
          <w:ilvl w:val="1"/>
          <w:numId w:val="2"/>
        </w:numPr>
        <w:tabs>
          <w:tab w:val="clear" w:pos="708"/>
          <w:tab w:val="left" w:pos="284" w:leader="none"/>
          <w:tab w:val="left" w:pos="993" w:leader="none"/>
        </w:tabs>
        <w:spacing w:before="0" w:after="0"/>
        <w:ind w:firstLine="709" w:start="0"/>
        <w:textAlignment w:val="baseline"/>
        <w:rPr>
          <w:rFonts w:eastAsia="Times New Roman" w:cs="Times New Roman"/>
          <w:color w:val="000000"/>
          <w:szCs w:val="28"/>
          <w:lang w:eastAsia="ru-RU"/>
        </w:rPr>
      </w:pPr>
      <w:r>
        <w:rPr>
          <w:rFonts w:eastAsia="Times New Roman" w:cs="Times New Roman"/>
          <w:color w:val="000000"/>
          <w:szCs w:val="28"/>
          <w:lang w:eastAsia="ru-RU"/>
        </w:rPr>
        <w:t>Написать серверный код бэкенд-системы с использованием асинхронного фреймворка FastAPI, реализовав эндпоинты REST API для обработки внешних запросов, а также развернув модули ведения логов и сбора системных метрик;</w:t>
      </w:r>
    </w:p>
    <w:p>
      <w:pPr>
        <w:pStyle w:val="Normal"/>
        <w:numPr>
          <w:ilvl w:val="1"/>
          <w:numId w:val="2"/>
        </w:numPr>
        <w:tabs>
          <w:tab w:val="clear" w:pos="708"/>
          <w:tab w:val="left" w:pos="284" w:leader="none"/>
          <w:tab w:val="left" w:pos="993" w:leader="none"/>
        </w:tabs>
        <w:spacing w:before="0" w:after="0"/>
        <w:ind w:firstLine="709" w:start="0"/>
        <w:textAlignment w:val="baseline"/>
        <w:rPr>
          <w:rFonts w:eastAsia="Times New Roman" w:cs="Times New Roman"/>
          <w:color w:val="000000"/>
          <w:szCs w:val="28"/>
          <w:lang w:eastAsia="ru-RU"/>
        </w:rPr>
      </w:pPr>
      <w:r>
        <w:rPr>
          <w:rFonts w:eastAsia="Times New Roman" w:cs="Times New Roman"/>
          <w:color w:val="000000"/>
          <w:szCs w:val="28"/>
          <w:lang w:eastAsia="ru-RU"/>
        </w:rPr>
        <w:t>Создать программные компоненты промежуточного слоя (middleware) для автоматического перехвата сетевых пакетов, верификации токенов аутентификации и сквозной дешифрации содержимого JSON-документов на стороне бэкенда;</w:t>
      </w:r>
    </w:p>
    <w:p>
      <w:pPr>
        <w:pStyle w:val="Normal"/>
        <w:numPr>
          <w:ilvl w:val="1"/>
          <w:numId w:val="2"/>
        </w:numPr>
        <w:tabs>
          <w:tab w:val="clear" w:pos="708"/>
          <w:tab w:val="left" w:pos="284" w:leader="none"/>
          <w:tab w:val="left" w:pos="993" w:leader="none"/>
        </w:tabs>
        <w:spacing w:before="0" w:after="0"/>
        <w:ind w:firstLine="709" w:start="0"/>
        <w:textAlignment w:val="baseline"/>
        <w:rPr>
          <w:rFonts w:eastAsia="Times New Roman" w:cs="Times New Roman"/>
          <w:color w:val="000000"/>
          <w:szCs w:val="28"/>
          <w:lang w:eastAsia="ru-RU"/>
        </w:rPr>
      </w:pPr>
      <w:r>
        <w:rPr>
          <w:rFonts w:eastAsia="Times New Roman" w:cs="Times New Roman"/>
          <w:color w:val="000000"/>
          <w:szCs w:val="28"/>
          <w:lang w:eastAsia="ru-RU"/>
        </w:rPr>
        <w:t>Провести верификацию и комплексное тестирование разработанного софта, включая модульные тесты криптографических функций и нагрузочные испытания с фиксацией временных задержек при обработке зашифрованных данных.</w:t>
      </w:r>
    </w:p>
    <w:p>
      <w:pPr>
        <w:pStyle w:val="Normal"/>
        <w:numPr>
          <w:ilvl w:val="0"/>
          <w:numId w:val="1"/>
        </w:numPr>
        <w:tabs>
          <w:tab w:val="clear" w:pos="708"/>
          <w:tab w:val="left" w:pos="284" w:leader="none"/>
        </w:tabs>
        <w:spacing w:before="0" w:after="0"/>
        <w:ind w:hanging="0" w:start="0"/>
        <w:textAlignment w:val="baseline"/>
        <w:rPr>
          <w:rFonts w:eastAsia="Times New Roman" w:cs="Times New Roman"/>
          <w:color w:val="000000"/>
          <w:szCs w:val="28"/>
          <w:lang w:eastAsia="ru-RU"/>
        </w:rPr>
      </w:pPr>
      <w:r>
        <w:rPr>
          <w:rFonts w:eastAsia="Times New Roman" w:cs="Times New Roman"/>
          <w:color w:val="000000"/>
          <w:szCs w:val="28"/>
          <w:lang w:eastAsia="ru-RU"/>
        </w:rPr>
        <w:t>Рабочий график (план) выполнения дипломного проекта (работы):</w:t>
      </w:r>
    </w:p>
    <w:tbl>
      <w:tblPr>
        <w:tblW w:w="9363" w:type="dxa"/>
        <w:jc w:val="start"/>
        <w:tblInd w:w="0" w:type="dxa"/>
        <w:tblLayout w:type="fixed"/>
        <w:tblCellMar>
          <w:top w:w="100" w:type="dxa"/>
          <w:start w:w="100" w:type="dxa"/>
          <w:bottom w:w="100" w:type="dxa"/>
          <w:end w:w="100" w:type="dxa"/>
        </w:tblCellMar>
        <w:tblLook w:firstRow="1" w:noVBand="1" w:lastRow="0" w:firstColumn="1" w:lastColumn="0" w:noHBand="0" w:val="04a0"/>
      </w:tblPr>
      <w:tblGrid>
        <w:gridCol w:w="482"/>
        <w:gridCol w:w="6911"/>
        <w:gridCol w:w="1970"/>
      </w:tblGrid>
      <w:tr>
        <w:trPr>
          <w:trHeight w:val="382" w:hRule="atLeast"/>
        </w:trPr>
        <w:tc>
          <w:tcPr>
            <w:tcW w:w="482" w:type="dxa"/>
            <w:tcBorders>
              <w:top w:val="single" w:sz="8" w:space="0" w:color="000000"/>
              <w:start w:val="single" w:sz="8" w:space="0" w:color="000000"/>
              <w:bottom w:val="single" w:sz="8" w:space="0" w:color="000000"/>
              <w:end w:val="single" w:sz="8" w:space="0" w:color="000000"/>
            </w:tcBorders>
          </w:tcPr>
          <w:p>
            <w:pPr>
              <w:pStyle w:val="Normal"/>
              <w:spacing w:before="0"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6911" w:type="dxa"/>
            <w:tcBorders>
              <w:top w:val="single" w:sz="8" w:space="0" w:color="000000"/>
              <w:start w:val="single" w:sz="8" w:space="0" w:color="000000"/>
              <w:bottom w:val="single" w:sz="8" w:space="0" w:color="000000"/>
              <w:end w:val="single" w:sz="8" w:space="0" w:color="000000"/>
            </w:tcBorders>
          </w:tcPr>
          <w:p>
            <w:pPr>
              <w:pStyle w:val="Normal"/>
              <w:spacing w:before="0"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1970" w:type="dxa"/>
            <w:tcBorders>
              <w:top w:val="single" w:sz="8" w:space="0" w:color="000000"/>
              <w:start w:val="single" w:sz="8" w:space="0" w:color="000000"/>
              <w:bottom w:val="single" w:sz="8" w:space="0" w:color="000000"/>
              <w:end w:val="single" w:sz="8" w:space="0" w:color="000000"/>
            </w:tcBorders>
          </w:tcPr>
          <w:p>
            <w:pPr>
              <w:pStyle w:val="Normal"/>
              <w:spacing w:before="0"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trPr>
          <w:trHeight w:val="2425" w:hRule="atLeast"/>
        </w:trPr>
        <w:tc>
          <w:tcPr>
            <w:tcW w:w="482" w:type="dxa"/>
            <w:tcBorders>
              <w:top w:val="single" w:sz="8" w:space="0" w:color="000000"/>
              <w:start w:val="single" w:sz="8" w:space="0" w:color="000000"/>
              <w:bottom w:val="single" w:sz="8" w:space="0" w:color="000000"/>
              <w:end w:val="single" w:sz="8" w:space="0" w:color="000000"/>
            </w:tcBorders>
          </w:tcPr>
          <w:p>
            <w:pPr>
              <w:pStyle w:val="Normal"/>
              <w:spacing w:before="0" w:after="0"/>
              <w:jc w:val="start"/>
              <w:rPr>
                <w:rFonts w:eastAsia="Times New Roman" w:cs="Times New Roman"/>
                <w:szCs w:val="28"/>
                <w:lang w:eastAsia="ru-RU"/>
              </w:rPr>
            </w:pPr>
            <w:r>
              <w:rPr>
                <w:rFonts w:eastAsia="Times New Roman" w:cs="Times New Roman"/>
                <w:color w:val="000000"/>
                <w:szCs w:val="28"/>
                <w:lang w:eastAsia="ru-RU"/>
              </w:rPr>
              <w:t>1.</w:t>
            </w:r>
          </w:p>
        </w:tc>
        <w:tc>
          <w:tcPr>
            <w:tcW w:w="6911" w:type="dxa"/>
            <w:tcBorders>
              <w:top w:val="single" w:sz="8" w:space="0" w:color="000000"/>
              <w:start w:val="single" w:sz="8" w:space="0" w:color="000000"/>
              <w:bottom w:val="single" w:sz="8" w:space="0" w:color="000000"/>
              <w:end w:val="single" w:sz="8" w:space="0" w:color="000000"/>
            </w:tcBorders>
          </w:tcPr>
          <w:p>
            <w:pPr>
              <w:pStyle w:val="Normal"/>
              <w:spacing w:lineRule="auto" w:line="240" w:before="0" w:after="160"/>
              <w:jc w:val="start"/>
              <w:rPr>
                <w:sz w:val="24"/>
              </w:rPr>
            </w:pPr>
            <w:r>
              <w:rPr/>
              <w:t>Мониторинг научно-технических источников по теме исследования, детальный анализ рисков компрометации классических асимметричных алгоритмов, подбор профильной литературы и формирование комплекса функциональных и нефункциональных требований к разрабатываемой бэкенд-системе.</w:t>
            </w:r>
          </w:p>
        </w:tc>
        <w:tc>
          <w:tcPr>
            <w:tcW w:w="1970" w:type="dxa"/>
            <w:tcBorders>
              <w:top w:val="single" w:sz="8" w:space="0" w:color="000000"/>
              <w:start w:val="single" w:sz="8" w:space="0" w:color="000000"/>
              <w:bottom w:val="single" w:sz="8" w:space="0" w:color="000000"/>
              <w:end w:val="single" w:sz="8" w:space="0" w:color="000000"/>
            </w:tcBorders>
          </w:tcPr>
          <w:p>
            <w:pPr>
              <w:pStyle w:val="Normal"/>
              <w:spacing w:before="0" w:after="0"/>
              <w:jc w:val="start"/>
              <w:rPr>
                <w:rFonts w:eastAsia="Times New Roman" w:cs="Times New Roman"/>
                <w:szCs w:val="28"/>
                <w:lang w:eastAsia="ru-RU"/>
              </w:rPr>
            </w:pPr>
            <w:r>
              <w:rPr>
                <w:rFonts w:eastAsia="Times New Roman" w:cs="Times New Roman"/>
                <w:szCs w:val="28"/>
                <w:lang w:eastAsia="ru-RU"/>
              </w:rPr>
              <w:t>08.02.2026 – 27.02.2026</w:t>
            </w:r>
          </w:p>
        </w:tc>
      </w:tr>
      <w:tr>
        <w:trPr>
          <w:trHeight w:val="382" w:hRule="atLeast"/>
        </w:trPr>
        <w:tc>
          <w:tcPr>
            <w:tcW w:w="482" w:type="dxa"/>
            <w:tcBorders>
              <w:top w:val="single" w:sz="8" w:space="0" w:color="000000"/>
              <w:start w:val="single" w:sz="8" w:space="0" w:color="000000"/>
              <w:bottom w:val="single" w:sz="8" w:space="0" w:color="000000"/>
              <w:end w:val="single" w:sz="8" w:space="0" w:color="000000"/>
            </w:tcBorders>
          </w:tcPr>
          <w:p>
            <w:pPr>
              <w:pStyle w:val="Normal"/>
              <w:spacing w:before="0" w:after="0"/>
              <w:jc w:val="start"/>
              <w:rPr>
                <w:rFonts w:eastAsia="Times New Roman" w:cs="Times New Roman"/>
                <w:szCs w:val="28"/>
                <w:lang w:eastAsia="ru-RU"/>
              </w:rPr>
            </w:pPr>
            <w:r>
              <w:rPr>
                <w:rFonts w:eastAsia="Times New Roman" w:cs="Times New Roman"/>
                <w:color w:val="000000"/>
                <w:szCs w:val="28"/>
                <w:lang w:eastAsia="ru-RU"/>
              </w:rPr>
              <w:t>2.</w:t>
            </w:r>
          </w:p>
        </w:tc>
        <w:tc>
          <w:tcPr>
            <w:tcW w:w="6911" w:type="dxa"/>
            <w:tcBorders>
              <w:top w:val="single" w:sz="8" w:space="0" w:color="000000"/>
              <w:start w:val="single" w:sz="8" w:space="0" w:color="000000"/>
              <w:bottom w:val="single" w:sz="8" w:space="0" w:color="000000"/>
              <w:end w:val="single" w:sz="8" w:space="0" w:color="000000"/>
            </w:tcBorders>
          </w:tcPr>
          <w:p>
            <w:pPr>
              <w:pStyle w:val="Normal"/>
              <w:spacing w:lineRule="auto" w:line="240" w:before="0" w:after="160"/>
              <w:jc w:val="start"/>
              <w:rPr>
                <w:sz w:val="24"/>
              </w:rPr>
            </w:pPr>
            <w:r>
              <w:rPr/>
              <w:t>Разработка общей архитектуры программного комплекса, проектирование схемы реляционной базы данных PostgreSQL для учета состояний сессий, описание логики гибридного обмена ключами и развертывание базового каркаса RESTful API на фреймворке FastAPI.</w:t>
            </w:r>
          </w:p>
        </w:tc>
        <w:tc>
          <w:tcPr>
            <w:tcW w:w="1970" w:type="dxa"/>
            <w:tcBorders>
              <w:top w:val="single" w:sz="8" w:space="0" w:color="000000"/>
              <w:start w:val="single" w:sz="8" w:space="0" w:color="000000"/>
              <w:bottom w:val="single" w:sz="8" w:space="0" w:color="000000"/>
              <w:end w:val="single" w:sz="8" w:space="0" w:color="000000"/>
            </w:tcBorders>
          </w:tcPr>
          <w:p>
            <w:pPr>
              <w:pStyle w:val="Normal"/>
              <w:spacing w:before="0" w:after="0"/>
              <w:jc w:val="start"/>
              <w:rPr>
                <w:rFonts w:eastAsia="Times New Roman" w:cs="Times New Roman"/>
                <w:szCs w:val="28"/>
                <w:lang w:eastAsia="ru-RU"/>
              </w:rPr>
            </w:pPr>
            <w:r>
              <w:rPr>
                <w:rFonts w:eastAsia="Times New Roman" w:cs="Times New Roman"/>
                <w:szCs w:val="28"/>
                <w:lang w:eastAsia="ru-RU"/>
              </w:rPr>
              <w:t>01.03.2026 – 24.03.2026</w:t>
            </w:r>
          </w:p>
        </w:tc>
      </w:tr>
      <w:tr>
        <w:trPr>
          <w:trHeight w:val="399" w:hRule="atLeast"/>
        </w:trPr>
        <w:tc>
          <w:tcPr>
            <w:tcW w:w="482" w:type="dxa"/>
            <w:tcBorders>
              <w:top w:val="single" w:sz="8" w:space="0" w:color="000000"/>
              <w:start w:val="single" w:sz="8" w:space="0" w:color="000000"/>
              <w:bottom w:val="single" w:sz="8" w:space="0" w:color="000000"/>
              <w:end w:val="single" w:sz="8" w:space="0" w:color="000000"/>
            </w:tcBorders>
          </w:tcPr>
          <w:p>
            <w:pPr>
              <w:pStyle w:val="Normal"/>
              <w:spacing w:before="0" w:after="0"/>
              <w:jc w:val="start"/>
              <w:rPr>
                <w:rFonts w:eastAsia="Times New Roman" w:cs="Times New Roman"/>
                <w:szCs w:val="28"/>
                <w:lang w:eastAsia="ru-RU"/>
              </w:rPr>
            </w:pPr>
            <w:r>
              <w:rPr>
                <w:rFonts w:eastAsia="Times New Roman" w:cs="Times New Roman"/>
                <w:color w:val="000000"/>
                <w:szCs w:val="28"/>
                <w:lang w:eastAsia="ru-RU"/>
              </w:rPr>
              <w:t>3.</w:t>
            </w:r>
          </w:p>
        </w:tc>
        <w:tc>
          <w:tcPr>
            <w:tcW w:w="6911" w:type="dxa"/>
            <w:tcBorders>
              <w:top w:val="single" w:sz="8" w:space="0" w:color="000000"/>
              <w:start w:val="single" w:sz="8" w:space="0" w:color="000000"/>
              <w:bottom w:val="single" w:sz="8" w:space="0" w:color="000000"/>
              <w:end w:val="single" w:sz="8" w:space="0" w:color="000000"/>
            </w:tcBorders>
          </w:tcPr>
          <w:p>
            <w:pPr>
              <w:pStyle w:val="Normal"/>
              <w:spacing w:lineRule="auto" w:line="240" w:before="0" w:after="160"/>
              <w:jc w:val="start"/>
              <w:rPr>
                <w:sz w:val="24"/>
              </w:rPr>
            </w:pPr>
            <w:r>
              <w:rPr/>
              <w:t>Программная реализация механизмов безопасности прикладного уровня, интеграция симметричных шифров для защиты полезной нагрузки (payload), разработка промежуточного программного обеспечения (middleware) для автоматического парсинга и дешифрации пакетов данных, а также настройка ролевой модели авторизации.</w:t>
            </w:r>
          </w:p>
        </w:tc>
        <w:tc>
          <w:tcPr>
            <w:tcW w:w="1970" w:type="dxa"/>
            <w:tcBorders>
              <w:top w:val="single" w:sz="8" w:space="0" w:color="000000"/>
              <w:start w:val="single" w:sz="8" w:space="0" w:color="000000"/>
              <w:bottom w:val="single" w:sz="8" w:space="0" w:color="000000"/>
              <w:end w:val="single" w:sz="8" w:space="0" w:color="000000"/>
            </w:tcBorders>
          </w:tcPr>
          <w:p>
            <w:pPr>
              <w:pStyle w:val="Normal"/>
              <w:spacing w:before="0" w:after="0"/>
              <w:jc w:val="start"/>
              <w:rPr>
                <w:rFonts w:eastAsia="Times New Roman" w:cs="Times New Roman"/>
                <w:szCs w:val="28"/>
                <w:lang w:eastAsia="ru-RU"/>
              </w:rPr>
            </w:pPr>
            <w:r>
              <w:rPr>
                <w:rFonts w:eastAsia="Times New Roman" w:cs="Times New Roman"/>
                <w:szCs w:val="28"/>
                <w:lang w:eastAsia="ru-RU"/>
              </w:rPr>
              <w:t>25.03.2026 – 22.04.2026</w:t>
            </w:r>
          </w:p>
        </w:tc>
      </w:tr>
      <w:tr>
        <w:trPr>
          <w:trHeight w:val="399" w:hRule="atLeast"/>
        </w:trPr>
        <w:tc>
          <w:tcPr>
            <w:tcW w:w="482" w:type="dxa"/>
            <w:tcBorders>
              <w:top w:val="single" w:sz="8" w:space="0" w:color="000000"/>
              <w:start w:val="single" w:sz="8" w:space="0" w:color="000000"/>
              <w:bottom w:val="single" w:sz="8" w:space="0" w:color="000000"/>
              <w:end w:val="single" w:sz="8" w:space="0" w:color="000000"/>
            </w:tcBorders>
          </w:tcPr>
          <w:p>
            <w:pPr>
              <w:pStyle w:val="Normal"/>
              <w:spacing w:before="0" w:after="0"/>
              <w:jc w:val="start"/>
              <w:rPr>
                <w:rFonts w:eastAsia="Times New Roman" w:cs="Times New Roman"/>
                <w:color w:val="000000"/>
                <w:szCs w:val="28"/>
                <w:lang w:eastAsia="ru-RU"/>
              </w:rPr>
            </w:pPr>
            <w:r>
              <w:rPr>
                <w:rFonts w:eastAsia="Times New Roman" w:cs="Times New Roman"/>
                <w:color w:val="000000"/>
                <w:szCs w:val="28"/>
                <w:lang w:eastAsia="ru-RU"/>
              </w:rPr>
              <w:t>4.</w:t>
            </w:r>
          </w:p>
        </w:tc>
        <w:tc>
          <w:tcPr>
            <w:tcW w:w="6911" w:type="dxa"/>
            <w:tcBorders>
              <w:top w:val="single" w:sz="8" w:space="0" w:color="000000"/>
              <w:start w:val="single" w:sz="8" w:space="0" w:color="000000"/>
              <w:bottom w:val="single" w:sz="8" w:space="0" w:color="000000"/>
              <w:end w:val="single" w:sz="8" w:space="0" w:color="000000"/>
            </w:tcBorders>
          </w:tcPr>
          <w:p>
            <w:pPr>
              <w:pStyle w:val="Normal"/>
              <w:spacing w:lineRule="auto" w:line="240" w:before="0" w:after="160"/>
              <w:jc w:val="start"/>
              <w:rPr/>
            </w:pPr>
            <w:r>
              <w:rPr>
                <w:rFonts w:eastAsia="Times New Roman" w:cs="Times New Roman"/>
                <w:color w:val="000000"/>
                <w:szCs w:val="28"/>
                <w:lang w:eastAsia="ru-RU"/>
              </w:rPr>
              <w:t>Проведение комплексного тестирования системы, написание модульных и интеграционных тестов для проверки криптографического middleware, оценка производительности бэкенда под нагрузкой, контейнеризация компонентов с помощью Docker Compose и финальное оформление пояснительной записки.</w:t>
            </w:r>
          </w:p>
        </w:tc>
        <w:tc>
          <w:tcPr>
            <w:tcW w:w="1970" w:type="dxa"/>
            <w:tcBorders>
              <w:top w:val="single" w:sz="8" w:space="0" w:color="000000"/>
              <w:start w:val="single" w:sz="8" w:space="0" w:color="000000"/>
              <w:bottom w:val="single" w:sz="8" w:space="0" w:color="000000"/>
              <w:end w:val="single" w:sz="8" w:space="0" w:color="000000"/>
            </w:tcBorders>
          </w:tcPr>
          <w:p>
            <w:pPr>
              <w:pStyle w:val="Normal"/>
              <w:spacing w:before="0" w:after="0"/>
              <w:jc w:val="start"/>
              <w:rPr>
                <w:rFonts w:eastAsia="Times New Roman" w:cs="Times New Roman"/>
                <w:szCs w:val="28"/>
                <w:lang w:eastAsia="ru-RU"/>
              </w:rPr>
            </w:pPr>
            <w:r>
              <w:rPr>
                <w:rFonts w:eastAsia="Times New Roman" w:cs="Times New Roman"/>
                <w:szCs w:val="28"/>
                <w:lang w:eastAsia="ru-RU"/>
              </w:rPr>
              <w:t>23.04.2026 – 15.05.2026</w:t>
            </w:r>
          </w:p>
        </w:tc>
      </w:tr>
    </w:tbl>
    <w:p>
      <w:pPr>
        <w:pStyle w:val="Normal"/>
        <w:spacing w:before="0" w:after="0"/>
        <w:jc w:val="start"/>
        <w:rPr>
          <w:rFonts w:eastAsia="Times New Roman" w:cs="Times New Roman"/>
          <w:szCs w:val="28"/>
          <w:lang w:eastAsia="ru-RU"/>
        </w:rPr>
      </w:pPr>
      <w:r>
        <w:rPr>
          <w:rFonts w:eastAsia="Times New Roman" w:cs="Times New Roman"/>
          <w:szCs w:val="28"/>
          <w:lang w:eastAsia="ru-RU"/>
        </w:rPr>
      </w:r>
    </w:p>
    <w:p>
      <w:pPr>
        <w:pStyle w:val="Normal"/>
        <w:spacing w:before="0" w:after="0"/>
        <w:rPr>
          <w:rFonts w:eastAsia="Times New Roman" w:cs="Times New Roman"/>
          <w:szCs w:val="28"/>
          <w:lang w:eastAsia="ru-RU"/>
        </w:rPr>
      </w:pPr>
      <w:r>
        <w:rPr>
          <w:rFonts w:eastAsia="Times New Roman" w:cs="Times New Roman"/>
          <w:color w:val="000000"/>
          <w:szCs w:val="28"/>
          <w:lang w:eastAsia="ru-RU"/>
        </w:rPr>
        <w:t>Дата выдачи: «___» ____________ 2026 г.</w:t>
      </w:r>
    </w:p>
    <w:p>
      <w:pPr>
        <w:pStyle w:val="Normal"/>
        <w:spacing w:before="0" w:after="0"/>
        <w:rPr>
          <w:rFonts w:eastAsia="Times New Roman" w:cs="Times New Roman"/>
          <w:color w:val="000000"/>
          <w:szCs w:val="28"/>
          <w:lang w:eastAsia="ru-RU"/>
        </w:rPr>
      </w:pPr>
      <w:r>
        <w:rPr>
          <w:rFonts w:eastAsia="Times New Roman" w:cs="Times New Roman"/>
          <w:color w:val="000000"/>
          <w:szCs w:val="28"/>
          <w:lang w:eastAsia="ru-RU"/>
        </w:rPr>
      </w:r>
    </w:p>
    <w:p>
      <w:pPr>
        <w:pStyle w:val="Normal"/>
        <w:spacing w:before="0" w:after="0"/>
        <w:rPr>
          <w:rFonts w:eastAsia="Times New Roman" w:cs="Times New Roman"/>
          <w:szCs w:val="28"/>
          <w:lang w:eastAsia="ru-RU"/>
        </w:rPr>
      </w:pPr>
      <w:r>
        <w:rPr>
          <w:rFonts w:eastAsia="Times New Roman" w:cs="Times New Roman"/>
          <w:color w:val="000000"/>
          <w:szCs w:val="28"/>
          <w:lang w:eastAsia="ru-RU"/>
        </w:rPr>
        <w:t>Руководитель:</w:t>
      </w:r>
    </w:p>
    <w:p>
      <w:pPr>
        <w:pStyle w:val="Normal"/>
        <w:spacing w:before="0" w:after="0"/>
        <w:rPr>
          <w:rFonts w:eastAsia="Times New Roman" w:cs="Times New Roman"/>
          <w:szCs w:val="28"/>
          <w:lang w:eastAsia="ru-RU"/>
        </w:rPr>
      </w:pPr>
      <w:r>
        <w:rPr>
          <w:rFonts w:eastAsia="Times New Roman" w:cs="Times New Roman"/>
          <w:color w:val="000000"/>
          <w:szCs w:val="28"/>
          <w:lang w:eastAsia="ru-RU"/>
        </w:rPr>
        <w:t>_______________ В. В. Микишенко</w:t>
      </w:r>
    </w:p>
    <w:p>
      <w:pPr>
        <w:pStyle w:val="Normal"/>
        <w:spacing w:before="0" w:after="0"/>
        <w:rPr>
          <w:rFonts w:eastAsia="Times New Roman" w:cs="Times New Roman"/>
          <w:color w:val="000000"/>
          <w:szCs w:val="28"/>
          <w:lang w:eastAsia="ru-RU"/>
        </w:rPr>
      </w:pPr>
      <w:r>
        <w:rPr>
          <w:rFonts w:eastAsia="Times New Roman" w:cs="Times New Roman"/>
          <w:color w:val="000000"/>
          <w:szCs w:val="28"/>
          <w:lang w:eastAsia="ru-RU"/>
        </w:rPr>
      </w:r>
    </w:p>
    <w:p>
      <w:pPr>
        <w:pStyle w:val="Normal"/>
        <w:spacing w:before="0" w:after="0"/>
        <w:rPr>
          <w:rFonts w:eastAsia="Times New Roman" w:cs="Times New Roman"/>
          <w:szCs w:val="28"/>
          <w:lang w:eastAsia="ru-RU"/>
        </w:rPr>
      </w:pPr>
      <w:r>
        <w:rPr>
          <w:rFonts w:eastAsia="Times New Roman" w:cs="Times New Roman"/>
          <w:color w:val="000000"/>
          <w:szCs w:val="28"/>
          <w:lang w:eastAsia="ru-RU"/>
        </w:rPr>
        <w:t>Задание принял к исполнению:</w:t>
      </w:r>
    </w:p>
    <w:p>
      <w:pPr>
        <w:pStyle w:val="Normal"/>
        <w:spacing w:before="0" w:after="0"/>
        <w:rPr>
          <w:rFonts w:eastAsia="Times New Roman" w:cs="Times New Roman"/>
          <w:szCs w:val="28"/>
          <w:lang w:eastAsia="ru-RU"/>
        </w:rPr>
      </w:pPr>
      <w:r>
        <w:rPr>
          <w:rFonts w:eastAsia="Times New Roman" w:cs="Times New Roman"/>
          <w:color w:val="000000"/>
          <w:szCs w:val="28"/>
          <w:lang w:eastAsia="ru-RU"/>
        </w:rPr>
        <w:t>Студент группы К0709-22</w:t>
      </w:r>
    </w:p>
    <w:p>
      <w:pPr>
        <w:pStyle w:val="Normal"/>
        <w:spacing w:lineRule="auto" w:line="240" w:before="0" w:after="0"/>
        <w:rPr>
          <w:rFonts w:eastAsia="Times New Roman" w:cs="Times New Roman"/>
          <w:color w:val="000000"/>
          <w:szCs w:val="28"/>
          <w:lang w:eastAsia="ru-RU"/>
        </w:rPr>
      </w:pPr>
      <w:r>
        <w:rPr>
          <w:rFonts w:eastAsia="Times New Roman" w:cs="Times New Roman"/>
          <w:color w:val="000000"/>
          <w:szCs w:val="28"/>
          <w:lang w:eastAsia="ru-RU"/>
        </w:rPr>
        <w:t>_______________ А. В. Зайцев</w:t>
      </w:r>
    </w:p>
    <w:p>
      <w:pPr>
        <w:pStyle w:val="Normal"/>
        <w:spacing w:lineRule="auto" w:line="240" w:before="0" w:after="0"/>
        <w:rPr>
          <w:rFonts w:eastAsia="Times New Roman" w:cs="Times New Roman"/>
          <w:color w:val="000000"/>
          <w:szCs w:val="28"/>
          <w:vertAlign w:val="superscript"/>
          <w:lang w:eastAsia="ru-RU"/>
        </w:rPr>
      </w:pPr>
      <w:r>
        <w:rPr>
          <w:rFonts w:eastAsia="Times New Roman" w:cs="Times New Roman"/>
          <w:color w:val="000000"/>
          <w:szCs w:val="28"/>
          <w:vertAlign w:val="superscript"/>
          <w:lang w:eastAsia="ru-RU"/>
        </w:rPr>
        <w:t xml:space="preserve">            </w:t>
      </w:r>
      <w:r>
        <w:rPr>
          <w:rFonts w:eastAsia="Times New Roman" w:cs="Times New Roman"/>
          <w:color w:val="000000"/>
          <w:szCs w:val="28"/>
          <w:vertAlign w:val="superscript"/>
          <w:lang w:eastAsia="ru-RU"/>
        </w:rPr>
        <w:t>(подпись)                       ФИО</w:t>
      </w:r>
    </w:p>
    <w:p>
      <w:pPr>
        <w:pStyle w:val="Normal"/>
        <w:spacing w:lineRule="auto" w:line="240" w:before="0" w:after="0"/>
        <w:rPr>
          <w:rFonts w:eastAsia="Times New Roman" w:cs="Times New Roman"/>
          <w:color w:val="000000"/>
          <w:szCs w:val="28"/>
          <w:lang w:eastAsia="ru-RU"/>
        </w:rPr>
      </w:pPr>
      <w:r>
        <w:rPr>
          <w:rFonts w:eastAsia="Times New Roman" w:cs="Times New Roman"/>
          <w:color w:val="000000"/>
          <w:szCs w:val="28"/>
          <w:lang w:eastAsia="ru-RU"/>
        </w:rPr>
      </w:r>
    </w:p>
    <w:p>
      <w:pPr>
        <w:pStyle w:val="Normal"/>
        <w:spacing w:lineRule="auto" w:line="240" w:before="0" w:after="0"/>
        <w:rPr>
          <w:rFonts w:eastAsia="Times New Roman" w:cs="Times New Roman"/>
          <w:szCs w:val="28"/>
          <w:lang w:eastAsia="ru-RU"/>
        </w:rPr>
      </w:pPr>
      <w:r>
        <w:rPr>
          <w:rFonts w:eastAsia="Times New Roman" w:cs="Times New Roman"/>
          <w:color w:val="000000"/>
          <w:szCs w:val="28"/>
          <w:lang w:eastAsia="ru-RU"/>
        </w:rPr>
        <w:t>«___» ____________ 2026 г. </w:t>
      </w:r>
    </w:p>
    <w:p>
      <w:pPr>
        <w:pStyle w:val="Normal"/>
        <w:spacing w:lineRule="auto" w:line="259"/>
        <w:jc w:val="start"/>
        <w:rPr>
          <w:rFonts w:eastAsia="Times New Roman" w:cs="Times New Roman"/>
          <w:b/>
          <w:bCs/>
          <w:color w:val="000000"/>
          <w:szCs w:val="28"/>
          <w:lang w:eastAsia="ru-RU"/>
        </w:rPr>
      </w:pPr>
      <w:r>
        <w:rPr>
          <w:rFonts w:eastAsia="Times New Roman" w:cs="Times New Roman"/>
          <w:b/>
          <w:bCs/>
          <w:color w:val="000000"/>
          <w:szCs w:val="28"/>
          <w:lang w:eastAsia="ru-RU"/>
        </w:rPr>
      </w:r>
      <w:r>
        <w:br w:type="page"/>
      </w:r>
    </w:p>
    <w:p>
      <w:pPr>
        <w:pStyle w:val="Normal"/>
        <w:spacing w:lineRule="auto" w:line="259" w:before="0" w:after="160"/>
        <w:jc w:val="center"/>
        <w:rPr>
          <w:b/>
        </w:rPr>
      </w:pPr>
      <w:r>
        <w:rPr>
          <w:rFonts w:cs="Times New Roman"/>
          <w:b/>
          <w:szCs w:val="28"/>
        </w:rPr>
        <w:t>Сокращения, обозначения, термины и определения</w:t>
      </w:r>
    </w:p>
    <w:p>
      <w:pPr>
        <w:pStyle w:val="Normal"/>
        <w:spacing w:lineRule="auto" w:line="259"/>
        <w:jc w:val="start"/>
        <w:rPr/>
      </w:pPr>
      <w:r>
        <w:rPr/>
      </w:r>
    </w:p>
    <w:p>
      <w:pPr>
        <w:pStyle w:val="Normal"/>
        <w:widowControl w:val="false"/>
        <w:spacing w:before="0" w:after="0"/>
        <w:ind w:firstLine="709"/>
        <w:rPr/>
      </w:pPr>
      <w:r>
        <w:rPr>
          <w:rFonts w:cs="Times New Roman"/>
          <w:szCs w:val="28"/>
        </w:rPr>
        <w:t xml:space="preserve">В настоящей работе применяют следующие термины </w:t>
        <w:br/>
        <w:t>с соответствующими определениями</w:t>
      </w:r>
      <w:r>
        <w:rPr/>
        <w:t>:</w:t>
      </w:r>
    </w:p>
    <w:p>
      <w:pPr>
        <w:pStyle w:val="ListParagraph"/>
        <w:widowControl w:val="false"/>
        <w:numPr>
          <w:ilvl w:val="0"/>
          <w:numId w:val="4"/>
        </w:numPr>
        <w:spacing w:before="0" w:after="0"/>
        <w:ind w:firstLine="709" w:start="0"/>
        <w:contextualSpacing/>
        <w:jc w:val="start"/>
        <w:rPr/>
      </w:pPr>
      <w:r>
        <w:rPr>
          <w:lang w:val="en-US"/>
        </w:rPr>
        <w:t xml:space="preserve">API – Application Programming Interface (программный интерфейс приложения). </w:t>
      </w:r>
      <w:r>
        <w:rPr/>
        <w:t>Набор правил и инструментов, позволяющий различным программам взаимодействовать друг с другом.</w:t>
      </w:r>
    </w:p>
    <w:p>
      <w:pPr>
        <w:pStyle w:val="ListParagraph"/>
        <w:widowControl w:val="false"/>
        <w:numPr>
          <w:ilvl w:val="0"/>
          <w:numId w:val="4"/>
        </w:numPr>
        <w:spacing w:before="0" w:after="0"/>
        <w:ind w:firstLine="709" w:start="0"/>
        <w:contextualSpacing/>
        <w:jc w:val="start"/>
        <w:rPr/>
      </w:pPr>
      <w:r>
        <w:rPr>
          <w:lang w:val="en-US"/>
        </w:rPr>
        <w:t xml:space="preserve">REST API – Representational State Transfer API. </w:t>
      </w:r>
      <w:r>
        <w:rPr/>
        <w:t>Архитектурный стиль построения веб-</w:t>
      </w:r>
      <w:r>
        <w:rPr>
          <w:lang w:val="en-US"/>
        </w:rPr>
        <w:t>API</w:t>
      </w:r>
      <w:r>
        <w:rPr/>
        <w:t xml:space="preserve">, использующий стандартные </w:t>
      </w:r>
      <w:r>
        <w:rPr>
          <w:lang w:val="en-US"/>
        </w:rPr>
        <w:t>HTTP</w:t>
      </w:r>
      <w:r>
        <w:rPr/>
        <w:t xml:space="preserve">-методы и обмен данными в формате </w:t>
      </w:r>
      <w:r>
        <w:rPr>
          <w:lang w:val="en-US"/>
        </w:rPr>
        <w:t>JSON</w:t>
      </w:r>
      <w:r>
        <w:rPr/>
        <w:t>.</w:t>
      </w:r>
    </w:p>
    <w:p>
      <w:pPr>
        <w:pStyle w:val="ListParagraph"/>
        <w:widowControl w:val="false"/>
        <w:numPr>
          <w:ilvl w:val="0"/>
          <w:numId w:val="4"/>
        </w:numPr>
        <w:spacing w:before="0" w:after="0"/>
        <w:ind w:firstLine="709" w:start="0"/>
        <w:contextualSpacing/>
        <w:jc w:val="start"/>
        <w:rPr/>
      </w:pPr>
      <w:r>
        <w:rPr>
          <w:lang w:val="en-US"/>
        </w:rPr>
        <w:t>JWT</w:t>
      </w:r>
      <w:r>
        <w:rPr/>
        <w:t xml:space="preserve"> – </w:t>
      </w:r>
      <w:r>
        <w:rPr>
          <w:lang w:val="en-US"/>
        </w:rPr>
        <w:t>JSON</w:t>
      </w:r>
      <w:r>
        <w:rPr/>
        <w:t xml:space="preserve"> </w:t>
      </w:r>
      <w:r>
        <w:rPr>
          <w:lang w:val="en-US"/>
        </w:rPr>
        <w:t>Web</w:t>
      </w:r>
      <w:r>
        <w:rPr/>
        <w:t xml:space="preserve"> </w:t>
      </w:r>
      <w:r>
        <w:rPr>
          <w:lang w:val="en-US"/>
        </w:rPr>
        <w:t>Token</w:t>
      </w:r>
      <w:r>
        <w:rPr/>
        <w:t xml:space="preserve">. Компактный и самодостаточный способ передачи информации между сторонами в виде </w:t>
      </w:r>
      <w:r>
        <w:rPr>
          <w:lang w:val="en-US"/>
        </w:rPr>
        <w:t>JSON</w:t>
      </w:r>
      <w:r>
        <w:rPr/>
        <w:t>-объекта, используемый для аутентификации и авторизации.</w:t>
      </w:r>
    </w:p>
    <w:p>
      <w:pPr>
        <w:pStyle w:val="ListParagraph"/>
        <w:widowControl w:val="false"/>
        <w:numPr>
          <w:ilvl w:val="0"/>
          <w:numId w:val="4"/>
        </w:numPr>
        <w:spacing w:before="0" w:after="0"/>
        <w:ind w:firstLine="709" w:start="0"/>
        <w:contextualSpacing/>
        <w:jc w:val="start"/>
        <w:rPr/>
      </w:pPr>
      <w:r>
        <w:rPr>
          <w:lang w:val="en-US"/>
        </w:rPr>
        <w:t>JSON</w:t>
      </w:r>
      <w:r>
        <w:rPr/>
        <w:t xml:space="preserve"> – </w:t>
      </w:r>
      <w:r>
        <w:rPr>
          <w:lang w:val="en-US"/>
        </w:rPr>
        <w:t>JavaScript</w:t>
      </w:r>
      <w:r>
        <w:rPr/>
        <w:t xml:space="preserve"> </w:t>
      </w:r>
      <w:r>
        <w:rPr>
          <w:lang w:val="en-US"/>
        </w:rPr>
        <w:t>Object</w:t>
      </w:r>
      <w:r>
        <w:rPr/>
        <w:t xml:space="preserve"> </w:t>
      </w:r>
      <w:r>
        <w:rPr>
          <w:lang w:val="en-US"/>
        </w:rPr>
        <w:t>Notation</w:t>
      </w:r>
      <w:r>
        <w:rPr/>
        <w:t xml:space="preserve">. Легкий текстовый формат обмена данными, основанный на синтаксисе </w:t>
      </w:r>
      <w:r>
        <w:rPr>
          <w:lang w:val="en-US"/>
        </w:rPr>
        <w:t>JavaScript</w:t>
      </w:r>
      <w:r>
        <w:rPr/>
        <w:t>.</w:t>
      </w:r>
    </w:p>
    <w:p>
      <w:pPr>
        <w:pStyle w:val="ListParagraph"/>
        <w:widowControl w:val="false"/>
        <w:numPr>
          <w:ilvl w:val="0"/>
          <w:numId w:val="4"/>
        </w:numPr>
        <w:spacing w:before="0" w:after="0"/>
        <w:ind w:firstLine="709" w:start="0"/>
        <w:contextualSpacing/>
        <w:jc w:val="start"/>
        <w:rPr/>
      </w:pPr>
      <w:r>
        <w:rPr>
          <w:lang w:val="en-US"/>
        </w:rPr>
        <w:t>URL</w:t>
      </w:r>
      <w:r>
        <w:rPr/>
        <w:t xml:space="preserve"> – </w:t>
      </w:r>
      <w:r>
        <w:rPr>
          <w:lang w:val="en-US"/>
        </w:rPr>
        <w:t>Uniform</w:t>
      </w:r>
      <w:r>
        <w:rPr/>
        <w:t xml:space="preserve"> </w:t>
      </w:r>
      <w:r>
        <w:rPr>
          <w:lang w:val="en-US"/>
        </w:rPr>
        <w:t>Resource</w:t>
      </w:r>
      <w:r>
        <w:rPr/>
        <w:t xml:space="preserve"> </w:t>
      </w:r>
      <w:r>
        <w:rPr>
          <w:lang w:val="en-US"/>
        </w:rPr>
        <w:t>Locator</w:t>
      </w:r>
      <w:r>
        <w:rPr/>
        <w:t>. Указатель местоположения интернет-ресурса.</w:t>
      </w:r>
    </w:p>
    <w:p>
      <w:pPr>
        <w:pStyle w:val="ListParagraph"/>
        <w:widowControl w:val="false"/>
        <w:numPr>
          <w:ilvl w:val="0"/>
          <w:numId w:val="4"/>
        </w:numPr>
        <w:spacing w:before="0" w:after="0"/>
        <w:ind w:firstLine="709" w:start="0"/>
        <w:contextualSpacing/>
        <w:jc w:val="start"/>
        <w:rPr/>
      </w:pPr>
      <w:r>
        <w:rPr>
          <w:lang w:val="en-US"/>
        </w:rPr>
        <w:t>RBAC</w:t>
      </w:r>
      <w:r>
        <w:rPr/>
        <w:t xml:space="preserve"> – </w:t>
      </w:r>
      <w:r>
        <w:rPr>
          <w:lang w:val="en-US"/>
        </w:rPr>
        <w:t>Role</w:t>
      </w:r>
      <w:r>
        <w:rPr/>
        <w:t>-</w:t>
      </w:r>
      <w:r>
        <w:rPr>
          <w:lang w:val="en-US"/>
        </w:rPr>
        <w:t>Based</w:t>
      </w:r>
      <w:r>
        <w:rPr/>
        <w:t xml:space="preserve"> </w:t>
      </w:r>
      <w:r>
        <w:rPr>
          <w:lang w:val="en-US"/>
        </w:rPr>
        <w:t>Access</w:t>
      </w:r>
      <w:r>
        <w:rPr/>
        <w:t xml:space="preserve"> </w:t>
      </w:r>
      <w:r>
        <w:rPr>
          <w:lang w:val="en-US"/>
        </w:rPr>
        <w:t>Control</w:t>
      </w:r>
      <w:r>
        <w:rPr/>
        <w:t xml:space="preserve"> (ролевая модель управления доступом). Метод разграничения прав доступа, при котором права назначаются на основе роли пользователя в системе.</w:t>
      </w:r>
    </w:p>
    <w:p>
      <w:pPr>
        <w:pStyle w:val="ListParagraph"/>
        <w:widowControl w:val="false"/>
        <w:numPr>
          <w:ilvl w:val="0"/>
          <w:numId w:val="4"/>
        </w:numPr>
        <w:spacing w:before="0" w:after="0"/>
        <w:ind w:firstLine="709" w:start="0"/>
        <w:contextualSpacing/>
        <w:jc w:val="start"/>
        <w:rPr/>
      </w:pPr>
      <w:r>
        <w:rPr>
          <w:lang w:val="en-US"/>
        </w:rPr>
        <w:t xml:space="preserve">CRUD – Create, Read, Update, Delete. </w:t>
      </w:r>
      <w:r>
        <w:rPr/>
        <w:t xml:space="preserve">Аббревиатура для обозначения четырех базовых операций, используемых при работе с базами данных и </w:t>
      </w:r>
      <w:r>
        <w:rPr>
          <w:lang w:val="en-US"/>
        </w:rPr>
        <w:t>API</w:t>
      </w:r>
      <w:r>
        <w:rPr/>
        <w:t>.</w:t>
      </w:r>
    </w:p>
    <w:p>
      <w:pPr>
        <w:pStyle w:val="ListParagraph"/>
        <w:widowControl w:val="false"/>
        <w:numPr>
          <w:ilvl w:val="0"/>
          <w:numId w:val="4"/>
        </w:numPr>
        <w:spacing w:before="0" w:after="0"/>
        <w:ind w:firstLine="709" w:start="0"/>
        <w:contextualSpacing/>
        <w:jc w:val="start"/>
        <w:rPr/>
      </w:pPr>
      <w:r>
        <w:rPr>
          <w:lang w:val="en-US"/>
        </w:rPr>
        <w:t>SPA</w:t>
      </w:r>
      <w:r>
        <w:rPr/>
        <w:t xml:space="preserve"> – </w:t>
      </w:r>
      <w:r>
        <w:rPr>
          <w:lang w:val="en-US"/>
        </w:rPr>
        <w:t>Single</w:t>
      </w:r>
      <w:r>
        <w:rPr/>
        <w:t xml:space="preserve"> </w:t>
      </w:r>
      <w:r>
        <w:rPr>
          <w:lang w:val="en-US"/>
        </w:rPr>
        <w:t>Page</w:t>
      </w:r>
      <w:r>
        <w:rPr/>
        <w:t xml:space="preserve"> </w:t>
      </w:r>
      <w:r>
        <w:rPr>
          <w:lang w:val="en-US"/>
        </w:rPr>
        <w:t>Application</w:t>
      </w:r>
      <w:r>
        <w:rPr/>
        <w:t xml:space="preserve"> (одностраничное приложение). Веб-приложение, которое загружается один раз и динамически обновляет содержимое без перезагрузки страницы.</w:t>
      </w:r>
    </w:p>
    <w:p>
      <w:pPr>
        <w:pStyle w:val="ListParagraph"/>
        <w:widowControl w:val="false"/>
        <w:numPr>
          <w:ilvl w:val="0"/>
          <w:numId w:val="4"/>
        </w:numPr>
        <w:spacing w:before="0" w:after="0"/>
        <w:ind w:firstLine="709" w:start="0"/>
        <w:contextualSpacing/>
        <w:jc w:val="start"/>
        <w:rPr/>
      </w:pPr>
      <w:r>
        <w:rPr>
          <w:bCs/>
        </w:rPr>
        <w:t>UI</w:t>
      </w:r>
      <w:r>
        <w:rPr/>
        <w:t xml:space="preserve"> – User Interface. Пользовательский интерфейс, совокупность элементов, с которыми взаимодействует пользователь.</w:t>
      </w:r>
    </w:p>
    <w:p>
      <w:pPr>
        <w:pStyle w:val="ListParagraph"/>
        <w:widowControl w:val="false"/>
        <w:numPr>
          <w:ilvl w:val="0"/>
          <w:numId w:val="4"/>
        </w:numPr>
        <w:spacing w:before="0" w:after="0"/>
        <w:ind w:firstLine="709" w:start="0"/>
        <w:contextualSpacing/>
        <w:jc w:val="start"/>
        <w:rPr/>
      </w:pPr>
      <w:r>
        <w:rPr>
          <w:lang w:val="en-US"/>
        </w:rPr>
        <w:t>ORM</w:t>
      </w:r>
      <w:r>
        <w:rPr/>
        <w:t xml:space="preserve"> – </w:t>
      </w:r>
      <w:r>
        <w:rPr>
          <w:lang w:val="en-US"/>
        </w:rPr>
        <w:t>Object</w:t>
      </w:r>
      <w:r>
        <w:rPr/>
        <w:t>-</w:t>
      </w:r>
      <w:r>
        <w:rPr>
          <w:lang w:val="en-US"/>
        </w:rPr>
        <w:t>Relational</w:t>
      </w:r>
      <w:r>
        <w:rPr/>
        <w:t xml:space="preserve"> </w:t>
      </w:r>
      <w:r>
        <w:rPr>
          <w:lang w:val="en-US"/>
        </w:rPr>
        <w:t>Mapping</w:t>
      </w:r>
      <w:r>
        <w:rPr/>
        <w:t xml:space="preserve"> (объектно-реляционное отображение). Технология, позволяющая работать с базой данных через объекты языка программирования, не используя </w:t>
      </w:r>
      <w:r>
        <w:rPr>
          <w:lang w:val="en-US"/>
        </w:rPr>
        <w:t>SQL</w:t>
      </w:r>
      <w:r>
        <w:rPr/>
        <w:t>-запросы напрямую.</w:t>
      </w:r>
    </w:p>
    <w:p>
      <w:pPr>
        <w:pStyle w:val="ListParagraph"/>
        <w:widowControl w:val="false"/>
        <w:numPr>
          <w:ilvl w:val="0"/>
          <w:numId w:val="4"/>
        </w:numPr>
        <w:spacing w:before="0" w:after="0"/>
        <w:ind w:firstLine="709" w:start="0"/>
        <w:contextualSpacing/>
        <w:jc w:val="start"/>
        <w:rPr/>
      </w:pPr>
      <w:r>
        <w:rPr>
          <w:lang w:val="en-US"/>
        </w:rPr>
        <w:t>CORS</w:t>
      </w:r>
      <w:r>
        <w:rPr/>
        <w:t xml:space="preserve"> – </w:t>
      </w:r>
      <w:r>
        <w:rPr>
          <w:lang w:val="en-US"/>
        </w:rPr>
        <w:t>Cross</w:t>
      </w:r>
      <w:r>
        <w:rPr/>
        <w:t>-</w:t>
      </w:r>
      <w:r>
        <w:rPr>
          <w:lang w:val="en-US"/>
        </w:rPr>
        <w:t>Origin</w:t>
      </w:r>
      <w:r>
        <w:rPr/>
        <w:t xml:space="preserve"> </w:t>
      </w:r>
      <w:r>
        <w:rPr>
          <w:lang w:val="en-US"/>
        </w:rPr>
        <w:t>Resource</w:t>
      </w:r>
      <w:r>
        <w:rPr/>
        <w:t xml:space="preserve"> </w:t>
      </w:r>
      <w:r>
        <w:rPr>
          <w:lang w:val="en-US"/>
        </w:rPr>
        <w:t>Sharing</w:t>
      </w:r>
      <w:r>
        <w:rPr/>
        <w:t xml:space="preserve"> (совместное использование ресурсов между разными источниками). Механизм, позволяющий веб-странице запрашивать ресурсы с другого домена.</w:t>
      </w:r>
    </w:p>
    <w:p>
      <w:pPr>
        <w:pStyle w:val="ListParagraph"/>
        <w:widowControl w:val="false"/>
        <w:numPr>
          <w:ilvl w:val="0"/>
          <w:numId w:val="4"/>
        </w:numPr>
        <w:spacing w:before="0" w:after="0"/>
        <w:ind w:firstLine="709" w:start="0"/>
        <w:contextualSpacing/>
        <w:jc w:val="start"/>
        <w:rPr/>
      </w:pPr>
      <w:r>
        <w:rPr>
          <w:lang w:val="en-US"/>
        </w:rPr>
        <w:t>HTTP</w:t>
      </w:r>
      <w:r>
        <w:rPr/>
        <w:t xml:space="preserve"> – </w:t>
      </w:r>
      <w:r>
        <w:rPr>
          <w:lang w:val="en-US"/>
        </w:rPr>
        <w:t>HyperText</w:t>
      </w:r>
      <w:r>
        <w:rPr/>
        <w:t xml:space="preserve"> </w:t>
      </w:r>
      <w:r>
        <w:rPr>
          <w:lang w:val="en-US"/>
        </w:rPr>
        <w:t>Transfer</w:t>
      </w:r>
      <w:r>
        <w:rPr/>
        <w:t xml:space="preserve"> </w:t>
      </w:r>
      <w:r>
        <w:rPr>
          <w:lang w:val="en-US"/>
        </w:rPr>
        <w:t>Protocol</w:t>
      </w:r>
      <w:r>
        <w:rPr/>
        <w:t>. Протокол передачи гипертекста, используемый для обмена данными в интернете.</w:t>
      </w:r>
    </w:p>
    <w:p>
      <w:pPr>
        <w:pStyle w:val="ListParagraph"/>
        <w:widowControl w:val="false"/>
        <w:numPr>
          <w:ilvl w:val="0"/>
          <w:numId w:val="4"/>
        </w:numPr>
        <w:spacing w:before="0" w:after="0"/>
        <w:ind w:firstLine="709" w:start="0"/>
        <w:contextualSpacing/>
        <w:jc w:val="start"/>
        <w:rPr/>
      </w:pPr>
      <w:r>
        <w:rPr>
          <w:lang w:val="en-US"/>
        </w:rPr>
        <w:t xml:space="preserve">HTTPS – HyperText Transfer Protocol Secure. </w:t>
      </w:r>
      <w:r>
        <w:rPr/>
        <w:t xml:space="preserve">Защищенная версия протокола </w:t>
      </w:r>
      <w:r>
        <w:rPr>
          <w:lang w:val="en-US"/>
        </w:rPr>
        <w:t>HTTP</w:t>
      </w:r>
      <w:r>
        <w:rPr/>
        <w:t>, использующая шифрование.</w:t>
      </w:r>
    </w:p>
    <w:p>
      <w:pPr>
        <w:pStyle w:val="ListParagraph"/>
        <w:widowControl w:val="false"/>
        <w:numPr>
          <w:ilvl w:val="0"/>
          <w:numId w:val="4"/>
        </w:numPr>
        <w:spacing w:before="0" w:after="0"/>
        <w:ind w:firstLine="709" w:start="0"/>
        <w:contextualSpacing/>
        <w:jc w:val="start"/>
        <w:rPr/>
      </w:pPr>
      <w:r>
        <w:rPr>
          <w:lang w:val="en-US"/>
        </w:rPr>
        <w:t xml:space="preserve">CSRF – Cross-Site Request Forgery (межсайтовая подделка запроса). </w:t>
      </w:r>
      <w:r>
        <w:rPr/>
        <w:t>Тип атаки, при которой злоумышленник заставляет пользователя выполнить нежелательное действие на сайте, где он аутентифицирован.</w:t>
      </w:r>
    </w:p>
    <w:p>
      <w:pPr>
        <w:pStyle w:val="ListParagraph"/>
        <w:widowControl w:val="false"/>
        <w:numPr>
          <w:ilvl w:val="0"/>
          <w:numId w:val="4"/>
        </w:numPr>
        <w:spacing w:before="0" w:after="0"/>
        <w:ind w:firstLine="709" w:start="0"/>
        <w:contextualSpacing/>
        <w:jc w:val="start"/>
        <w:rPr/>
      </w:pPr>
      <w:r>
        <w:rPr>
          <w:lang w:val="en-US"/>
        </w:rPr>
        <w:t>SQL</w:t>
      </w:r>
      <w:r>
        <w:rPr/>
        <w:t xml:space="preserve"> – </w:t>
      </w:r>
      <w:r>
        <w:rPr>
          <w:lang w:val="en-US"/>
        </w:rPr>
        <w:t>Structured</w:t>
      </w:r>
      <w:r>
        <w:rPr/>
        <w:t xml:space="preserve"> </w:t>
      </w:r>
      <w:r>
        <w:rPr>
          <w:lang w:val="en-US"/>
        </w:rPr>
        <w:t>Query</w:t>
      </w:r>
      <w:r>
        <w:rPr/>
        <w:t xml:space="preserve"> </w:t>
      </w:r>
      <w:r>
        <w:rPr>
          <w:lang w:val="en-US"/>
        </w:rPr>
        <w:t>Language</w:t>
      </w:r>
      <w:r>
        <w:rPr/>
        <w:t>. Язык структурированных запросов, используемый для управления реляционными базами данных.</w:t>
      </w:r>
    </w:p>
    <w:p>
      <w:pPr>
        <w:pStyle w:val="ListParagraph"/>
        <w:widowControl w:val="false"/>
        <w:numPr>
          <w:ilvl w:val="0"/>
          <w:numId w:val="4"/>
        </w:numPr>
        <w:spacing w:before="0" w:after="0"/>
        <w:ind w:firstLine="709" w:start="0"/>
        <w:contextualSpacing/>
        <w:jc w:val="start"/>
        <w:rPr/>
      </w:pPr>
      <w:r>
        <w:rPr/>
        <w:t xml:space="preserve">Бэкенд – </w:t>
      </w:r>
      <w:r>
        <w:rPr>
          <w:lang w:val="en-US"/>
        </w:rPr>
        <w:t>Backend</w:t>
      </w:r>
      <w:r>
        <w:rPr/>
        <w:t>. Серверная часть программного обеспечения, которая отвечает за бизнес-логику, обработку данных и взаимодействие с базой данных.</w:t>
      </w:r>
    </w:p>
    <w:p>
      <w:pPr>
        <w:pStyle w:val="ListParagraph"/>
        <w:widowControl w:val="false"/>
        <w:numPr>
          <w:ilvl w:val="0"/>
          <w:numId w:val="4"/>
        </w:numPr>
        <w:spacing w:before="0" w:after="0"/>
        <w:ind w:firstLine="709" w:start="0"/>
        <w:contextualSpacing/>
        <w:jc w:val="start"/>
        <w:rPr/>
      </w:pPr>
      <w:r>
        <w:rPr/>
        <w:t xml:space="preserve">Фронтенд – </w:t>
      </w:r>
      <w:r>
        <w:rPr>
          <w:lang w:val="en-US"/>
        </w:rPr>
        <w:t>Frontend</w:t>
      </w:r>
      <w:r>
        <w:rPr/>
        <w:t>. Клиентская часть программного обеспечения, которая отвечает за отображение интерфейса и взаимодействие с пользователем.</w:t>
      </w:r>
    </w:p>
    <w:p>
      <w:pPr>
        <w:pStyle w:val="ListParagraph"/>
        <w:widowControl w:val="false"/>
        <w:numPr>
          <w:ilvl w:val="0"/>
          <w:numId w:val="4"/>
        </w:numPr>
        <w:spacing w:before="0" w:after="0"/>
        <w:ind w:firstLine="709" w:start="0"/>
        <w:contextualSpacing/>
        <w:jc w:val="start"/>
        <w:rPr/>
      </w:pPr>
      <w:r>
        <w:rPr/>
        <w:t>Прометей (Prometheus) – система сбора и хранения метрик временных рядов, используемая для мониторинга состояния системы.</w:t>
      </w:r>
    </w:p>
    <w:p>
      <w:pPr>
        <w:pStyle w:val="ListParagraph"/>
        <w:widowControl w:val="false"/>
        <w:numPr>
          <w:ilvl w:val="0"/>
          <w:numId w:val="4"/>
        </w:numPr>
        <w:spacing w:before="0" w:after="0"/>
        <w:ind w:firstLine="709" w:start="0"/>
        <w:contextualSpacing/>
        <w:jc w:val="start"/>
        <w:rPr/>
      </w:pPr>
      <w:r>
        <w:rPr/>
        <w:t>Логирование (журналирование) – процесс записи событий, ошибок и диагностической информации в специальные файлы (журналы) для последующего анализа.</w:t>
      </w:r>
    </w:p>
    <w:p>
      <w:pPr>
        <w:pStyle w:val="ListParagraph"/>
        <w:widowControl w:val="false"/>
        <w:numPr>
          <w:ilvl w:val="0"/>
          <w:numId w:val="4"/>
        </w:numPr>
        <w:spacing w:before="0" w:after="0"/>
        <w:ind w:firstLine="709" w:start="0"/>
        <w:contextualSpacing/>
        <w:jc w:val="start"/>
        <w:rPr/>
      </w:pPr>
      <w:r>
        <w:rPr/>
        <w:t>Метрика – числовой показатель, характеризующий состояние или производительность системы (например, количество запросов, время ответа, использование памяти).</w:t>
      </w:r>
    </w:p>
    <w:p>
      <w:pPr>
        <w:pStyle w:val="ListParagraph"/>
        <w:widowControl w:val="false"/>
        <w:numPr>
          <w:ilvl w:val="0"/>
          <w:numId w:val="4"/>
        </w:numPr>
        <w:spacing w:before="0" w:after="0"/>
        <w:ind w:firstLine="709" w:start="0"/>
        <w:contextualSpacing/>
        <w:jc w:val="start"/>
        <w:rPr/>
      </w:pPr>
      <w:r>
        <w:rPr/>
        <w:t>Middleware – прослойка (компонент) в Django, которая обрабатывает запросы и ответы на уровне приложения до того, как они достигнут view, или после того, как view их обработал.</w:t>
      </w:r>
    </w:p>
    <w:p>
      <w:pPr>
        <w:pStyle w:val="ListParagraph"/>
        <w:widowControl w:val="false"/>
        <w:numPr>
          <w:ilvl w:val="0"/>
          <w:numId w:val="4"/>
        </w:numPr>
        <w:spacing w:before="0" w:after="0"/>
        <w:ind w:firstLine="709" w:start="0"/>
        <w:contextualSpacing/>
        <w:jc w:val="start"/>
        <w:rPr/>
      </w:pPr>
      <w:r>
        <w:rPr/>
        <w:t>Гистограмма (в метриках) – тип метрики, который измеряет распределение значений (например, времени выполнения запросов) по заданным интервалам.</w:t>
      </w:r>
    </w:p>
    <w:p>
      <w:pPr>
        <w:pStyle w:val="ListParagraph"/>
        <w:widowControl w:val="false"/>
        <w:numPr>
          <w:ilvl w:val="0"/>
          <w:numId w:val="4"/>
        </w:numPr>
        <w:spacing w:before="0" w:after="0"/>
        <w:ind w:firstLine="709" w:start="0"/>
        <w:contextualSpacing/>
        <w:jc w:val="start"/>
        <w:rPr/>
      </w:pPr>
      <w:r>
        <w:rPr/>
        <w:t>Счетчик (в метриках) – тип метрики, значение которого может только увеличиваться (например, количество обработанных запросов или ошибок).</w:t>
      </w:r>
    </w:p>
    <w:p>
      <w:pPr>
        <w:pStyle w:val="ListParagraph"/>
        <w:widowControl w:val="false"/>
        <w:numPr>
          <w:ilvl w:val="0"/>
          <w:numId w:val="4"/>
        </w:numPr>
        <w:spacing w:before="0" w:after="0"/>
        <w:ind w:firstLine="709" w:start="0"/>
        <w:contextualSpacing/>
        <w:jc w:val="start"/>
        <w:rPr/>
      </w:pPr>
      <w:r>
        <w:rPr>
          <w:bCs/>
        </w:rPr>
        <w:t>Фреймворк</w:t>
      </w:r>
      <w:r>
        <w:rPr/>
        <w:t xml:space="preserve"> – программная платформа, предоставляющая готовую структуру и набор компонентов для упрощения разработки приложений.</w:t>
      </w:r>
    </w:p>
    <w:p>
      <w:pPr>
        <w:pStyle w:val="Normal"/>
        <w:widowControl w:val="false"/>
        <w:spacing w:before="0" w:after="0"/>
        <w:jc w:val="start"/>
        <w:rPr/>
      </w:pPr>
      <w:r>
        <w:rPr/>
      </w:r>
      <w:r>
        <w:br w:type="page"/>
      </w:r>
    </w:p>
    <w:p>
      <w:pPr>
        <w:pStyle w:val="Normal"/>
        <w:spacing w:before="0" w:after="0"/>
        <w:jc w:val="center"/>
        <w:rPr>
          <w:rFonts w:cs="Times New Roman"/>
          <w:b/>
          <w:szCs w:val="28"/>
        </w:rPr>
      </w:pPr>
      <w:r>
        <w:rPr>
          <w:rFonts w:cs="Times New Roman"/>
          <w:b/>
          <w:szCs w:val="28"/>
        </w:rPr>
        <w:t>Оглавление</w:t>
      </w:r>
    </w:p>
    <w:sdt>
      <w:sdtPr>
        <w:id w:val="1053345570"/>
        <w:docPartObj>
          <w:docPartGallery w:val="Table of Contents"/>
          <w:docPartUnique w:val="true"/>
        </w:docPartObj>
      </w:sdtPr>
      <w:sdtContent>
        <w:p>
          <w:pPr>
            <w:pStyle w:val="Style24"/>
            <w:ind w:hanging="0"/>
            <w:rPr/>
          </w:pPr>
          <w:r>
            <w:rPr/>
          </w:r>
        </w:p>
        <w:p>
          <w:pPr>
            <w:pStyle w:val="TOC2"/>
            <w:tabs>
              <w:tab w:val="clear" w:pos="9355"/>
              <w:tab w:val="right" w:pos="9354" w:leader="dot"/>
            </w:tabs>
            <w:rPr/>
          </w:pPr>
          <w:r>
            <w:fldChar w:fldCharType="begin"/>
          </w:r>
          <w:r>
            <w:rPr>
              <w:rStyle w:val="IndexLink"/>
              <w:webHidden/>
            </w:rPr>
            <w:instrText xml:space="preserve"> TOC \z \o "1-3" \u \h</w:instrText>
          </w:r>
          <w:r>
            <w:rPr>
              <w:rStyle w:val="IndexLink"/>
              <w:webHidden/>
            </w:rPr>
            <w:fldChar w:fldCharType="separate"/>
          </w:r>
          <w:hyperlink w:anchor="__RefHeading___Toc6592_3016159013" w:tooltip="Введение">
            <w:r>
              <w:rPr>
                <w:rStyle w:val="IndexLink"/>
                <w:webHidden/>
              </w:rPr>
              <w:t>Введение</w:t>
              <w:tab/>
              <w:t>10</w:t>
            </w:r>
          </w:hyperlink>
        </w:p>
        <w:p>
          <w:pPr>
            <w:pStyle w:val="TOC1"/>
            <w:tabs>
              <w:tab w:val="clear" w:pos="708"/>
              <w:tab w:val="right" w:pos="9354" w:leader="dot"/>
            </w:tabs>
            <w:rPr/>
          </w:pPr>
          <w:hyperlink w:anchor="__RefHeading___Toc6594_3016159013" w:tooltip="1 АНАЛИЗ ПРЕДМЕТНОЙ ОБЛАСТИ">
            <w:r>
              <w:rPr>
                <w:rStyle w:val="IndexLink"/>
                <w:webHidden/>
              </w:rPr>
              <w:t>1 АНАЛИЗ ПРЕДМЕТНОЙ ОБЛАСТИ</w:t>
              <w:tab/>
              <w:t>13</w:t>
            </w:r>
          </w:hyperlink>
        </w:p>
        <w:p>
          <w:pPr>
            <w:pStyle w:val="TOC2"/>
            <w:tabs>
              <w:tab w:val="clear" w:pos="9355"/>
              <w:tab w:val="right" w:pos="9354" w:leader="dot"/>
            </w:tabs>
            <w:rPr/>
          </w:pPr>
          <w:hyperlink w:anchor="__RefHeading___Toc6596_3016159013" w:tooltip="Архитектурные принципы построения корпоративных систем и использование программных интерфейсов">
            <w:r>
              <w:rPr>
                <w:rStyle w:val="IndexLink"/>
                <w:webHidden/>
              </w:rPr>
              <w:t>1.1 Архитектурные принципы построения корпоративных систем и использование программных интерфейсов</w:t>
              <w:tab/>
              <w:t>14</w:t>
            </w:r>
          </w:hyperlink>
        </w:p>
        <w:p>
          <w:pPr>
            <w:pStyle w:val="TOC2"/>
            <w:tabs>
              <w:tab w:val="clear" w:pos="9355"/>
              <w:tab w:val="right" w:pos="9354" w:leader="dot"/>
            </w:tabs>
            <w:rPr/>
          </w:pPr>
          <w:hyperlink w:anchor="__RefHeading___Toc6598_3016159013" w:tooltip="Анализ рисков информационной безопасности в эпоху развития квантовых вычислений и применения алгоритма Шора">
            <w:r>
              <w:rPr>
                <w:rStyle w:val="IndexLink"/>
                <w:webHidden/>
              </w:rPr>
              <w:t>1.2 Анализ рисков информационной безопасности в эпоху развития квантовых вычислений и применения алгоритма Шора</w:t>
              <w:tab/>
              <w:t>16</w:t>
            </w:r>
          </w:hyperlink>
        </w:p>
        <w:p>
          <w:pPr>
            <w:pStyle w:val="TOC2"/>
            <w:tabs>
              <w:tab w:val="clear" w:pos="9355"/>
              <w:tab w:val="right" w:pos="9354" w:leader="dot"/>
            </w:tabs>
            <w:rPr/>
          </w:pPr>
          <w:hyperlink w:anchor="__RefHeading___Toc6600_3016159013" w:tooltip="Технологические ограничения и проблемы существующих систем защиты прикладного трафика">
            <w:r>
              <w:rPr>
                <w:rStyle w:val="IndexLink"/>
                <w:webHidden/>
              </w:rPr>
              <w:t>1.3 Технологические ограничения и проблемы существующих систем защиты прикладного трафика</w:t>
              <w:tab/>
              <w:t>17</w:t>
            </w:r>
          </w:hyperlink>
        </w:p>
        <w:p>
          <w:pPr>
            <w:pStyle w:val="TOC2"/>
            <w:tabs>
              <w:tab w:val="clear" w:pos="9355"/>
              <w:tab w:val="right" w:pos="9354" w:leader="dot"/>
            </w:tabs>
            <w:rPr/>
          </w:pPr>
          <w:hyperlink w:anchor="__RefHeading___Toc6602_3016159013" w:tooltip="Формулирование требований к защищенному программному интерфейсу">
            <w:r>
              <w:rPr>
                <w:rStyle w:val="IndexLink"/>
                <w:webHidden/>
              </w:rPr>
              <w:t>1.4 Формулирование требований к защищенному программному интерфейсу</w:t>
              <w:tab/>
              <w:t>19</w:t>
            </w:r>
          </w:hyperlink>
        </w:p>
        <w:p>
          <w:pPr>
            <w:pStyle w:val="TOC2"/>
            <w:tabs>
              <w:tab w:val="clear" w:pos="9355"/>
              <w:tab w:val="right" w:pos="9354" w:leader="dot"/>
            </w:tabs>
            <w:rPr/>
          </w:pPr>
          <w:hyperlink w:anchor="__RefHeading___Toc6604_3016159013" w:tooltip="Выводы по результатам анализа">
            <w:r>
              <w:rPr>
                <w:rStyle w:val="IndexLink"/>
                <w:webHidden/>
              </w:rPr>
              <w:t>1.6 Выводы по результатам анализа</w:t>
              <w:tab/>
              <w:t>24</w:t>
            </w:r>
          </w:hyperlink>
        </w:p>
        <w:p>
          <w:pPr>
            <w:pStyle w:val="TOC1"/>
            <w:tabs>
              <w:tab w:val="clear" w:pos="708"/>
              <w:tab w:val="right" w:pos="9354" w:leader="dot"/>
            </w:tabs>
            <w:rPr/>
          </w:pPr>
          <w:hyperlink w:anchor="__RefHeading___Toc6606_3016159013" w:tooltip="ПРОЕКТИРОВАНИЕ И РАЗРАБОТКА ЗАЩИЩЕННОГО RESTFUL API">
            <w:r>
              <w:rPr>
                <w:rStyle w:val="IndexLink"/>
                <w:webHidden/>
              </w:rPr>
              <w:t>2 ПРОЕКТИРОВАНИЕ И РАЗРАБОТКА ЗАЩИЩЕННОГО RESTFUL API</w:t>
              <w:tab/>
              <w:t>26</w:t>
            </w:r>
          </w:hyperlink>
        </w:p>
        <w:p>
          <w:pPr>
            <w:pStyle w:val="TOC2"/>
            <w:tabs>
              <w:tab w:val="clear" w:pos="9355"/>
              <w:tab w:val="right" w:pos="9354" w:leader="dot"/>
            </w:tabs>
            <w:rPr/>
          </w:pPr>
          <w:hyperlink w:anchor="__RefHeading___Toc6608_3016159013" w:tooltip="Обоснование выбора технологического стека и программных средств">
            <w:r>
              <w:rPr>
                <w:rStyle w:val="IndexLink"/>
                <w:webHidden/>
              </w:rPr>
              <w:t>2.1 Обоснование выбора технологического стека и программных средств</w:t>
              <w:tab/>
              <w:t>27</w:t>
            </w:r>
          </w:hyperlink>
        </w:p>
        <w:p>
          <w:pPr>
            <w:pStyle w:val="TOC2"/>
            <w:tabs>
              <w:tab w:val="clear" w:pos="9355"/>
              <w:tab w:val="right" w:pos="9354" w:leader="dot"/>
            </w:tabs>
            <w:rPr/>
          </w:pPr>
          <w:hyperlink w:anchor="__RefHeading___Toc6610_3016159013" w:tooltip="Проектирование реляционной базы данных">
            <w:r>
              <w:rPr>
                <w:rStyle w:val="IndexLink"/>
                <w:webHidden/>
              </w:rPr>
              <w:t>2.2 Проектирование реляционной базы данных</w:t>
              <w:tab/>
              <w:t>29</w:t>
            </w:r>
          </w:hyperlink>
        </w:p>
        <w:p>
          <w:pPr>
            <w:pStyle w:val="TOC2"/>
            <w:tabs>
              <w:tab w:val="clear" w:pos="9355"/>
              <w:tab w:val="right" w:pos="9354" w:leader="dot"/>
            </w:tabs>
            <w:rPr/>
          </w:pPr>
          <w:hyperlink w:anchor="__RefHeading___Toc6612_3016159013" w:tooltip="Проектирование подсистемы аутентификации и разграничения прав доступа">
            <w:r>
              <w:rPr>
                <w:rStyle w:val="IndexLink"/>
                <w:webHidden/>
              </w:rPr>
              <w:t>2.3 Проектирование подсистемы аутентификации и разграничения прав доступа</w:t>
              <w:tab/>
              <w:t>31</w:t>
            </w:r>
          </w:hyperlink>
        </w:p>
        <w:p>
          <w:pPr>
            <w:pStyle w:val="TOC2"/>
            <w:tabs>
              <w:tab w:val="clear" w:pos="9355"/>
              <w:tab w:val="right" w:pos="9354" w:leader="dot"/>
            </w:tabs>
            <w:rPr/>
          </w:pPr>
          <w:hyperlink w:anchor="__RefHeading___Toc6614_3016159013" w:tooltip="Проектирование структуры эндпоинтов REST API и моделей данных">
            <w:r>
              <w:rPr>
                <w:rStyle w:val="IndexLink"/>
                <w:webHidden/>
              </w:rPr>
              <w:t>2.4 Проектирование структуры эндпоинтов REST API и моделей данных</w:t>
              <w:tab/>
              <w:t>33</w:t>
            </w:r>
          </w:hyperlink>
        </w:p>
        <w:p>
          <w:pPr>
            <w:pStyle w:val="TOC2"/>
            <w:tabs>
              <w:tab w:val="clear" w:pos="9355"/>
              <w:tab w:val="right" w:pos="9354" w:leader="dot"/>
            </w:tabs>
            <w:rPr/>
          </w:pPr>
          <w:hyperlink w:anchor="__RefHeading___Toc6616_3016159013" w:tooltip="Проектирование схемы промежуточного программного обеспечения прикладного уровня">
            <w:r>
              <w:rPr>
                <w:rStyle w:val="IndexLink"/>
                <w:webHidden/>
              </w:rPr>
              <w:t>2.5 Проектирование схемы промежуточного программного обеспечения прикладного уровня</w:t>
              <w:tab/>
              <w:t>35</w:t>
            </w:r>
          </w:hyperlink>
        </w:p>
        <w:p>
          <w:pPr>
            <w:pStyle w:val="TOC2"/>
            <w:tabs>
              <w:tab w:val="clear" w:pos="9355"/>
              <w:tab w:val="right" w:pos="9354" w:leader="dot"/>
            </w:tabs>
            <w:rPr/>
          </w:pPr>
          <w:hyperlink w:anchor="__RefHeading___Toc6618_3016159013" w:tooltip="Проектирование схемы контейнеризации и развертывания">
            <w:r>
              <w:rPr>
                <w:rStyle w:val="IndexLink"/>
                <w:webHidden/>
              </w:rPr>
              <w:t>2.6 Проектирование схемы контейнеризации и развертывания</w:t>
              <w:tab/>
              <w:t>38</w:t>
            </w:r>
          </w:hyperlink>
        </w:p>
        <w:p>
          <w:pPr>
            <w:pStyle w:val="TOC2"/>
            <w:tabs>
              <w:tab w:val="clear" w:pos="9355"/>
              <w:tab w:val="right" w:pos="9354" w:leader="dot"/>
            </w:tabs>
            <w:rPr/>
          </w:pPr>
          <w:hyperlink w:anchor="__RefHeading___Toc6620_3016159013" w:tooltip="Выводы по результатам проектирования системы">
            <w:r>
              <w:rPr>
                <w:rStyle w:val="IndexLink"/>
                <w:webHidden/>
              </w:rPr>
              <w:t>2.7 Выводы по результатам проектирования системы</w:t>
              <w:tab/>
              <w:t>40</w:t>
            </w:r>
          </w:hyperlink>
        </w:p>
        <w:p>
          <w:pPr>
            <w:pStyle w:val="TOC1"/>
            <w:tabs>
              <w:tab w:val="clear" w:pos="708"/>
              <w:tab w:val="right" w:pos="9354" w:leader="dot"/>
            </w:tabs>
            <w:rPr/>
          </w:pPr>
          <w:hyperlink w:anchor="__RefHeading___Toc6622_3016159013" w:tooltip="ПРОГРАММНАЯ РЕАЛИЗАЦИЯ И ТЕСТИРОВАНИЕ РАЗРАБОТАННОГО ПРОДУКТА">
            <w:r>
              <w:rPr>
                <w:rStyle w:val="IndexLink"/>
                <w:webHidden/>
              </w:rPr>
              <w:t>3 ПРОГРАММНАЯ РЕАЛИЗАЦИЯ И ТЕСТИРОВАНИЕ РАЗРАБОТАННОГО ПРОДУКТА</w:t>
              <w:tab/>
              <w:t>43</w:t>
            </w:r>
          </w:hyperlink>
        </w:p>
        <w:p>
          <w:pPr>
            <w:pStyle w:val="TOC2"/>
            <w:tabs>
              <w:tab w:val="clear" w:pos="9355"/>
              <w:tab w:val="right" w:pos="9354" w:leader="dot"/>
            </w:tabs>
            <w:rPr/>
          </w:pPr>
          <w:hyperlink w:anchor="__RefHeading___Toc6624_3016159013" w:tooltip="Программная реализация моделей данных и сервисов криптографического ядра">
            <w:r>
              <w:rPr>
                <w:rStyle w:val="IndexLink"/>
                <w:webHidden/>
              </w:rPr>
              <w:t>3.1 Программная реализация моделей данных и сервисов криптографического ядра</w:t>
              <w:tab/>
              <w:t>44</w:t>
            </w:r>
          </w:hyperlink>
        </w:p>
        <w:p>
          <w:pPr>
            <w:pStyle w:val="TOC2"/>
            <w:tabs>
              <w:tab w:val="clear" w:pos="9355"/>
              <w:tab w:val="right" w:pos="9354" w:leader="dot"/>
            </w:tabs>
            <w:rPr/>
          </w:pPr>
          <w:hyperlink w:anchor="__RefHeading___Toc6626_3016159013" w:tooltip="Реализация криптографического промежуточного ПО (Middleware)">
            <w:r>
              <w:rPr>
                <w:rStyle w:val="IndexLink"/>
                <w:webHidden/>
              </w:rPr>
              <w:t>3.2 Реализация криптографического промежуточного ПО (Middleware)</w:t>
              <w:tab/>
              <w:t>47</w:t>
            </w:r>
          </w:hyperlink>
        </w:p>
        <w:p>
          <w:pPr>
            <w:pStyle w:val="TOC2"/>
            <w:tabs>
              <w:tab w:val="clear" w:pos="9355"/>
              <w:tab w:val="right" w:pos="9354" w:leader="dot"/>
            </w:tabs>
            <w:rPr/>
          </w:pPr>
          <w:hyperlink w:anchor="__RefHeading___Toc6628_3016159013" w:tooltip="3.3 Программная интеграция с системой хранения данных и реализация репозиториев">
            <w:r>
              <w:rPr>
                <w:rStyle w:val="IndexLink"/>
                <w:webHidden/>
              </w:rPr>
              <w:t>3.3 Программная интеграция с системой хранения данных и реализация репозиториев</w:t>
              <w:tab/>
              <w:t>49</w:t>
            </w:r>
          </w:hyperlink>
        </w:p>
        <w:p>
          <w:pPr>
            <w:pStyle w:val="TOC2"/>
            <w:tabs>
              <w:tab w:val="clear" w:pos="9355"/>
              <w:tab w:val="right" w:pos="9354" w:leader="dot"/>
            </w:tabs>
            <w:rPr/>
          </w:pPr>
          <w:hyperlink w:anchor="__RefHeading___Toc1523_1186927540" w:tooltip="3.4 Выводы по результатам программной реализации">
            <w:r>
              <w:rPr>
                <w:rStyle w:val="IndexLink"/>
                <w:webHidden/>
              </w:rPr>
              <w:t>3.4 Выводы по результатам программной реализации</w:t>
              <w:tab/>
              <w:t>53</w:t>
            </w:r>
          </w:hyperlink>
        </w:p>
        <w:p>
          <w:pPr>
            <w:pStyle w:val="TOC1"/>
            <w:tabs>
              <w:tab w:val="clear" w:pos="708"/>
              <w:tab w:val="right" w:pos="9354" w:leader="dot"/>
            </w:tabs>
            <w:rPr/>
          </w:pPr>
          <w:hyperlink w:anchor="__RefHeading___Toc6636_3016159013" w:tooltip="4 ТЕСТИРОВАНИЕ РАЗРАБОТАННОЙ СИСТЕМЫ">
            <w:r>
              <w:rPr>
                <w:rStyle w:val="IndexLink"/>
                <w:webHidden/>
              </w:rPr>
              <w:t>4 ТЕСТИРОВАНИЕ РАЗРАБОТАННОЙ СИСТЕМЫ</w:t>
              <w:tab/>
              <w:t>55</w:t>
            </w:r>
          </w:hyperlink>
        </w:p>
        <w:p>
          <w:pPr>
            <w:pStyle w:val="TOC2"/>
            <w:tabs>
              <w:tab w:val="clear" w:pos="9355"/>
              <w:tab w:val="right" w:pos="9354" w:leader="dot"/>
            </w:tabs>
            <w:rPr/>
          </w:pPr>
          <w:hyperlink w:anchor="__RefHeading___Toc6638_3016159013" w:tooltip="4.1 Методология и инструменты тестирования">
            <w:r>
              <w:rPr>
                <w:rStyle w:val="IndexLink"/>
                <w:webHidden/>
              </w:rPr>
              <w:t>4.1 Методология и инструменты тестирования</w:t>
              <w:tab/>
              <w:t>55</w:t>
            </w:r>
          </w:hyperlink>
        </w:p>
        <w:p>
          <w:pPr>
            <w:pStyle w:val="TOC2"/>
            <w:tabs>
              <w:tab w:val="clear" w:pos="9355"/>
              <w:tab w:val="right" w:pos="9354" w:leader="dot"/>
            </w:tabs>
            <w:rPr/>
          </w:pPr>
          <w:hyperlink w:anchor="__RefHeading___Toc6640_3016159013" w:tooltip="4.2 Автоматизированное тестирование бэкенда: модульные и интеграционные тесты">
            <w:r>
              <w:rPr>
                <w:rStyle w:val="IndexLink"/>
                <w:webHidden/>
              </w:rPr>
              <w:t>4.2 Автоматизированное тестирование бэкенда: модульные и интеграционные тесты</w:t>
              <w:tab/>
              <w:t>57</w:t>
            </w:r>
          </w:hyperlink>
        </w:p>
        <w:p>
          <w:pPr>
            <w:pStyle w:val="TOC2"/>
            <w:tabs>
              <w:tab w:val="clear" w:pos="9355"/>
              <w:tab w:val="right" w:pos="9354" w:leader="dot"/>
            </w:tabs>
            <w:rPr/>
          </w:pPr>
          <w:hyperlink w:anchor="__RefHeading___Toc6642_3016159013" w:tooltip="4.3 Проверка пользовательского интерфейса">
            <w:r>
              <w:rPr>
                <w:rStyle w:val="IndexLink"/>
                <w:webHidden/>
              </w:rPr>
              <w:t>4.3 Проверка пользовательского интерфейса</w:t>
              <w:tab/>
              <w:t>59</w:t>
            </w:r>
          </w:hyperlink>
        </w:p>
        <w:p>
          <w:pPr>
            <w:pStyle w:val="TOC2"/>
            <w:tabs>
              <w:tab w:val="clear" w:pos="9355"/>
              <w:tab w:val="right" w:pos="9354" w:leader="dot"/>
            </w:tabs>
            <w:rPr/>
          </w:pPr>
          <w:hyperlink w:anchor="__RefHeading___Toc6644_3016159013" w:tooltip="4.4 Выводы по результатам тестирования и выявленные ограничения">
            <w:r>
              <w:rPr>
                <w:rStyle w:val="IndexLink"/>
                <w:webHidden/>
              </w:rPr>
              <w:t>4.4 Выводы по результатам тестирования и выявленные ограничения</w:t>
              <w:tab/>
              <w:t>60</w:t>
            </w:r>
          </w:hyperlink>
        </w:p>
        <w:p>
          <w:pPr>
            <w:pStyle w:val="TOC2"/>
            <w:tabs>
              <w:tab w:val="clear" w:pos="9355"/>
              <w:tab w:val="right" w:pos="9354" w:leader="dot"/>
            </w:tabs>
            <w:rPr/>
          </w:pPr>
          <w:hyperlink w:anchor="__RefHeading___Toc6646_3016159013" w:tooltip="Заключение">
            <w:r>
              <w:rPr>
                <w:rStyle w:val="IndexLink"/>
                <w:webHidden/>
              </w:rPr>
              <w:t>Заключение</w:t>
              <w:tab/>
              <w:t>63</w:t>
            </w:r>
          </w:hyperlink>
        </w:p>
        <w:p>
          <w:pPr>
            <w:pStyle w:val="TOC2"/>
            <w:tabs>
              <w:tab w:val="clear" w:pos="9355"/>
              <w:tab w:val="right" w:pos="9354" w:leader="dot"/>
            </w:tabs>
            <w:rPr/>
          </w:pPr>
          <w:hyperlink w:anchor="__RefHeading___Toc6648_3016159013" w:tooltip="Список использованных источников">
            <w:r>
              <w:rPr>
                <w:rStyle w:val="IndexLink"/>
                <w:webHidden/>
              </w:rPr>
              <w:t>Список использованных источников</w:t>
              <w:tab/>
              <w:t>65</w:t>
            </w:r>
          </w:hyperlink>
          <w:r>
            <w:rPr>
              <w:rStyle w:val="IndexLink"/>
            </w:rPr>
            <w:fldChar w:fldCharType="end"/>
          </w:r>
        </w:p>
      </w:sdtContent>
    </w:sdt>
    <w:p>
      <w:pPr>
        <w:pStyle w:val="Normal"/>
        <w:rPr/>
      </w:pPr>
      <w:r>
        <w:rPr/>
      </w:r>
      <w:r>
        <w:br w:type="page"/>
      </w:r>
    </w:p>
    <w:p>
      <w:pPr>
        <w:pStyle w:val="Heading2"/>
        <w:spacing w:before="0" w:after="0"/>
        <w:rPr/>
      </w:pPr>
      <w:bookmarkStart w:id="1" w:name="__RefHeading___Toc6592_3016159013"/>
      <w:bookmarkStart w:id="2" w:name="_Toc229932407"/>
      <w:bookmarkStart w:id="3" w:name="_Toc190776665"/>
      <w:bookmarkEnd w:id="1"/>
      <w:r>
        <w:rPr/>
        <w:t>Введение</w:t>
      </w:r>
      <w:bookmarkEnd w:id="2"/>
      <w:bookmarkEnd w:id="3"/>
    </w:p>
    <w:p>
      <w:pPr>
        <w:pStyle w:val="Normal"/>
        <w:rPr/>
      </w:pPr>
      <w:r>
        <w:rPr/>
      </w:r>
    </w:p>
    <w:p>
      <w:pPr>
        <w:pStyle w:val="Style24"/>
        <w:rPr/>
      </w:pPr>
      <w:r>
        <w:rPr/>
        <w:t>В современных условиях стремительного развития вычислительной техники и цифровизации корпоративного сектора обеспечение информационной безопасности программных интерфейсов (RESTful API) приобретает особую значимость, способствуя повышению защищенности распределенных систем и снижению рисков утечки конфиденциальной информации. Одним из ключевых вызовов для современных систем интеграции является угроза со стороны квантовых вычислений, развитие которых способно полностью девальвировать существующие механизмы защиты, основанные на классической асимметричной криптографии. При этом уязвимость традиционных протоколов транспортного уровня перед стратегией долгосрочного перехвата данных с целью их последующей дешифрации вынуждает пересматривать подходы к проектированию систем безопасности и переносить криптографическую защиту непосредственно на прикладной уровень модели взаимодействия открытых систем.</w:t>
      </w:r>
    </w:p>
    <w:p>
      <w:pPr>
        <w:pStyle w:val="Style24"/>
        <w:rPr/>
      </w:pPr>
      <w:r>
        <w:rPr/>
        <w:t>Существующие способы защиты межсервисного взаимодействия, такие как использование стандартных протоколов TLS без сквозного шифрования полезной нагрузки, характеризуются подверженностью критическим угрозам в долгосрочной перспективе, поскольку компрометация асимметричных ключей алгоритмом Шора приведет к полной ретроспективной расшифровке накопленного трафика. Это затрудняет обеспечение гарантированной конфиденциальности в корпоративных сетях, не позволяет оперативно защитить данные без масштабной модернизации сетевой инфраструктуры и усложняет процесс перехода на новые стандарты шифрования в гетерогенных информационных средах крупных предприятий. В связи с этим возникает необходимость разработки программного решения, обеспечивающего построение защищенного RESTful API с использованием гибридных постквантовых механизмов согласования ключей в соответствии с рекомендациями отечественного Технического комитета по стандартизации «Криптографическая защита информации» (ТК 26), сквозное шифрование содержимого JSON-запросов на базе блочного шифра «Кузнечик», а также централизованное управление криптографическими сессиями на стороне серверной части.</w:t>
      </w:r>
    </w:p>
    <w:p>
      <w:pPr>
        <w:pStyle w:val="Style24"/>
        <w:rPr/>
      </w:pPr>
      <w:r>
        <w:rPr/>
        <w:t>Объектом исследования является процесс обеспечения информационной безопасности и конфиденциальности данных при межсервисном взаимодействии и обмене информацией через программные интерфейсы в корпоративных системах. Предметом исследования являются методы, алгоритмы и программные средства построения квантово-устойчивых систем защиты RESTful API на прикладном уровне с использованием отечественных криптографических стандартов.</w:t>
      </w:r>
    </w:p>
    <w:p>
      <w:pPr>
        <w:pStyle w:val="Style24"/>
        <w:rPr/>
      </w:pPr>
      <w:r>
        <w:rPr/>
        <w:t>Целью данной работы является разработка защищенного бэкенд-сервиса RESTful API с применением постквантовой криптографии для корпоративных информационных систем, обеспечивающего гибридное согласование ключей, учет сессионных состояний, сквозное шифрование полезной нагрузки по стандарту ГОСТ Р 34.12-2015 и разграничение прав доступа пользователей на основе криптографически связанных токенов.</w:t>
      </w:r>
    </w:p>
    <w:p>
      <w:pPr>
        <w:pStyle w:val="Style24"/>
        <w:rPr/>
      </w:pPr>
      <w:r>
        <w:rPr/>
        <w:t>Для достижения поставленной цели необходимо решить следующие задачи: провести анализ архитектурных подходов к построению корпоративных систем и рисков безопасности в эпоху развития квантовых вычислителей, изучить нормативно-методические материалы ТК 26 в области перспективных постквантовых алгоритмов и принципы построения гибридных криптосистем, спроектировать архитектуру бэкенд-системы, включающую модель хранения сессий и схему трансформации данных промежуточным программным обеспечением, реализовать серверную часть на фреймворке FastAPI с интеграцией алгоритма «Кузнечик» в режиме гаммирования, разработать программные компоненты для обработки и валидации защищенных запросов, а также провести тестирование разработанного решения, зафиксировать время обработки запросов и оценить производительность гибридного middleware.</w:t>
      </w:r>
    </w:p>
    <w:p>
      <w:pPr>
        <w:pStyle w:val="Style24"/>
        <w:rPr/>
      </w:pPr>
      <w:r>
        <w:rPr/>
        <w:t>Областью применения разработанной системы являются корпоративные информационные системы, государственные и коммерческие предприятия, а также распределенные веб-сервисы, заинтересованные в долгосрочной защите передаваемых данных от квантовых угроз и импортозамещении программных компонентов защиты. Практическая значимость работы заключается в создании готового к интеграции программного модуля промежуточного уровня, позволяющего повысить устойчивость корпоративного бэкенда к перспективным кибератакам, снизить затраты на перестройку сетевой инфраструктуры за счет шифрования на уровне приложений и обеспечить выполнение актуальных требований регуляторов в области криптографической защиты информации.</w:t>
      </w:r>
      <w:r>
        <w:br w:type="page"/>
      </w:r>
    </w:p>
    <w:p>
      <w:pPr>
        <w:pStyle w:val="Heading1"/>
        <w:keepNext w:val="false"/>
        <w:keepLines w:val="false"/>
        <w:widowControl w:val="false"/>
        <w:spacing w:before="0" w:after="0"/>
        <w:rPr/>
      </w:pPr>
      <w:bookmarkStart w:id="4" w:name="__RefHeading___Toc6594_3016159013"/>
      <w:bookmarkStart w:id="5" w:name="_Toc229932408"/>
      <w:bookmarkStart w:id="6" w:name="_Toc190776666"/>
      <w:bookmarkEnd w:id="4"/>
      <w:r>
        <w:rPr/>
        <w:t xml:space="preserve">1 </w:t>
      </w:r>
      <w:bookmarkEnd w:id="6"/>
      <w:r>
        <w:rPr/>
        <w:t>АНАЛИЗ ПРЕДМЕТНОЙ ОБЛАСТИ</w:t>
      </w:r>
      <w:bookmarkStart w:id="7" w:name="_Hlk189815460"/>
      <w:bookmarkEnd w:id="5"/>
    </w:p>
    <w:p>
      <w:pPr>
        <w:pStyle w:val="Normal"/>
        <w:rPr/>
      </w:pPr>
      <w:r>
        <w:rPr/>
      </w:r>
    </w:p>
    <w:p>
      <w:pPr>
        <w:pStyle w:val="Style24"/>
        <w:rPr/>
      </w:pPr>
      <w:r>
        <w:rPr/>
        <w:t>Первая глава дипломного проекта посвящена комплексному аналитическому исследованию предметной области, связанной с функционированием распределенных корпоративных систем, анализом защищенности межсервисного взаимодействия, реализуемого на основе программных интерфейсов RESTful API, а также оценкой рисков информационной безопасности, возникающих перед лицом стремительного развития квантовых вычислительных мощностей. В рамках данного раздела последовательно рассматриваются технологические и архитектурные особенности обмена информацией в современных программных средах, исследуются принципы сериализации данных с использованием текстового формата JSON и оценивается степень уязвимости классических асимметричных криптосистем перед перспективными методами криптоанализа.</w:t>
      </w:r>
    </w:p>
    <w:p>
      <w:pPr>
        <w:pStyle w:val="Style24"/>
        <w:rPr/>
      </w:pPr>
      <w:r>
        <w:rPr/>
        <w:t>Особое внимание в главе уделяется изучению математических аспектов квантовой угрозы, в частности, потенциалу практического применения алгоритма Шора для дефакторизации целых чисел и вычисления дискретных логарифмирований, что способно полностью нивелировать защитные свойства традиционных протоколов транспортного уровня. В контексте обеспечения долгосрочной безопасности корпоративного трафика критически оценивается стратегия компрометации данных «Store Now, Decrypt Later», предполагающая перехват и долгосрочное архивирование конфиденциальной информации злоумышленниками с целью ее последующего ретроспективного раскрытия в среднесрочной перспективе [3, 5].</w:t>
      </w:r>
    </w:p>
    <w:p>
      <w:pPr>
        <w:pStyle w:val="Style24"/>
        <w:rPr/>
      </w:pPr>
      <w:r>
        <w:rPr/>
        <w:t>Также в данном разделе подробно анализируются существующие подходы к построению квантово-устойчивых систем защиты информации, включая международные спецификации стандартов консорциума NIST и актуальные нормативно-методические рекомендации отечественного Технического комитета по стандартизации «Криптографическая защита информации» (ТК 26), предписывающие планомерный переход к использованию гибридных криптографических механизмов [12, 13]. На основе проведенного сравнительного анализа обосновывается технологическая целесообразность выноса защитных функций на прикладной уровень модели взаимодействия открытых систем, что позволяет осуществлять сквозное шифрование полезной нагрузки JSON-запросов специализированным промежуточным программным обеспечением (middleware) без радикальной модернизации сетевой инфраструктуры предприятия. Сформированный массив аналитических данных служит устойчивым теоретическим и методологическим фундаментом для последующих этапов архитектурного проектирования и практического создания защищенного бэкенд-сервиса.</w:t>
      </w:r>
    </w:p>
    <w:p>
      <w:pPr>
        <w:pStyle w:val="Style24"/>
        <w:ind w:hanging="0"/>
        <w:rPr/>
      </w:pPr>
      <w:r>
        <w:rPr/>
      </w:r>
    </w:p>
    <w:p>
      <w:pPr>
        <w:pStyle w:val="22"/>
        <w:keepNext w:val="false"/>
        <w:keepLines w:val="false"/>
        <w:widowControl w:val="false"/>
        <w:numPr>
          <w:ilvl w:val="1"/>
          <w:numId w:val="3"/>
        </w:numPr>
        <w:spacing w:before="0" w:after="0"/>
        <w:rPr/>
      </w:pPr>
      <w:bookmarkStart w:id="8" w:name="__RefHeading___Toc6596_3016159013"/>
      <w:bookmarkStart w:id="9" w:name="_Toc229932409"/>
      <w:bookmarkEnd w:id="7"/>
      <w:bookmarkEnd w:id="8"/>
      <w:bookmarkEnd w:id="9"/>
      <w:r>
        <w:rPr/>
        <w:t>Архитектурные принципы построения корпоративных систем и использование программных интерфейсов</w:t>
      </w:r>
    </w:p>
    <w:p>
      <w:pPr>
        <w:pStyle w:val="Style24"/>
        <w:rPr/>
      </w:pPr>
      <w:r>
        <w:rPr/>
        <w:t>Процесс проектирования и развертывания современных корпоративных информационных систем на крупных предприятиях неразрывно связан с эволюцией архитектурных подходов, направленных на повышение гибкости, масштабируемости и отказоустойчивости программного комплекса. Исторический переход от монолитных систем, объединяющих бизнес-логику, интерфейс взаимодействия и механизмы хранения данных в рамках единого исполняемого контекста, к сервис-ориентированным и микросервисным моделям обусловлен необходимостью снижения уровня связанности программных компонентов. В распределенных инфраструктурах энтерпрайз-уровня каждый отдельный сервис решает изолированную прикладную задачу и функционирует независимо от смежных модулей, что позволяет оптимизировать распределение вычислительных ресурсов и организовать автономный жизненный цикл разработки. В этой технологической парадигме критически важным элементом становится организация эффективного, надежного и стандартизированного межсервисного обмена данными, выступающего связующим контуром всей распределенной экосистемы компании [8, 14].</w:t>
      </w:r>
    </w:p>
    <w:p>
      <w:pPr>
        <w:pStyle w:val="Style24"/>
        <w:rPr/>
      </w:pPr>
      <w:r>
        <w:rPr/>
        <w:t>Среди существующих подходов к построению интерфейсов взаимодействия ведущее положение занял архитектурный стиль REST (Representational State Transfer), реализующий принципы передачи состояний представления поверх стандартного стека сетевых протоколов. Использование программных интерфейсов RESTful API базируется на концепции универсальной идентификации ресурсов с помощью унифицированных указателей и применения стандартных семантических методов протокола HTTP для управления этими ресурсами. Ключевыми архитектурными ограничениями REST, определяющими его высокую востребованность в корпоративном секторе, являются отсутствие сохранения состояния сеанса на стороне сервера (stateless), единообразие интерфейса взаимодействия, многоуровневость системы и кэшируемость ответов. Для сериализации структурированной информации и передачи полезной нагрузки (payload) межсервисных запросов повсеместно применяется текстовый формат JSON (JavaScript Object Notation), отличающийся высокой компактностью, легкостью парсинга и независимостью от используемых языков программирования и операционных сред на конечных узлах сети [2, 6].</w:t>
      </w:r>
    </w:p>
    <w:p>
      <w:pPr>
        <w:pStyle w:val="Style24"/>
        <w:rPr/>
      </w:pPr>
      <w:r>
        <w:rPr/>
        <w:t>Несмотря на выраженные достоинства RESTful-архитектур, связанные с абстрагированием внутренней логики бэкенд-платформ от способов визуализации данных на клиенте, их масштабное внедрение внутри корпоративного периметра порождает специфические вызовы в области информационной безопасности. Традиционное построение межсервисных связей ориентировано на обеспечение доступности и скорости отклика интерфейсов, из-за чего полезная нагрузка внутри JSON-пакетов часто передается в открытом виде, а функции защиты полностью делегируются протоколам транспортного уровня, таким как TLS. Подобная топология создает скрытые угрозы, поскольку внутри защищенного периметра центров обработки данных или при прохождении через балансировщики нагрузки корпоративный трафик дешифруется и становится уязвимым для перехвата. В условиях компрометации классических асимметричных криптосистем возникает острая необходимость исследования уязвимостей прикладных интерфейсов на системном уровне, что требует разработки превентивных механизмов защиты непосредственно внутри архитектуры самого веб-приложения.</w:t>
      </w:r>
    </w:p>
    <w:p>
      <w:pPr>
        <w:pStyle w:val="Style24"/>
        <w:ind w:hanging="0"/>
        <w:rPr/>
      </w:pPr>
      <w:r>
        <w:rPr/>
      </w:r>
    </w:p>
    <w:p>
      <w:pPr>
        <w:pStyle w:val="22"/>
        <w:keepNext w:val="false"/>
        <w:keepLines w:val="false"/>
        <w:widowControl w:val="false"/>
        <w:numPr>
          <w:ilvl w:val="1"/>
          <w:numId w:val="3"/>
        </w:numPr>
        <w:spacing w:before="0" w:after="0"/>
        <w:rPr/>
      </w:pPr>
      <w:bookmarkStart w:id="10" w:name="__RefHeading___Toc6598_3016159013"/>
      <w:bookmarkStart w:id="11" w:name="_Toc229932410"/>
      <w:bookmarkEnd w:id="10"/>
      <w:bookmarkEnd w:id="11"/>
      <w:r>
        <w:rPr>
          <w:szCs w:val="28"/>
        </w:rPr>
        <w:t>Анализ рисков информационной безопасности в эпоху развития квантовых вычислений и применения алгоритма Шора</w:t>
      </w:r>
    </w:p>
    <w:p>
      <w:pPr>
        <w:pStyle w:val="Style24"/>
        <w:rPr/>
      </w:pPr>
      <w:r>
        <w:rPr/>
        <w:t>Переход к распределенным корпоративным архитектурам и повсеместное использование открытых программных интерфейсов обостряют уязвимость каналов связи перед лицом качественно новых технологических угроз. Ключевым деструктивным фактором среднесрочной перспективы выступает стремительный прогресс в области разработки квантовых вычислительных систем, способных оперировать квантовыми битами (кубитами) и использовать явления суперпозиции и квантовой запутанности для выполнения параллельных вычислений. Появление полномасштабного квантового компьютера переведет теоретические риски компрометации классической криптографии в плоскость прямых деструктивных воздействий на ИТ-инфраструктуру предприятий, поскольку вычислительная сложность решения базовых математических задач, на которых строятся современные асимметричные алгоритмы защиты, снизится с экспоненциальной до полиномиальной [3, 15].</w:t>
      </w:r>
    </w:p>
    <w:p>
      <w:pPr>
        <w:pStyle w:val="Style24"/>
        <w:rPr/>
      </w:pPr>
      <w:r>
        <w:rPr/>
        <w:t>Наиболее критический удар квантовое превосходство нанесет по классическим криптосистемам с открытым ключом, использующим задачи факторизации больших целых чисел и вычисления дискретного логарифмирования в конечных полях или на эллиптических кривых. Применение квантового алгоритма Шора позволяет находить периоды функций, связанных с указанными математическими проблемами, за ничтожно малое время, что делает такие распространенные стандарты безопасности, как RSA, ECC, а также отечественные механизмы цифровой подписи, полностью уязвимыми к компрометации. В условиях функционирования корпоративных RESTful API это означает потерю защитных свойств протоколов транспортного уровня, поскольку злоумышленник, перехвативший параметры процедуры согласования ключей, сможет мгновенно вычислить закрытый ключ сервера и получить полный несанкционированный доступ ко всей передаваемой коммерческой информации [10, 13].</w:t>
      </w:r>
    </w:p>
    <w:p>
      <w:pPr>
        <w:pStyle w:val="Style24"/>
        <w:rPr/>
      </w:pPr>
      <w:r>
        <w:rPr/>
        <w:t>Специфика квантовой угрозы заключается в том, что она имеет ретроспективный характер и представляет опасность для конфиденциальных данных задолго до фактического появления коммерчески доступных квантовых процессоров. В современной практике киберпреступности активно реализуется стратегия долгосрочного перехвата и архивирования зашифрованных информационных потоков крупных предприятий, известная как концепция «Store Now, Decrypt Later». Накопленные массивы перехваченного трафика корпоративных систем, содержащие персональные данные, финансовые транзакции и коммерческую тайну, будут гарантированно дешифрованы ретроспективно, как только квантовые вычислители достигнут достаточной для реализации алгоритма Шора мощности. Данное обстоятельство обуславливает необходимость немедленного пересмотра подходов к безопасности и внедрения перспективных квантово-устойчивых алгоритмов, основанных на альтернативных математических задачах, таких как поиск кратчайшего вектора в криптографических решетках, которые остаются одинаково сложными для анализа на любых типах вычислительных платформ [5, 18].</w:t>
      </w:r>
    </w:p>
    <w:p>
      <w:pPr>
        <w:pStyle w:val="Style24"/>
        <w:ind w:hanging="0"/>
        <w:rPr/>
      </w:pPr>
      <w:r>
        <w:rPr/>
      </w:r>
    </w:p>
    <w:p>
      <w:pPr>
        <w:pStyle w:val="22"/>
        <w:keepNext w:val="false"/>
        <w:keepLines w:val="false"/>
        <w:widowControl w:val="false"/>
        <w:numPr>
          <w:ilvl w:val="1"/>
          <w:numId w:val="3"/>
        </w:numPr>
        <w:spacing w:before="0" w:after="0"/>
        <w:rPr/>
      </w:pPr>
      <w:bookmarkStart w:id="12" w:name="__RefHeading___Toc6600_3016159013"/>
      <w:bookmarkStart w:id="13" w:name="_Toc229932411"/>
      <w:bookmarkEnd w:id="12"/>
      <w:bookmarkEnd w:id="13"/>
      <w:r>
        <w:rPr>
          <w:szCs w:val="28"/>
        </w:rPr>
        <w:t>Технологические ограничения и проблемы существующих систем защиты прикладного трафика</w:t>
      </w:r>
    </w:p>
    <w:p>
      <w:pPr>
        <w:pStyle w:val="22"/>
        <w:keepNext w:val="false"/>
        <w:keepLines w:val="false"/>
        <w:widowControl w:val="false"/>
        <w:spacing w:before="0" w:after="0"/>
        <w:jc w:val="both"/>
        <w:rPr/>
      </w:pPr>
      <w:r>
        <w:rPr/>
      </w:r>
    </w:p>
    <w:p>
      <w:pPr>
        <w:pStyle w:val="Style24"/>
        <w:rPr/>
      </w:pPr>
      <w:r>
        <w:rPr/>
        <w:t>Несмотря на наличие развитого спектра коммерческих и свободно распространяемых программных средств обеспечения информационной безопасности, их практическая эксплуатация в контуре современных распределенных ИТ-инфраструктур выявляет ряд системных недостатков. Основная масса конвенциональных решений ориентирована на защиту сетевого периметра и изоляцию каналов связи на транспортном уровне сетевой модели OSI, что оставляет прикладные данные уязвимыми на конечных точках обработки трафика. В типичной корпоративной архитектуре шифрование TLS терминируется на уровне пограничных балансировщиков нагрузки или специализированных шлюзов (API Gateways), после чего внутри доверенного сегмента центра обработки данных информационные пакеты циркулируют в виде открытого текста формата JSON. Подобный подход создает критическую точку отказа: в случае компрометации внутренней инфраструктуры или реализации угроз типа «человек посередине» (MitM) внутри периметра, злоумышленник получает беспрепятственный доступ к конфиденциальной коммерческой информации и персональным данным [3, 14].</w:t>
      </w:r>
    </w:p>
    <w:p>
      <w:pPr>
        <w:pStyle w:val="Style24"/>
        <w:rPr/>
      </w:pPr>
      <w:r>
        <w:rPr/>
        <w:t>Дополнительным деструктивным фактором является архитектурная монолитность и жесткая привязка существующих криптографических модулей к системным библиотекам операционных систем. Стандартные веб-фреймворки и платформы разработки бэкенд-компонентов не обладают встроенными механизмами гибкого управления криптографическим контекстом на прикладном уровне (Application Layer), делегируя эти функции внешним программным прослойкам. Это приводит к невозможности организации сквозного (End-to-End) шифрования непосредственно между изолированными бизнес-компонентами без радикальной модернизации сетевой топологии предприятия. В условиях отсутствия нативной поддержки модульного расширения криптографических примитивов, внедрение гибридных схем согласования ключей или переход на новые квантово-устойчивые стандарты требует полной перестройки исходного кода серверных приложений и сопряжено с высокими рисками нарушения стабильности всей экосистемы организации [8, 15].</w:t>
      </w:r>
    </w:p>
    <w:p>
      <w:pPr>
        <w:pStyle w:val="Style24"/>
        <w:rPr/>
      </w:pPr>
      <w:r>
        <w:rPr/>
        <w:t>Кроме того, существующие средства защиты сетевого трафика не обеспечивают достаточного уровня детализации при регистрации и аудите инцидентов безопасности, связанных с прикладным содержимым JSON-запросов. Традиционные системы обнаружения вторжений (IDS/IPS) и межсетевые экраны уровня приложения (WAF) анализируют пакеты на основе статических сигнатур или эвристических правил, но они оказываются полностью неэффективными при попытках анализа легитимного, но потенциально скомпрометированного трафика в рамках легально установленных сессий. Отсутствие централизованного контроля за жизненным циклом сессионных ключей на уровне реляционных баз данных бэкенда не позволяет проводить оперативный ретроспективный анализ компрометации данных. В условиях экспоненциального роста вычислительных мощностей и подготовки к эпохе квантового превосходства, зависимость от классических решений транспортного шифрования формирует скрытый технологический дефицит безопасности, преодоление которого требует разработки обособленного слоя промежуточного программного обеспечения прикладного уровня, функционирующего непосредственно в среде исполнения веб-служб.</w:t>
      </w:r>
    </w:p>
    <w:p>
      <w:pPr>
        <w:pStyle w:val="Style24"/>
        <w:ind w:hanging="0"/>
        <w:rPr/>
      </w:pPr>
      <w:r>
        <w:rPr/>
      </w:r>
    </w:p>
    <w:p>
      <w:pPr>
        <w:pStyle w:val="22"/>
        <w:keepNext w:val="false"/>
        <w:keepLines w:val="false"/>
        <w:widowControl w:val="false"/>
        <w:numPr>
          <w:ilvl w:val="1"/>
          <w:numId w:val="3"/>
        </w:numPr>
        <w:spacing w:before="0" w:after="0"/>
        <w:rPr/>
      </w:pPr>
      <w:bookmarkStart w:id="14" w:name="__RefHeading___Toc6602_3016159013"/>
      <w:bookmarkStart w:id="15" w:name="_Toc229932412"/>
      <w:bookmarkEnd w:id="14"/>
      <w:bookmarkEnd w:id="15"/>
      <w:r>
        <w:rPr/>
        <w:t>Формулирование требований к защищенному программному интерфейсу</w:t>
      </w:r>
    </w:p>
    <w:p>
      <w:pPr>
        <w:pStyle w:val="Style24"/>
        <w:ind w:hanging="0"/>
        <w:rPr/>
      </w:pPr>
      <w:r>
        <w:rPr/>
      </w:r>
    </w:p>
    <w:p>
      <w:pPr>
        <w:pStyle w:val="Style24"/>
        <w:rPr/>
      </w:pPr>
      <w:r>
        <w:rPr/>
        <w:t>На основе всестороннего аналитического обзора предметной области, критического разбора архитектурных недостатков конвенциональных средств защиты сетевого трафика и оценки рисков, связанных с развитием квантовых вычислительных платформ, формируется структурированный комплекс требований к проектируемому программному продукту. Спецификация данных критериев является основополагающим этапом, определяющим дальнейший вектор архитектурного проектирования и программной реализации бэкенд-системы корпоративного уровня. В соответствии с методологическими принципами разработки систем информационной безопасности, предъявляемые требования традиционно подразделяются на функциональную группу, описывающую непосредственные задачи и сценарии работы программного обеспечения, и нефункциональную группу, регламентирующую качественные параметры функционирования, надежности и защищенности среды [3, 12].</w:t>
      </w:r>
    </w:p>
    <w:p>
      <w:pPr>
        <w:pStyle w:val="Style24"/>
        <w:rPr/>
      </w:pPr>
      <w:r>
        <w:rPr/>
        <w:t>Контур функциональных требований определяет спектр технологических операций, выполняемых серверной частью приложения для обеспечения превентивной квантово-устойчивой защиты циркулирующих информационных потоков. Разрабатываемая бэкенд-система должна обеспечивать автоматизированную поддержку процедур гибридного согласования ключей (handshake), интегрирующих как классические асимметричные алгоритмы на эллиптических кривых, так и перспективные механизмы инкапсуляции секретов, основанные на криптографических решетках в соответствии со стандартами NIST. Программные интерфейсы платформы обязаны предоставлять специализированные изолированные эндпоинты для инициализации сеансов связи, передачи параметров открытых ключей и возврата сформированных криптографических конвертов клиентским приложениям. Серверная часть должна реализовывать строгую ролевую модель разграничения прав доступа, контролируя привилегии пользователей при обращении к внутренним корпоративным ресурсам и блокируя неавторизованные запросы на уровне предварительной фильтрации трафика [13, 16].</w:t>
      </w:r>
    </w:p>
    <w:p>
      <w:pPr>
        <w:pStyle w:val="Style24"/>
        <w:rPr/>
      </w:pPr>
      <w:r>
        <w:rPr/>
        <w:t>Центральным функциональным блоком системы выступает разработка промежуточного программного обеспечения прикладного уровня, способного осуществлять сквозной перехват, структурный парсинг и пошаговую дешифрацию полезной нагрузки входящих JSON-запросов до их передачи в контроллеры бизнес-логики бэкенда. Система должна корректно оперировать динамическими контекстами шифрования, сопоставляя каждый сетевой пакет с уникальным идентификатором сессии, извлекаемым из заголовков запроса, и выполнять обратную операцию инкапсуляции и кодирования ответов перед их отправкой в сетевой канал. Логика управления сессиями обязана поддерживать механизмы принудительной инвалидации скомпрометированных или устаревших ключей, фиксируя временные метки жизненного цикла токенов безопасности и блокируя повторное использование одноразовых инициализационных векторов для защиты от атак воспроизведения трафика [2, 8].</w:t>
      </w:r>
    </w:p>
    <w:p>
      <w:pPr>
        <w:pStyle w:val="Style24"/>
        <w:rPr/>
      </w:pPr>
      <w:r>
        <w:rPr/>
        <w:t>Нефункциональные требования предъявляют жесткие критерии к качественным характеристикам и системной устойчивости программного комплекса под нагрузкой. В области обеспечения информационной безопасности устанавливается требование о невозможности хранения сессионных секретных ключей в открытом виде в постоянной памяти реляционной базы данных; хранилище должно оперировать исключительно криптографическими отпечатками и параметрами инициализации контекстов. Требования к надежности предписывают бэкенд-платформе обеспечивать транзакционную консистентность данных при управлении сессиями в СУБД PostgreSQL, гарантируя, что любые аппаратные или программные сбои в процессе вычисления гибридного секрета не приведут к нарушению целостности таблиц или зависанию активных процессов операционной системы. С точки зрения масштабируемости архитектура системы должна обладать модульной структурой, позволяющей бесшовно производить замену или модернизацию криптографических примитивов без изменения основного программного кода веб-служб. Спецификация производительности накладывает ограничения на накладные расходы вычислительных ресурсов процессора при обработке усложненных алгоритмов, что предопределяет необходимость реализации бэкенда на базе асинхронных неблокирующих технологий для минимизации времени отклика RESTful API при обработке высокоинтенсивного корпоративного трафика [4, 6].</w:t>
      </w:r>
    </w:p>
    <w:p>
      <w:pPr>
        <w:pStyle w:val="Style24"/>
        <w:ind w:hanging="0"/>
        <w:rPr/>
      </w:pPr>
      <w:r>
        <w:rPr/>
      </w:r>
    </w:p>
    <w:p>
      <w:pPr>
        <w:pStyle w:val="ListParagraph"/>
        <w:numPr>
          <w:ilvl w:val="1"/>
          <w:numId w:val="3"/>
        </w:numPr>
        <w:jc w:val="center"/>
        <w:rPr>
          <w:rFonts w:eastAsia="" w:cs="Times New Roman" w:eastAsiaTheme="majorEastAsia"/>
          <w:b/>
          <w:szCs w:val="26"/>
        </w:rPr>
      </w:pPr>
      <w:r>
        <w:rPr>
          <w:rFonts w:eastAsia="" w:cs="Times New Roman" w:eastAsiaTheme="majorEastAsia"/>
          <w:b/>
          <w:szCs w:val="26"/>
        </w:rPr>
        <w:t>Преимущества и ограничения клиент-серверной архитектуры с REST API в контексте криптографической защиты</w:t>
      </w:r>
    </w:p>
    <w:p>
      <w:pPr>
        <w:pStyle w:val="Style24"/>
        <w:ind w:hanging="0"/>
        <w:rPr/>
      </w:pPr>
      <w:r>
        <w:rPr/>
      </w:r>
    </w:p>
    <w:p>
      <w:pPr>
        <w:pStyle w:val="Style24"/>
        <w:rPr/>
      </w:pPr>
      <w:r>
        <w:rPr>
          <w:lang w:eastAsia="ru-RU"/>
        </w:rPr>
        <w:t>Внедрение специализированных механизмов обеспечения квантовой устойчивости в корпоративный контур требует обоснованного выбора базовой архитектурной модели, определяющей принципы взаимодействия между распределенными компонентами программного комплекса. Применение клиент-серверного подхода в сочетании с архитектурным стилем REST API предоставляет разработчикам систем информационной безопасности ряд существенных преимуществ, связанных с изоляцией защитных функций и гибкостью масштабирования. Разделение пользовательского интерфейса клиентской стороны и серверной бизнес-логики бэкенда позволяет полностью изолировать ресурсоемкие криптографические операции внутри контролируемого периметра. Подобная декомпозиция гарантирует, что модификация или плановая замена используемых постквантовых алгоритмов шифрования на стороне сервера не повлечет за собой необходимость тотального переписывания исходного кода клиентских приложений, решая проблему высокой связанности компонентов распределенных систем [2, 16].</w:t>
      </w:r>
    </w:p>
    <w:p>
      <w:pPr>
        <w:pStyle w:val="Style24"/>
        <w:rPr>
          <w:lang w:eastAsia="ru-RU"/>
        </w:rPr>
      </w:pPr>
      <w:r>
        <w:rPr>
          <w:lang w:eastAsia="ru-RU"/>
        </w:rPr>
        <w:t>Организация межсервисного обмена через REST API, функционирующий на основе стандартных методов протокола HTTP и текстового формата сериализации JSON, существенно упрощает процесс интеграции защитного слоя промежуточного программного обеспечения (middleware). Единообразие интерфейса позволяет унифицировать процедуры перехвата входящих информационных пакетов, обеспечивая прозрачную сквозную дешифрацию полезной нагрузки (payload) до момента ее поступления в обработчики бизнес-моделей. Кроме того, концепция отсутствия сохранения состояния сессии на стороне сервера (stateless), являющаяся фундаментальным ограничением REST, значительно повышает общую отказоустойчивость платформы. При обработке высокоинтенсивных потоков запросов бэкенд-система может масштабироваться горизонтально путем развертывания дополнительных изолированных инстансов приложения в контейнеризированных средах, поскольку верификация прав доступа и криптографических контекстов реализуется автономно для каждого поступающего пакета данных на основе защищенных токенов безопасности [6, 9].</w:t>
      </w:r>
    </w:p>
    <w:p>
      <w:pPr>
        <w:pStyle w:val="Style24"/>
        <w:rPr>
          <w:lang w:eastAsia="ru-RU"/>
        </w:rPr>
      </w:pPr>
      <w:r>
        <w:rPr>
          <w:lang w:eastAsia="ru-RU"/>
        </w:rPr>
        <w:t>Однако практическая реализация гибридных криптографических механизмов в рамках RESTful-архитектуры накладывает специфические ограничения и вычислительные издержки, усложняющие процесс проектирования бэкенд-систем. Основной лимитирующий фактор связан с физической природой перспективных постквантовых алгоритмов инкапсуляции ключей, основанных на задачах теории решеток. В отличие от классических асимметричных криптосистем на эллиптических кривых, требующих передачи компактных параметров, квантово-устойчивые стандарты оперируют открытыми ключами и шифротекстами, чей размер превышает традиционные аналоги на несколько порядков. Передача усложненных, объемных бинарных структур, закодированных в текстовый формат JSON, неизбежно увеличивает объемы сетевого трафика и накладывает дополнительные требования к пропускной способности каналов связи распределенной корпоративной сети [13, 18].</w:t>
      </w:r>
    </w:p>
    <w:p>
      <w:pPr>
        <w:pStyle w:val="Style24"/>
        <w:rPr>
          <w:lang w:eastAsia="ru-RU"/>
        </w:rPr>
      </w:pPr>
      <w:r>
        <w:rPr>
          <w:lang w:eastAsia="ru-RU"/>
        </w:rPr>
        <w:t>Дополнительным ограничением выступает возрастание накладных расходов на вычислительные ресурсы центрального процессора сервера при обработке процедур первичного рукопожатия (handshake). Необходимость одновременного выполнения вычислений по классическим и постквантовым математическим моделям для генерации единого разделяемого секрета приводит к увеличению времени отклика (latency) REST API при инициализации новых сессий. Это требует от разработчиков применения асинхронных, неблокирующих подходов к проектированию серверной логики для предотвращения деградации производительности всей платформы. Таким образом, несмотря на наличие объективных инфраструктурных ограничений, клиент-серверная архитектура с REST API выступает наиболее эффективным и технологически зрелым инструментом для интеграции прикладного криптографического middleware, позволяя сбалансировать требования долгосрочной информационной безопасности и системной гибкости крупных предприятий.</w:t>
      </w:r>
    </w:p>
    <w:p>
      <w:pPr>
        <w:pStyle w:val="Style24"/>
        <w:ind w:hanging="0"/>
        <w:rPr>
          <w:lang w:eastAsia="ru-RU"/>
        </w:rPr>
      </w:pPr>
      <w:r>
        <w:rPr>
          <w:lang w:eastAsia="ru-RU"/>
        </w:rPr>
      </w:r>
    </w:p>
    <w:p>
      <w:pPr>
        <w:pStyle w:val="22"/>
        <w:keepNext w:val="false"/>
        <w:keepLines w:val="false"/>
        <w:widowControl w:val="false"/>
        <w:numPr>
          <w:ilvl w:val="1"/>
          <w:numId w:val="3"/>
        </w:numPr>
        <w:spacing w:before="0" w:after="0"/>
        <w:rPr/>
      </w:pPr>
      <w:bookmarkStart w:id="16" w:name="__RefHeading___Toc6604_3016159013"/>
      <w:bookmarkStart w:id="17" w:name="_Toc229932413"/>
      <w:bookmarkEnd w:id="16"/>
      <w:r>
        <w:rPr>
          <w:szCs w:val="28"/>
        </w:rPr>
        <w:t>Выводы по результатам анализа</w:t>
      </w:r>
      <w:bookmarkEnd w:id="17"/>
    </w:p>
    <w:p>
      <w:pPr>
        <w:pStyle w:val="22"/>
        <w:keepNext w:val="false"/>
        <w:keepLines w:val="false"/>
        <w:widowControl w:val="false"/>
        <w:spacing w:before="0" w:after="0"/>
        <w:jc w:val="both"/>
        <w:rPr/>
      </w:pPr>
      <w:r>
        <w:rPr/>
      </w:r>
    </w:p>
    <w:p>
      <w:pPr>
        <w:pStyle w:val="Style24"/>
        <w:rPr/>
      </w:pPr>
      <w:r>
        <w:rPr/>
        <w:t>Комплексный аналитический обзор теоретических источников, нормативно-методических документов и существующей практики построения систем обеспечения информационной безопасности распределенных программных интерфейсов позволяет сформулировать ряд принципиальных выводов, определяющих архитектурный контур дальнейшего исследования. Проведенный анализ наглядно продемонстрировал, что доминирующий в современной корпоративной среде подход к защите трафика, основанный исключительно на шифровании каналов связи и терминировании TLS-сессий на пограничных сетевых шлюзах, сталкивается с непреодолимыми вызовами перед лицом грядущего технологического суверенитета квантовых вычислительных платформ. Стратегия отложенной дешифрации трафика «Store Now, Decrypt Later» переводит риски компрометации асимметричных криптосистем из теоретической плоскости в категорию прямых и неотвратимых угроз для долгосрочной конфиденциальности корпоративных данных, что делает конвенциональные средства сетевой защиты критически недостаточными [3, 15].</w:t>
      </w:r>
    </w:p>
    <w:p>
      <w:pPr>
        <w:pStyle w:val="Style24"/>
        <w:rPr/>
      </w:pPr>
      <w:r>
        <w:rPr/>
        <w:t>Изучение специфики перспективной постквантовой криптографии, в особенности механизмов инкапсуляции секретов на криптографических решетках, показало их абсолютную математическую устойчивость к квантовому криптоанализу на базе алгоритма Шора. В то же время международный опыт стандартизации NIST и отечественные методические рекомендации ТК 26 указывают на наличие серьезных инфраструктурных ограничений, связанных с существенным увеличением размеров открытых ключей и возрастанием накладных расходов на вычислительные ресурсы центральных процессоров при выполнении процедур рукопожатия. В условиях жестких требований корпоративного сектора к пропускной способности и времени отклика RESTful API, прямая интеграция таких алгоритмов в существующие синхронные бэкенд-платформы неизбежно приведет к критической деградации производительности веб-служб [12, 13].</w:t>
      </w:r>
    </w:p>
    <w:p>
      <w:pPr>
        <w:pStyle w:val="Style24"/>
        <w:rPr/>
      </w:pPr>
      <w:r>
        <w:rPr/>
        <w:t>На основе полученных результатов аналитической части дипломного проекта обоснована технологическая и экономическая целесообразность разработки обособленной защищенной бэкенд-системы, функционирующей на прикладном уровне модели OSI. Использование асинхронного неблокирующего фреймворка FastAPI на языке программирования Python в связке с транзакционной СУБД PostgreSQL позволит нивелировать задержки, возникающие при криптографических трансформациях, и обеспечит стабильную горизонтальную масштабируемость платформы. Проектирование специализированного промежуточного программного обеспечения (middleware) для сквозной автоматической дешифрации полезной нагрузки JSON-пакетов и ведения контекстов криптографических сессий в базе данных является наиболее эффективным архитектурным решением, позволяющим гарантировать квантовую устойчивость корпоративного взаимодействия без необходимости затратной модернизации сетевого оборудования предприятия. Таким образом, сформированные выводы полностью подтверждают актуальность темы исследования и формируют базис для перехода к этапам детального архитектурного и физического проектирования программного комплекса, которые будут последовательно развернуты в следующей главе работы [2, 4, 8].</w:t>
      </w:r>
    </w:p>
    <w:p>
      <w:pPr>
        <w:pStyle w:val="Normal"/>
        <w:spacing w:lineRule="auto" w:line="259"/>
        <w:jc w:val="start"/>
        <w:rPr>
          <w:rFonts w:eastAsia="" w:cs="Times New Roman" w:eastAsiaTheme="majorEastAsia"/>
          <w:b/>
          <w:caps/>
          <w:szCs w:val="28"/>
        </w:rPr>
      </w:pPr>
      <w:r>
        <w:rPr>
          <w:rFonts w:eastAsia="" w:cs="Times New Roman" w:eastAsiaTheme="majorEastAsia"/>
          <w:b/>
          <w:caps/>
          <w:szCs w:val="28"/>
        </w:rPr>
      </w:r>
      <w:bookmarkStart w:id="18" w:name="_Toc190776671"/>
      <w:bookmarkStart w:id="19" w:name="_Toc190776671"/>
      <w:bookmarkEnd w:id="19"/>
      <w:r>
        <w:br w:type="page"/>
      </w:r>
    </w:p>
    <w:p>
      <w:pPr>
        <w:pStyle w:val="Heading1"/>
        <w:keepNext w:val="false"/>
        <w:keepLines w:val="false"/>
        <w:widowControl w:val="false"/>
        <w:numPr>
          <w:ilvl w:val="0"/>
          <w:numId w:val="3"/>
        </w:numPr>
        <w:spacing w:before="0" w:after="0"/>
        <w:rPr/>
      </w:pPr>
      <w:bookmarkStart w:id="20" w:name="__RefHeading___Toc6606_3016159013"/>
      <w:bookmarkStart w:id="21" w:name="_Toc229932414"/>
      <w:bookmarkEnd w:id="20"/>
      <w:bookmarkEnd w:id="21"/>
      <w:r>
        <w:rPr/>
        <w:t>ПРОЕКТИРОВАНИЕ И РАЗРАБОТКА ЗАЩИЩЕННОГО RESTFUL API</w:t>
      </w:r>
    </w:p>
    <w:p>
      <w:pPr>
        <w:pStyle w:val="Style24"/>
        <w:rPr/>
      </w:pPr>
      <w:r>
        <w:rPr/>
        <w:t>Вторая глава дипломного проекта полностью посвящена вопросам практического проектирования, спецификации и программной реализации серверных компонентов защищенного интерфейса программирования приложений корпоративного уровня. В отличие от первой главы, носящей преимущественно теоретико-аналитический характер, в рамках данного раздела детально развертывается процесс создания автономного программного комплекса, способного функционировать в гетерогенных сетевых средах и обеспечивать превентивную квантово-устойчивую защиту циркулирующих информационных потоков. Проектирование всех системных модулей осуществляется на основе ранее сформулированных функциональных и нефункциональных требований с упором на принципы слабой связанности компонентов, асинхронности обработки транзакций и сквозного шифрования полезной нагрузки на прикладном уровне модели взаимодействия открытых систем [2, 8].</w:t>
      </w:r>
    </w:p>
    <w:p>
      <w:pPr>
        <w:pStyle w:val="Style24"/>
        <w:rPr/>
      </w:pPr>
      <w:r>
        <w:rPr/>
        <w:t>В рамках проектной части последовательно реализуется многоступенчатый инженерный цикл. На начальном этапе приводится развернутое технико-экономическое и технологическое обоснование выбора базового стека разработки, языковых средств и систем управления базами данных, оцениваемых по критериям производительности при обработке ресурсоемких математических трансформаций. Далее осуществляется построение логической и физической схем реляционного хранилища данных, обеспечивающего консистентность сессионных контекстов и учет учетных записей субъектов. Центральное место во главе занимает проектирование архитектуры специализированного промежуточного программного обеспечения (middleware) и детальное описание маршрутизации RESTful API, включая модели входящих и исходящих JSON-пакетов, проходящих через криптографический контур [4, 6, 12]. Сформированные проектные решения преследуют цель создания масштабируемого бэкенд-сервиса, готового к последующей контейнеризации и практическому внедрению в корпоративную инфраструктуру предприятия.</w:t>
      </w:r>
    </w:p>
    <w:p>
      <w:pPr>
        <w:pStyle w:val="Style24"/>
        <w:rPr/>
      </w:pPr>
      <w:r>
        <w:rPr/>
      </w:r>
    </w:p>
    <w:p>
      <w:pPr>
        <w:pStyle w:val="22"/>
        <w:numPr>
          <w:ilvl w:val="1"/>
          <w:numId w:val="3"/>
        </w:numPr>
        <w:spacing w:before="0" w:after="0"/>
        <w:rPr/>
      </w:pPr>
      <w:bookmarkStart w:id="22" w:name="__RefHeading___Toc6608_3016159013"/>
      <w:bookmarkStart w:id="23" w:name="_Toc229932415"/>
      <w:bookmarkEnd w:id="22"/>
      <w:bookmarkEnd w:id="23"/>
      <w:r>
        <w:rPr/>
        <w:t>Обоснование выбора технологического стека и программных средств</w:t>
      </w:r>
    </w:p>
    <w:p>
      <w:pPr>
        <w:pStyle w:val="22"/>
        <w:numPr>
          <w:ilvl w:val="0"/>
          <w:numId w:val="0"/>
        </w:numPr>
        <w:spacing w:before="0" w:after="0"/>
        <w:ind w:hanging="0" w:start="420"/>
        <w:rPr/>
      </w:pPr>
      <w:r>
        <w:rPr/>
      </w:r>
    </w:p>
    <w:p>
      <w:pPr>
        <w:pStyle w:val="Style24"/>
        <w:rPr/>
      </w:pPr>
      <w:r>
        <w:rPr/>
        <w:t>Проектирование и последующая программная реализация высоконагруженных серверных систем, оперирующих механизмами гибридного шифрования на прикладном уровне, накладывает жесткие требования к выбору базового технологического стека. Ключевыми критериями оценки программных средств в данном контексте выступают общая вычислительная производительность при выполнении сложных математических операций, нативная поддержка асинхронной обработки сетевых транзакций, зрелость экосистемы специализированных библиотек информационной безопасности и возможности бесшовной интеграции современных криптографических примитивов. На основе комплексного анализа существующих решений в качестве основного языка программирования бэкенд-платформы был выбран высокоуровневый язык Python. Данный выбор обусловлен наличием развитых и верифицированных инструментов для работы как с классическими асимметричными алгоритмами, так и с перспективными постквантовыми схемами инкапсуляции секретов. Язык Python предоставляет эффективные интерфейсы для вызова низкоуровневых компилируемых модулей, что критически важно при проведении ресурсоемких математических трансформаций, таких как умножение полиномов в кольцах, лежащих в основе квантово-устойчивых алгоритмов на криптографических решетках [5, 6].</w:t>
      </w:r>
    </w:p>
    <w:p>
      <w:pPr>
        <w:pStyle w:val="Style24"/>
        <w:rPr/>
      </w:pPr>
      <w:r>
        <w:rPr/>
        <w:t>В качестве фундаментального каркаса для построения распределенного программного интерфейса межсервисного взаимодействия был выбран современный веб-фреймворк FastAPI. В отличие от традиционных синхронных веб-платформ, функционирующих в рамках ограничений спецификации WSGI, FastAPI изначально спроектирован на базе асинхронного стандарта ASGI, обеспечивающего неблокирующий ввод-вывод при обработке входящих соединений. Внедрение асинхронной парадигмы программирования является обязательным условием для разрабатываемой системы, так как операции сквозного шифрования полезной нагрузки (payload) и вычисления гибридного разделяемого секрета неизбежно увеличивают время обработки единичного сетевого пакета. Способность FastAPI эффективно переключать контекст выполнения задач в моменты ожидания завершения криптографических функций позволяет минимизировать общие задержки и поддерживать стабильно высокую пропускную способность REST API при пиковых корпоративных нагрузках. Дополнительным технологическим преимуществом фреймворка выступает глубокая интеграция со спецификацией Pydantic, осуществляющей строгую типизацию и автоматическую валидацию структуры входящих JSON-документов, что формирует первичный контур защиты от инъекций некорректных данных на стороне сервера [2, 14].</w:t>
      </w:r>
    </w:p>
    <w:p>
      <w:pPr>
        <w:pStyle w:val="Style24"/>
        <w:rPr/>
      </w:pPr>
      <w:r>
        <w:rPr/>
        <w:t>Организация долгосрочного и транзакционно-безопасного хранения учетных записей пользователей, параметров ролевой модели разграничения доступа и метаданных активных криптографических сессий требует развертывания промышленной системы управления базами данных реляционного типа. По результатам оценки системных характеристик была выбрана СУБД PostgreSQL. Ее применение продиктовано строгим соответствием принципам ACID (атомарность, согласованность, изолированность, долговечность), что выступает гарантом сохранения целостности данных при генерации, обновлении или принудительном аннулировании защищенных сессионных токенов. Наличие расширенных механизмов оптимизации и встроенной поддержки бинарного формата хранения полуструктурированных данных JSONB позволяет гибко оперировать динамическими параметрами криптографических handshake-процедур без необходимости частой перестройки физической схемы таблиц, что обеспечивает надежную и отказоустойчивую основу для функционирования всего разработанного серверного комплекса [4, 7].</w:t>
      </w:r>
    </w:p>
    <w:p>
      <w:pPr>
        <w:pStyle w:val="Style24"/>
        <w:ind w:hanging="0"/>
        <w:rPr/>
      </w:pPr>
      <w:r>
        <w:rPr/>
      </w:r>
    </w:p>
    <w:p>
      <w:pPr>
        <w:pStyle w:val="22"/>
        <w:numPr>
          <w:ilvl w:val="1"/>
          <w:numId w:val="3"/>
        </w:numPr>
        <w:spacing w:before="0" w:after="0"/>
        <w:rPr/>
      </w:pPr>
      <w:bookmarkStart w:id="24" w:name="__RefHeading___Toc6610_3016159013"/>
      <w:bookmarkStart w:id="25" w:name="_Toc229932416"/>
      <w:bookmarkEnd w:id="24"/>
      <w:bookmarkEnd w:id="25"/>
      <w:r>
        <w:rPr/>
        <w:t>Проектирование реляционной базы данных</w:t>
      </w:r>
      <w:bookmarkStart w:id="26" w:name="_Toc190776672"/>
    </w:p>
    <w:p>
      <w:pPr>
        <w:pStyle w:val="Style24"/>
        <w:rPr/>
      </w:pPr>
      <w:r>
        <w:rPr/>
        <w:t>Фундаментом устойчивого и безопасного функционирования разрабатываемой бэкенд-системы является рационально спроектированная модель реляционной базы данных, ориентированная на обеспечение строгой консистентности, транзакционной целостности и высокой скорости обработки полуструктурированных криптографических данных. В рамках архитектурного стиля REST API серверная часть должна функционировать в режиме без сохранения состояния сеанса (stateless), однако необходимость непрерывного контроля за жизненным циклом гибридных ключей, управление учетными записями пользователей и ведение журналов аудита безопасности обуславливают развертывание постоянного хранилища под управлением выбранной СУБД PostgreSQL. Логическая структура базы данных спроектирована с соблюдением требований третьей нормальной формы, что позволяет исключить избыточность информации, минимизировать аномалии модификации и гарантировать ссылочную целостность на уровне ограничений самой субд [4, 7].</w:t>
      </w:r>
    </w:p>
    <w:p>
      <w:pPr>
        <w:pStyle w:val="Style24"/>
        <w:rPr/>
      </w:pPr>
      <w:r>
        <w:rPr/>
        <w:t>Центральным компонентом подсистемы идентификации и контроля доступа выступает таблица учетных записей пользователей (users). Данная сущность содержит уникальный системный идентификатор в формате UUID (Universally Unique Identifier), что обеспечивает дополнительную безопасность и исключает возможность перебора идентификаторов злоумышленниками. Поля таблицы включают строковое представление уникального логина пользователя, криптографический хеш пароля, а также внешний ключ, связывающий запись с предопределенной ролевой моделью. В соответствии со строгими корпоративными регламентами безопасности, хранение аутентификационных данных в открытом виде полностью исключено; для формирования хешей на этапе программной реализации применяются ресурсоемкие функции одностороннего кодирования. Интеграция логического флага активности учетной записи позволяет осуществлять мгновенную блокировку скомпрометированных субъектов без физического удаления их профилей, сохраняя историческую достоверность связанных транзакционных данных во всех зависимых таблицах контура.</w:t>
      </w:r>
    </w:p>
    <w:p>
      <w:pPr>
        <w:pStyle w:val="Style24"/>
        <w:rPr/>
      </w:pPr>
      <w:r>
        <w:rPr/>
        <w:t>Ключевой научно-практической особенностью разработанной схемы данных является проектирование изолированной таблицы криптографических сессий (crypto_sessions), предназначенной для непрерывного мониторинга состояний процедур гибридного обмена секретами прикладного уровня. Каждая запись в данной таблице жестко ассоциирована с конкретным пользователем через внешний ключ с ограничением каскадного удаления, что гарантирует автоматическое аннулирование всех активных сеансов связи при блокировке или удалении учетной записи. Структура сущности включает уникальный токен сессии, временные метки генерации и принудительного истечения срока действия криптографического контекста, а также поля для хранения открытых параметров классического алгоритма и шифротекста постквантового механизма инкапсуляции секретов (KEM). Сами итоговые симметричные сессионные ключи не подлежат сохранению в постоянную память реляционной базы данных, вместо этого промежуточное программное обеспечение (middleware) оперирует исключительно криптографическими отпечатками и солями деривации, зафиксированными в таблице, что предотвращает компрометацию трафика даже при полном физическом доступе третьих лиц к файлам базы данных [8, 12, 16].</w:t>
      </w:r>
    </w:p>
    <w:p>
      <w:pPr>
        <w:pStyle w:val="Style24"/>
        <w:rPr/>
      </w:pPr>
      <w:r>
        <w:rPr/>
        <w:t>Для реализации принципов неотказуемости действий пользователей и обеспечения возможности проведения ретроспективного анализа инцидентов информационной безопасности в общую схему данных интегрирована транзакционная таблица журналирования (security_audit_logs). Данный модуль осуществляет непрерывную фиксацию фактов успешного и неуспешного выполнения процедур handshake, попыток несанкционированного обращения к защищенным маршрутам REST API и результатов процессов сквозной дешифрации пакетов JSON. Поля таблицы включают уникальный идентификатор лога, внешний ключ пользователя (или значение NULL для неаутентифицированных запросов), строковый маркер типа события, IP-адрес источника запроса и точную временную метку с фиксацией часового пояса. Использование встроенных механизмов индексации PostgreSQL по полям временных меток и идентификаторов сессий позволяет оптимизировать выполнение поисковых запросов подсистемы мониторинга и минимизировать накладные расходы на запись логов при высокой интенсивности входящего корпоративного трафика [4, 7].</w:t>
      </w:r>
    </w:p>
    <w:p>
      <w:pPr>
        <w:pStyle w:val="Style24"/>
        <w:ind w:hanging="0"/>
        <w:rPr/>
      </w:pPr>
      <w:r>
        <w:rPr/>
      </w:r>
    </w:p>
    <w:p>
      <w:pPr>
        <w:pStyle w:val="22"/>
        <w:numPr>
          <w:ilvl w:val="1"/>
          <w:numId w:val="3"/>
        </w:numPr>
        <w:spacing w:before="0" w:after="0"/>
        <w:rPr/>
      </w:pPr>
      <w:bookmarkStart w:id="27" w:name="__RefHeading___Toc6612_3016159013"/>
      <w:bookmarkStart w:id="28" w:name="_Toc229932417"/>
      <w:bookmarkEnd w:id="27"/>
      <w:bookmarkEnd w:id="28"/>
      <w:r>
        <w:rPr/>
        <w:t>Проектирование подсистемы аутентификации и разграничения прав доступа</w:t>
      </w:r>
    </w:p>
    <w:p>
      <w:pPr>
        <w:pStyle w:val="22"/>
        <w:spacing w:before="0" w:after="0"/>
        <w:jc w:val="both"/>
        <w:rPr/>
      </w:pPr>
      <w:r>
        <w:rPr/>
      </w:r>
    </w:p>
    <w:p>
      <w:pPr>
        <w:pStyle w:val="Style24"/>
        <w:rPr/>
      </w:pPr>
      <w:r>
        <w:rPr/>
        <w:t>Организация безопасного периметра функционирования распределенного программного интерфейса и разграничение полномочий взаимодействующих субъектов требует проектирования обособленной и криптографически защищенной подсистемы аутентификации и авторизации. В условиях классической архитектуры REST API проверка прав доступа традиционно накладывает значительные вычислительные нагрузки на реляционную базу данных из-за необходимости верификации сессионных признаков при каждом входящем запросе. Для преодоления данного инфраструктурного ограничения и обеспечения высокой производительности бэкенд-платформы в рамках дипломного проекта спроектирована децентрализованная подсистема контроля доступа, основанная на применении технологии компактных токенов безопасности JSON Web Tokens (JWT). Использование данного стандарта позволяет перенести контекст состояния авторизации на сторону клиента, обеспечивая выполнение принципа беспристрастности сервера (stateless) и гарантируя мгновенную проверку привилегий пользователя непосредственно на уровне промежуточного программного обеспечения прикладного уровня [2, 16].</w:t>
      </w:r>
    </w:p>
    <w:p>
      <w:pPr>
        <w:pStyle w:val="Style24"/>
        <w:rPr/>
      </w:pPr>
      <w:r>
        <w:rPr/>
        <w:t>Логическая структура токена авторизации разрабатывается в строгом соответствии с международной спецификацией RFC 7519 и концептуально разделяется на три независимых сегмента, проходящих процедуру сериализации и кодирования в текстовый формат. В служебном заголовке пакета фиксируются метаданные об используемом типе токена и криптографическом алгоритме формирования электронной цифровой подписи. Основная полезная нагрузка (claims) содержит набор структурированных атрибутов, определяющих идентификатор пользователя, временную метку выдачи токена и точное время окончания его валидности, что исключает риски бесконечного использования однажды скомпрометированной сессии. Важнейшим элементом payload выступает явное указание роли субъекта в рамках ролевой модели разграничения доступа (RBAC), разделяющей привилегии на выполнение операций чтения, создания и деструктивной модификации корпоративных ресурсов. Конечный сегмент представляет собой криптографическую подпись, гарантирующую неизменность и целостность кодированных данных на всем пути следования пакета по каналам связи [10, 16].</w:t>
      </w:r>
    </w:p>
    <w:p>
      <w:pPr>
        <w:pStyle w:val="Style24"/>
        <w:rPr/>
      </w:pPr>
      <w:r>
        <w:rPr/>
        <w:t>Универсальной научно-практической особенностью проектируемой подсистемы авторизации является внедрение концепции динамического связывания сигнатуры токена с уникальными параметрами активной постквантовой сессии. В отличие от стандартных промышленных реализаций, где для проверки подписи JWT применяется единый статический секретный ключ бэкенд-сервера, в разработанной архитектуре криптографический секрет генерируется индивидуально для каждого сеанса связи. В качестве базового математического субстрата для формирования подписи выступает общий разделяемый секрет, полученный в результате выполнения процедуры гибридного handshake на базе постквантового алгоритма инкапсуляции ключей на криптографических решетках. Такое архитектурное решение полностью нивелирует угрозы, связанные с перехватом токенов авторизации на промежуточных узлах сети, поскольку токен становится абсолютно невалидным при попытке его отправки в рамках любого иного сетевого соединения, отличного от исходного защищенного криптографического контекста [3, 12, 13].</w:t>
      </w:r>
    </w:p>
    <w:p>
      <w:pPr>
        <w:pStyle w:val="Style24"/>
        <w:rPr/>
      </w:pPr>
      <w:r>
        <w:rPr/>
        <w:t>Процесс авторизации субъекта интегрируется непосредственно в сквозную цепочку асинхронных перехватчиков middleware веб-фреймворка FastAPI. При поступлении запроса на защищенный эндпоинт промежуточное программное обеспечение извлекает токен из заголовка, извлекает метаданные сессии из СУБД PostgreSQL и производит математическую верификацию подписи токена с использованием деривативов активного гибридного ключа. Только после успешного подтверждения криптографической целостности структуры и проверки соответствия роли пользователя требуемому уровню доступа для конкретного маршрута запрос передается в контроллеры бизнес-логики. В случае фиксации истечения времени жизни токена, нарушения сигнатуры или нехватки ролевых привилегий система мгновенно отвергает транзакцию на ранней стадии, генерируя структурированный JSON-ответ с соответствующим статус-кодом HTTP, что обеспечивает непрерывную превентивную защиту внутренних компонентов корпоративной информационной системы [4, 8].</w:t>
      </w:r>
    </w:p>
    <w:p>
      <w:pPr>
        <w:pStyle w:val="Style24"/>
        <w:ind w:hanging="0" w:start="0"/>
        <w:rPr/>
      </w:pPr>
      <w:r>
        <w:rPr/>
      </w:r>
    </w:p>
    <w:p>
      <w:pPr>
        <w:pStyle w:val="22"/>
        <w:numPr>
          <w:ilvl w:val="1"/>
          <w:numId w:val="3"/>
        </w:numPr>
        <w:spacing w:before="0" w:after="0"/>
        <w:rPr/>
      </w:pPr>
      <w:bookmarkStart w:id="29" w:name="__RefHeading___Toc6614_3016159013"/>
      <w:bookmarkStart w:id="30" w:name="_Toc229932418"/>
      <w:bookmarkEnd w:id="29"/>
      <w:bookmarkEnd w:id="30"/>
      <w:r>
        <w:rPr/>
        <w:t>Проектирование структуры эндпоинтов REST API и моделей данных</w:t>
      </w:r>
    </w:p>
    <w:p>
      <w:pPr>
        <w:pStyle w:val="22"/>
        <w:spacing w:before="0" w:after="0"/>
        <w:jc w:val="both"/>
        <w:rPr/>
      </w:pPr>
      <w:r>
        <w:rPr/>
      </w:r>
    </w:p>
    <w:p>
      <w:pPr>
        <w:pStyle w:val="Style24"/>
        <w:rPr/>
      </w:pPr>
      <w:r>
        <w:rPr/>
        <w:t>Важнейшим этапом технического проектирования бэкенд-системы корпоративного уровня является детальная спецификация интерфейсов межсервисного взаимодействия, определяющая логику маршрутизации сетевых запросов, структуру передаваемых пакетов данных и механизмы обработки состояний распределенного приложения. Архитектура программного интерфейса разрабатывается в строгом соответствии с ограничениями концепции REST, где каждый системный ресурс идентифицируется уникальным адресом, а управление его состоянием осуществляется посредством стандартных семантических методов передачи гипертекста. Ввиду специфики решаемой задачи, связанной с интеграцией механизмов гибридной постквантовой защиты на прикладном уровне, стандартная топология маршрутизации усложняется за счет выделения обособленного контура для инициализации криптографических сессий, функционирующего параллельно с основными бизнес-эндпоинтами платформы [2, 6].</w:t>
      </w:r>
    </w:p>
    <w:p>
      <w:pPr>
        <w:pStyle w:val="Style24"/>
        <w:rPr/>
      </w:pPr>
      <w:r>
        <w:rPr/>
        <w:t>Первым и ключевым узлом разработанного интерфейса является специализированный эндпоинт, отвечающий за выполнение процедуры первоначального согласования ключевой информации, известной как handshake. Данный компонент доступен по постоянному сетевому адресу и обрабатывает исключительно входящие запросы методом POST, поскольку процесс инициализации сессии сопряжен с передачей со стороны клиентского приложения открытых параметров криптографических алгоритмов. В рамках реализации строгой типизации данных средствами веб-фреймворка FastAPI проектируется входная модель данных, описывающая структуру ожидаемого JSON-документа. Модель требует обязательного наличия двух строковых атрибутов, содержащих шестнадцатеричные или базовые кодированные представления публичного ключа классического асимметричного алгоритма на эллиптических кривых и открытого ключа постквантового механизма инкапсуляции секретов (KEM). Серверная часть, перехватив данный пакет, осуществляет валидацию длины и структуры строк, после чего инициирует внутренние вычислительные процессы формирования сессионного контекста [8, 13].</w:t>
      </w:r>
    </w:p>
    <w:p>
      <w:pPr>
        <w:pStyle w:val="Style24"/>
        <w:rPr/>
      </w:pPr>
      <w:r>
        <w:rPr/>
        <w:t>Ответная модель данных для процедуры согласования ключей также проектируется в виде зафиксированного текстового документа формата JSON, возвращаемого клиенту со статусным кодом успешной обработки операции. Этот пакет содержит уникальный алфавитно-цифровой идентификатор сессии, генерируемый на стороне сервера с использованием криптографически стойких генераторов случайных последовательностей, строковое представление серверного открытого ключа классической криптосистемы, а также зашифрованный массив данных, представляющий собой шифротекст постквантового алгоритма инкапсуляции секретов. Передача этих параметров в изолированной структуре позволяет клиентской стороне завершить вычисление общего разделяемого секрета на своей стороне. После завершения данного этапа обе стороны межсервисного обмена переходят в защищенный режим функционирования, при котором прямое чтение передаваемых данных становится невозможным для любых внешних систем мониторинга трафика [12, 18].</w:t>
      </w:r>
    </w:p>
    <w:p>
      <w:pPr>
        <w:pStyle w:val="Style24"/>
        <w:rPr/>
      </w:pPr>
      <w:r>
        <w:rPr/>
        <w:t>Дальнейшее взаимодействие с защищенными бизнес-компонентами корпоративной бэкенд-системы осуществляется через группу эндпоинтов, полностью закрытых от неавторизованного доступа на уровне промежуточного программного обеспечения. Модели входящих запросов для этих маршрутов проектируются по принципу криптографического конверта, где реальное тело бизнес-запроса инкапсулируется внутри защитной оболочки. Типизированная структура такого JSON-документа содержит обязательное поле зашифрованной полезной нагрузки (payload) в виде текстовой строки базового кодирования, уникальный идентификатор сессии и строку вектора инициализации, необходимого для корректной работы алгоритмов симметричного блочного шифрования. Программные контроллеры FastAPI, отвечающие за конечную обработку данных, оперируют уже очищенным и дешифрованным промежуточным ПО массивом информации, что позволяет полностью изолировать логику корпоративного приложения от низкоуровневых криптографических трансформаций и обеспечивает высокую масштабируемость системы при добавлении новых программных маршрутов [1, 14].</w:t>
      </w:r>
    </w:p>
    <w:p>
      <w:pPr>
        <w:pStyle w:val="Style24"/>
        <w:ind w:hanging="0"/>
        <w:rPr/>
      </w:pPr>
      <w:r>
        <w:rPr/>
      </w:r>
    </w:p>
    <w:p>
      <w:pPr>
        <w:pStyle w:val="22"/>
        <w:numPr>
          <w:ilvl w:val="1"/>
          <w:numId w:val="3"/>
        </w:numPr>
        <w:spacing w:before="0" w:after="0"/>
        <w:rPr/>
      </w:pPr>
      <w:bookmarkStart w:id="31" w:name="__RefHeading___Toc6616_3016159013"/>
      <w:bookmarkStart w:id="32" w:name="_Toc229932419"/>
      <w:bookmarkEnd w:id="31"/>
      <w:bookmarkEnd w:id="32"/>
      <w:r>
        <w:rPr/>
        <w:t>Проектирование схемы промежуточного программного обеспечения прикладного уровня</w:t>
      </w:r>
    </w:p>
    <w:p>
      <w:pPr>
        <w:pStyle w:val="22"/>
        <w:spacing w:before="0" w:after="0"/>
        <w:jc w:val="both"/>
        <w:rPr/>
      </w:pPr>
      <w:r>
        <w:rPr/>
      </w:r>
    </w:p>
    <w:p>
      <w:pPr>
        <w:pStyle w:val="Style24"/>
        <w:rPr/>
      </w:pPr>
      <w:r>
        <w:rPr/>
        <w:t>Ключевым архитектурным решением, обеспечивающим сквозную криптографическую защиту корпоративного взаимодействия на прикладном уровне модели OSI, является разработка специализированного слоя промежуточного программного обеспечения (middleware). В рамках спроектированной асинхронной архитектуры на базе веб-фреймворка FastAPI данный компонент функционирует как центральный перехватчик входящего и исходящего трафика, интегрируемый непосредственно в контур обработки сетевых запросов. Необходимость выделения защитных механизмов в обособленный программный слой продиктована требованиями обеспечения слабой связанности компонентов и прозрачности криптографического контекста для модулей бизнес-логики. Проектируемое промежуточное программное обеспечение реализует паттерн цепочки обязанностей, перехватывая низкоуровневые бинарные потоки данных, выполняя их декомпозицию, криптографическую верификацию и структурную трансформацию до того, как управление будет передано конечным маршрутизаторам серверного приложения [2, 6].</w:t>
      </w:r>
    </w:p>
    <w:p>
      <w:pPr>
        <w:pStyle w:val="Style24"/>
        <w:rPr/>
      </w:pPr>
      <w:r>
        <w:rPr/>
        <w:t>Процесс функционирования разработанного перехватчика промежуточного уровня инициируется в момент поступления любого внешнего HTTP-запроса на сетевой интерфейс бэкенд-платформы. На первом этапе алгоритм middleware осуществляет экспресс-анализ запрашиваемого URL-адреса по таблице открытых маршрутов, контролируя беспрепятственный пропуск пакетов, направляемых к эндпоинтам первичного согласования ключей (handshake) или модулям генерации технической документации API. Для всех остальных защищенных корпоративных маршрутов активируется строгий протокол валидации, включающий извлечение метаданных сессии и авторизационных токенов из заголовков пакета. Промежуточное программное обеспечение выполняет синтаксический разбор заголовка авторизации, извлекая структурированный токен JWT в соответствии с регламентами международной спецификации RFC 7519, после чего обращается к реляционной базе данных PostgreSQL для верификации текущего сессионного статуса и получения параметров криптографического контекста, закрепленного за конкретным идентификатором сессии [4, 16].</w:t>
      </w:r>
    </w:p>
    <w:p>
      <w:pPr>
        <w:pStyle w:val="Style24"/>
        <w:rPr/>
      </w:pPr>
      <w:r>
        <w:rPr/>
        <w:t>После успешного извлечения параметров сессии и подтверждения валидности токена intermediate-слой приступает к ресурсоемкой процедуре деривации симметричных ключей и дешифрации полезной нагрузки. Для противодействия атакам перехвата и ретроспективного анализа трафика выработка рабочих ключей шифрования осуществляется динамически для каждой транзакции с использованием асинхронных функций извлечения и расширения ключа на базе HMAC согласно стандарту RFC 5869 [19]. В качестве базового секретного материала (IKM) выступает разделяемый гибридный секрет, сформированный на этапе handshake путем математического объединения результатов работы классических алгоритмов на эллиптических кривых и постквантового механизма инкапсуляции секретов на криптографических решетках, соответствующего спецификациям NIST FIPS 203 [13, 18]. На основе выработанного симметричного ключа промежуточное программное обеспечение производит дешифрацию текстового блока полезной нагрузки, инкапсулированного внутри зашифрованного JSON-конверта, применяя алгоритмы блочного шифрования с контролем целостности и проверкой вектора инициализации [1, 14].</w:t>
      </w:r>
    </w:p>
    <w:p>
      <w:pPr>
        <w:pStyle w:val="Style24"/>
        <w:rPr/>
      </w:pPr>
      <w:r>
        <w:rPr/>
        <w:t>Финиширует рабочий цикл перехватчика прикладного уровня модификацией объекта запроса в текущем контексте исполнения асинхронного приложения. Успешно расшифрованная строка payload подвергается валидации и повторной сериализации во внутреннюю структуру данных фреймворка FastAPI, заменяя собой исходный зашифрованный бинарный поток. В результате этой архитектурной подмены конечные контроллеры бизнес-логики получают легитимный, очищенный и полностью структурированный JSON-документ, выполняя прикладные задачи автоматизации в штатном режиме и оставаясь изолированными от сложности математических операций постквантовой криптографии. При формировании ответа сервера middleware производит обратную операцию: перехватывает исходящий JSON-пакет, генерирует новый вектор инициализации, осуществляет симметричное кодирование данных на активном сессионном ключе и упаковывает информацию в защищенную криптографическую оболочку, гарантируя реализацию концепции полного сквозного шифрования в распределенной корпоративной среде [2, 8].</w:t>
      </w:r>
    </w:p>
    <w:p>
      <w:pPr>
        <w:pStyle w:val="Style24"/>
        <w:ind w:hanging="0"/>
        <w:rPr/>
      </w:pPr>
      <w:r>
        <w:rPr/>
      </w:r>
    </w:p>
    <w:p>
      <w:pPr>
        <w:pStyle w:val="22"/>
        <w:numPr>
          <w:ilvl w:val="1"/>
          <w:numId w:val="3"/>
        </w:numPr>
        <w:spacing w:before="0" w:after="0"/>
        <w:rPr>
          <w:bCs/>
        </w:rPr>
      </w:pPr>
      <w:bookmarkStart w:id="33" w:name="__RefHeading___Toc6618_3016159013"/>
      <w:bookmarkStart w:id="34" w:name="_Toc229932420"/>
      <w:bookmarkEnd w:id="33"/>
      <w:bookmarkEnd w:id="34"/>
      <w:r>
        <w:rPr>
          <w:bCs/>
        </w:rPr>
        <w:t>Проектирование схемы контейнеризации и развертывания</w:t>
      </w:r>
    </w:p>
    <w:p>
      <w:pPr>
        <w:pStyle w:val="22"/>
        <w:spacing w:before="0" w:after="0"/>
        <w:jc w:val="both"/>
        <w:rPr>
          <w:bCs/>
        </w:rPr>
      </w:pPr>
      <w:r>
        <w:rPr>
          <w:bCs/>
        </w:rPr>
      </w:r>
    </w:p>
    <w:p>
      <w:pPr>
        <w:pStyle w:val="Style24"/>
        <w:rPr/>
      </w:pPr>
      <w:r>
        <w:rPr/>
        <w:t>Современные стандарты разработки корпоративного программного обеспечения и жесткие требования к обеспечению непрерывности бизнес-процессов диктуют необходимость полной изоляции среды исполнения веб-служб от специфики системного окружения целевых серверов. Для обеспечения гарантированной воспроизводимости разработанного защищенного RESTful API, минимизации рисков возникновения конфликтов программных зависимостей и упрощения процедур горизонтального масштабирования в рамках дипломного проекта спроектирована комплексная архитектура контейнеризации. Изоляция исполняемых модулей бэкенд-системы реализуется на базе технологии Docker, позволяющей упаковать асинхронное приложение FastAPI, реляционную СУБД PostgreSQL и сопутствующие конфигурационные файлы в обособленные, независимые контейнеры, функционирующие на уровне общего ядра операционной системы хост-платформы [9].</w:t>
      </w:r>
    </w:p>
    <w:p>
      <w:pPr>
        <w:pStyle w:val="Style24"/>
        <w:rPr/>
      </w:pPr>
      <w:r>
        <w:rPr/>
        <w:t>Центральным элементом разработанной схемы развертывания является декларативное описание многоконтейнерной инфраструктуры с использованием инструмента оркестрации Docker Compose. Данный подход позволяет централизованно управлять жизненным циклом сопряженных сервисов, жестко определять порядок их инициализации и конфигурировать изолированные виртуальные сети. В рамках проектирования сетевой топологии создается закрытая внутренняя подсеть типа bridge, полностью изолированная от прямого доступа из глобальной сети общего пользования (см. рис. 1). Внутри данного защищенного сетевого периметра организуется прямое межконтейнерное взаимодействие между сервером приложений FastAPI и хранилищем PostgreSQL. Внешний доступ предоставляется исключительно к сетевым портам API-интерфейса бэкенда, в то время как порты базы данных остаются открытыми только для внутренних запросов middleware, что формирует дополнительный эшелон защиты против несанкционированных попыток прямого сканирования или инъекций в систему хранения данных [11].</w:t>
      </w:r>
    </w:p>
    <w:p>
      <w:pPr>
        <w:pStyle w:val="Style24"/>
        <w:rPr>
          <w:lang w:val="en-US"/>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4704715" cy="674814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704715" cy="6748145"/>
                    </a:xfrm>
                    <a:prstGeom prst="rect">
                      <a:avLst/>
                    </a:prstGeom>
                    <a:noFill/>
                  </pic:spPr>
                </pic:pic>
              </a:graphicData>
            </a:graphic>
          </wp:anchor>
        </w:drawing>
      </w:r>
      <w:r>
        <w:rPr>
          <w:lang w:val="en-US"/>
        </w:rPr>
        <w:t>Рисунок 1 — Схема контейнеризации и сетевой изоляции компонентов бэкенд-системы</w:t>
      </w:r>
    </w:p>
    <w:p>
      <w:pPr>
        <w:pStyle w:val="Style24"/>
        <w:rPr/>
      </w:pPr>
      <w:r>
        <w:rPr/>
        <w:t>Для обеспечения персистентности информации и предотвращения потери критически важных сессионных контекстов, ролевых моделей и журналов аудита при плановом перезапуске или аварийной остановке контейнеров проектируется механизм именованных логических томов. Данные тома монтируются непосредственно к изолированной файловой системе контейнера СУБД, гарантируя физическое сохранение транзакционных таблиц PostgreSQL на постоянном накопителе хост-сервера. Конфигурирование параметров окружения, включая секретные токены, учетные данные администраторов и технические параметры подключения, выносится в изолированные файлы переменных среды, что исключает жесткое кодирование конфиденциальной информации в манифестах развертывания. Разработанная схема контейнеризации формирует отчуждаемый, платформонезависимый программный продукт, полностью готовый к бесшовному переносу на производственные мощности предприятия или развертыванию в рамках конвейеров непрерывной интеграции и доставки [4, 9, 11].</w:t>
      </w:r>
    </w:p>
    <w:p>
      <w:pPr>
        <w:pStyle w:val="Style24"/>
        <w:rPr>
          <w:lang w:val="en-US"/>
        </w:rPr>
      </w:pPr>
      <w:r>
        <w:rPr>
          <w:lang w:val="en-US"/>
        </w:rPr>
      </w:r>
    </w:p>
    <w:p>
      <w:pPr>
        <w:pStyle w:val="Style24"/>
        <w:ind w:hanging="0"/>
        <w:rPr/>
      </w:pPr>
      <w:r>
        <w:rPr/>
      </w:r>
    </w:p>
    <w:p>
      <w:pPr>
        <w:pStyle w:val="22"/>
        <w:numPr>
          <w:ilvl w:val="1"/>
          <w:numId w:val="3"/>
        </w:numPr>
        <w:spacing w:before="0" w:after="0"/>
        <w:rPr>
          <w:bCs/>
        </w:rPr>
      </w:pPr>
      <w:bookmarkStart w:id="35" w:name="__RefHeading___Toc6620_3016159013"/>
      <w:bookmarkStart w:id="36" w:name="_Toc229932421"/>
      <w:bookmarkEnd w:id="35"/>
      <w:r>
        <w:rPr>
          <w:bCs/>
        </w:rPr>
        <w:t xml:space="preserve">Выводы по результатам </w:t>
      </w:r>
      <w:r>
        <w:rPr>
          <w:bCs/>
        </w:rPr>
        <w:t>проектирования</w:t>
      </w:r>
      <w:r>
        <w:rPr>
          <w:bCs/>
        </w:rPr>
        <w:t xml:space="preserve"> системы</w:t>
      </w:r>
      <w:bookmarkEnd w:id="36"/>
    </w:p>
    <w:p>
      <w:pPr>
        <w:pStyle w:val="22"/>
        <w:spacing w:before="0" w:after="0"/>
        <w:jc w:val="both"/>
        <w:rPr>
          <w:bCs/>
        </w:rPr>
      </w:pPr>
      <w:r>
        <w:rPr>
          <w:bCs/>
        </w:rPr>
      </w:r>
    </w:p>
    <w:p>
      <w:pPr>
        <w:pStyle w:val="Style24"/>
        <w:rPr/>
      </w:pPr>
      <w:r>
        <w:rPr/>
        <w:t>В рамках данной главы была успешно спроектирована архитектура защищенного бэкенд-сервиса, предназначенного для обеспечения квантово-устойчивого межсервисного взаимодействия в корпоративных информационных системах. На основе глубокого анализа предметной области был сформирован и обоснован технологический стек, включающий асинхронный фреймворк FastAPI, реляционную систему управления базами данных PostgreSQL и средства контейнеризации Docker. Данный стек обеспечивает необходимый уровень производительности, транзакционной консистентности и горизонтальной масштабируемости, что является критически важным для обработки интенсивных потоков корпоративного трафика [2, 4, 7, 9].</w:t>
      </w:r>
    </w:p>
    <w:p>
      <w:pPr>
        <w:pStyle w:val="Style24"/>
        <w:rPr/>
      </w:pPr>
      <w:r>
        <w:rPr/>
        <w:t>Спроектированная структура реляционной базы данных охватывает все необходимые сущности для управления криптографическими контекстами, ролевого разграничения прав доступа и обеспечения аудита безопасности. Модели данных, реализованные с применением принципов нормализации, гарантируют ссылочную целостность сессионных данных и позволяют гибко интегрировать параметры постквантовых алгоритмов инкапсуляции секретов (KEM) без необходимости радикальной перестройки физической архитектуры хранилища. Использование UUID-идентификаторов и внешних ключей в связках таблиц пользователей и криптографических сессий исключает возможность несанкционированного доступа и обеспечивает прозрачность управления жизненным циклом ключей [8, 11].</w:t>
      </w:r>
    </w:p>
    <w:p>
      <w:pPr>
        <w:pStyle w:val="Style24"/>
        <w:rPr/>
      </w:pPr>
      <w:r>
        <w:rPr/>
        <w:t>Разработанная подсистема аутентификации на основе компактных токенов безопасности JWT (RFC 7519) в сочетании с динамическим связыванием сигнатуры токена с гибридным постквантовым ключом сессии обеспечивает надежную идентификацию субъектов и защиту от атак перехвата. Каждый программный маршрут API снабжен явными механизмами проверки прав доступа, интегрированными в цепочку промежуточного программного обеспечения, что минимизирует риски несанкционированного выполнения операций на стороне сервера. Реализованный подход к управлению привилегиями позволяет гибко настраивать политики безопасности в соответствии с актуальными корпоративными требованиями [13, 16].</w:t>
      </w:r>
    </w:p>
    <w:p>
      <w:pPr>
        <w:pStyle w:val="Style24"/>
        <w:rPr/>
      </w:pPr>
      <w:r>
        <w:rPr/>
        <w:t>Ключевым достижением главы является архитектурное проектирование промежуточного программного обеспечения (middleware), осуществляющего сквозную дешифрацию полезной нагрузки JSON-пакетов непосредственно в прикладном контексте. Данное решение позволило изолировать сложную криптографическую логику от бизнес-контроллеров приложения, обеспечив при этом полноценную защиту данных (End-to-End) на прикладном уровне модели OSI. Проведенное проектирование системы контейнеризации с использованием Docker Compose обеспечивает полную платформенную независимость продукта, гарантируя его готовность к быстрому развертыванию в защищенных контурах информационной инфраструктуры предприятия [12, 14, 19].</w:t>
      </w:r>
      <w:r>
        <w:br w:type="page"/>
      </w:r>
    </w:p>
    <w:p>
      <w:pPr>
        <w:pStyle w:val="Heading1"/>
        <w:keepNext w:val="false"/>
        <w:keepLines w:val="false"/>
        <w:widowControl w:val="false"/>
        <w:numPr>
          <w:ilvl w:val="0"/>
          <w:numId w:val="3"/>
        </w:numPr>
        <w:spacing w:before="0" w:after="0"/>
        <w:rPr>
          <w:bCs/>
        </w:rPr>
      </w:pPr>
      <w:bookmarkStart w:id="37" w:name="__RefHeading___Toc6622_3016159013"/>
      <w:bookmarkStart w:id="38" w:name="_Toc229932422"/>
      <w:bookmarkEnd w:id="26"/>
      <w:bookmarkEnd w:id="37"/>
      <w:bookmarkEnd w:id="38"/>
      <w:r>
        <w:rPr>
          <w:bCs/>
        </w:rPr>
        <w:t>ПРОГРАММНАЯ РЕАЛИЗАЦИЯ И ТЕСТИРОВАНИЕ РАЗРАБОТАННОГО ПРОДУКТА</w:t>
      </w:r>
    </w:p>
    <w:p>
      <w:pPr>
        <w:pStyle w:val="Normal"/>
        <w:rPr/>
      </w:pPr>
      <w:r>
        <w:rPr/>
      </w:r>
    </w:p>
    <w:p>
      <w:pPr>
        <w:pStyle w:val="Style24"/>
        <w:rPr/>
      </w:pPr>
      <w:r>
        <w:rPr/>
        <w:t>Третья глава дипломного проекта посвящена практическому воплощению сформированных ранее проектных решений, развертыванию инфраструктурных компонентов и комплексному верификационному тестированию разработанной бэкенд-системы. Если в предыдущих разделах фокус исследования был направлен на теоретический анализ квантовых угроз и логическое моделирование архитектурных слоев приложения, то в рамках текущего раздела детально описывается непосредственный процесс написания исходного кода, конфигурации программных контейнеров и оценки метрик производительности криптографического промежуточного программного обеспечения. Реализация всех программных модулей осуществлена в строгом соответствии с принципами асинхронности, строгой типизации данных и сквозного шифрования полезной нагрузки JSON-пакетов на прикладном уровне корпоративной информационной системы [2, 6].</w:t>
      </w:r>
    </w:p>
    <w:p>
      <w:pPr>
        <w:pStyle w:val="Style24"/>
        <w:rPr/>
      </w:pPr>
      <w:r>
        <w:rPr/>
        <w:t>В начале главы приводится подробное описание программной реализации ключевых компонентов веб-приложения, включая асинхронные контроллеры фреймворка FastAPI, модели декларативного описания таблиц СУБД PostgreSQL и алгоритмы функционирования middleware. Особое внимание уделяется листингам исходного кода, демонстрирующим интеграцию классических асимметричных протоколов и постквантовых механизмов инкапсуляции секретов на криптографических решетках, выполняющих функции динамической генерации сессионных секретов. Далее последовательно раскрывается процесс технической сборки и оркестрации изолированных контейнеров средствами Docker и Docker Compose, гарантирующий платформонезависимость разработанного продукта и безопасность внутренней сетевой топологии [4, 9, 11].</w:t>
      </w:r>
    </w:p>
    <w:p>
      <w:pPr>
        <w:pStyle w:val="Style24"/>
        <w:rPr/>
      </w:pPr>
      <w:r>
        <w:rPr/>
        <w:t>Завершается глава развернутым разделом, посвященным тестированию, отладке и верификации работоспособности бэкенд-платформы. В этой части описывается методология проведения модульного и интеграционного тестирования критических программных маршрутов, приводятся результаты симуляции сетевых запросов и фиксируются точные временные метки выполнения криптографических трансформаций промежуточным ПО. Анализ полученных метрик производительности позволяет оценить реальные вычислительные накладные расходы на поддержание постквантовой защиты прикладного трафика и подтверждает техническую зрелость, отказоустойчивость и готовность спроектированного RESTful API к опытно-промышленной эксплуатации в контуре предприятия [13, 15].</w:t>
      </w:r>
    </w:p>
    <w:p>
      <w:pPr>
        <w:pStyle w:val="Style24"/>
        <w:rPr/>
      </w:pPr>
      <w:r>
        <w:rPr/>
      </w:r>
    </w:p>
    <w:p>
      <w:pPr>
        <w:pStyle w:val="22"/>
        <w:numPr>
          <w:ilvl w:val="1"/>
          <w:numId w:val="3"/>
        </w:numPr>
        <w:spacing w:before="0" w:after="0"/>
        <w:rPr/>
      </w:pPr>
      <w:bookmarkStart w:id="39" w:name="__RefHeading___Toc6624_3016159013"/>
      <w:bookmarkStart w:id="40" w:name="_Toc229932423"/>
      <w:bookmarkEnd w:id="39"/>
      <w:bookmarkEnd w:id="40"/>
      <w:r>
        <w:rPr/>
        <w:t>Программная реализация моделей данных и сервисов криптографического ядра</w:t>
      </w:r>
    </w:p>
    <w:p>
      <w:pPr>
        <w:pStyle w:val="22"/>
        <w:spacing w:before="0" w:after="0"/>
        <w:rPr/>
      </w:pPr>
      <w:r>
        <w:rPr/>
      </w:r>
    </w:p>
    <w:p>
      <w:pPr>
        <w:pStyle w:val="Style24"/>
        <w:rPr/>
      </w:pPr>
      <w:r>
        <w:rPr/>
        <w:t>Программная реализация спроектированной бэкенд-системы выполнена с использованием асинхронного веб-фреймворка FastAPI, что позволило обеспечить высокую отзывчивость системы при выполнении ресурсоемких криптографических вычислений. Ядром приложения является сервис криптографических операций HybridCryptoService, инкапсулирующий логику взаимодействия с библиотеками pqcrypto и cryptography. В реализации данного компонента применена гибридная схема согласования ключей, объединяющая постквантовый механизм инкапсуляции секретов ML-KEM-768 и классический протокол обмена на эллиптических кривых X25519. Данный подход гарантирует, что даже в случае будущей компрометации одного из алгоритмов, итоговый сессионный ключ останется защищенным благодаря независимости математических баз использованных методов [5, 18].</w:t>
      </w:r>
    </w:p>
    <w:p>
      <w:pPr>
        <w:pStyle w:val="Style24"/>
        <w:rPr/>
      </w:pPr>
      <w:r>
        <w:rPr/>
        <w:t>Листинг программного модуля, отвечающего за инициализацию сессий, представлен на рис. 4 (см. скриншот кода crypto.py). После получения публичных параметров клиента сервер выполняет инкапсуляцию ML-KEM-768 и генерирует эфемерную пару X25519 для классического согласования ключей. Для вычисления общего секретного материала применяется функция HKDF-SHA256, параметры которой (соль и info) заданы константами в модуле app/crypto.py. Использование хеш-функции SHA256 обеспечивает равномерное распределение энтропии итогового ключа, что критически важно для стойкости последующих операций аутентификации сессии и защищенного доступа к API (с возможностью расширения до симметричного шифрования полезной нагрузки). Хранение контекстов активных сессий осуществляется в оперативной памяти сервера с привязкой к уникальному идентификатору (UUID), что минимизирует задержки доступа при обработке последующих запросов к защищенным маршрутам API [13, 19].</w:t>
      </w:r>
    </w:p>
    <w:p>
      <w:pPr>
        <w:pStyle w:val="Style24"/>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940425" cy="545020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40425" cy="5450205"/>
                    </a:xfrm>
                    <a:prstGeom prst="rect">
                      <a:avLst/>
                    </a:prstGeom>
                    <a:noFill/>
                  </pic:spPr>
                </pic:pic>
              </a:graphicData>
            </a:graphic>
          </wp:anchor>
        </w:drawing>
      </w:r>
      <w:r>
        <w:rPr/>
        <w:t>Рисунок 4 — Листинг реализации сервиса гибридного рукопожатия</w:t>
      </w:r>
    </w:p>
    <w:p>
      <w:pPr>
        <w:pStyle w:val="Style24"/>
        <w:rPr/>
      </w:pPr>
      <w:r>
        <w:rPr/>
      </w:r>
    </w:p>
    <w:p>
      <w:pPr>
        <w:pStyle w:val="Style24"/>
        <w:rPr/>
      </w:pPr>
      <w:r>
        <w:rPr/>
        <w:t>Интеграция разработанного криптографического сервиса в контур FastAPI реализована посредством кастомных моделей Pydantic, которые обеспечивают строгую типизацию входных JSON-структур (см. рис. 5, скриншот models.py). При поступлении запроса на эндпоинт /api/handshake фреймворк автоматически производит десериализацию данных, валидируя минимальную длину строковых полей ключевого материала. Подобная архитектурная интеграция позволяет отсекать некорректные или вредоносные запросы на уровне абстракции фреймворка, предотвращая их попадание в бизнес-логику сервера. Обработчики API, описанные в main.py, оперируют объектами, прошедшими проверку, что гарантирует безопасность передачи параметров ключей между различными уровнями серверного приложения и обеспечивает чистоту входящих данных, поступающих в математическое ядро системы [2, 14].</w:t>
      </w:r>
    </w:p>
    <w:p>
      <w:pPr>
        <w:pStyle w:val="Style24"/>
        <w:rPr/>
      </w:pPr>
      <w:r>
        <w:rPr/>
      </w:r>
    </w:p>
    <w:p>
      <w:pPr>
        <w:pStyle w:val="Style24"/>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059680" cy="408495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059680" cy="4084955"/>
                    </a:xfrm>
                    <a:prstGeom prst="rect">
                      <a:avLst/>
                    </a:prstGeom>
                    <a:noFill/>
                  </pic:spPr>
                </pic:pic>
              </a:graphicData>
            </a:graphic>
          </wp:anchor>
        </w:drawing>
      </w:r>
      <w:r>
        <w:rPr/>
        <w:t>Рисунок 5 — Листинг Pydantic-моделей запроса и ответа протокола handshake</w:t>
      </w:r>
    </w:p>
    <w:p>
      <w:pPr>
        <w:pStyle w:val="Style24"/>
        <w:ind w:hanging="0"/>
        <w:rPr/>
      </w:pPr>
      <w:r>
        <w:rPr/>
      </w:r>
    </w:p>
    <w:p>
      <w:pPr>
        <w:pStyle w:val="22"/>
        <w:numPr>
          <w:ilvl w:val="1"/>
          <w:numId w:val="3"/>
        </w:numPr>
        <w:spacing w:before="0" w:after="0"/>
        <w:rPr/>
      </w:pPr>
      <w:bookmarkStart w:id="41" w:name="__RefHeading___Toc6626_3016159013"/>
      <w:bookmarkStart w:id="42" w:name="_Toc229932424"/>
      <w:bookmarkEnd w:id="41"/>
      <w:r>
        <w:rPr/>
        <w:t>Р</w:t>
      </w:r>
      <w:bookmarkEnd w:id="42"/>
      <w:r>
        <w:rPr/>
        <w:t>еализация криптографического промежуточного ПО (Middleware)</w:t>
      </w:r>
    </w:p>
    <w:p>
      <w:pPr>
        <w:pStyle w:val="22"/>
        <w:spacing w:before="0" w:after="0"/>
        <w:jc w:val="both"/>
        <w:rPr/>
      </w:pPr>
      <w:r>
        <w:rPr/>
      </w:r>
    </w:p>
    <w:p>
      <w:pPr>
        <w:pStyle w:val="Style24"/>
        <w:rPr/>
      </w:pPr>
      <w:r>
        <w:rPr/>
        <w:t>Для обеспечения прозрачной защиты прикладных данных на уровне API был разработан программный модуль промежуточного уровня (middleware), интегрированный в жизненный цикл обработки запросов веб-фреймворка FastAPI. Реализация данного компонента основана на паттерне перехвата, позволяющем выполнять криптографические трансформации над полезной нагрузкой (payload) до момента передачи данных в основные бизнес-контроллеры приложения. С точки зрения архитектуры, модуль CryptoMiddleware представляет собой асинхронный обработчик, который анализирует каждый входящий HTTP-запрос, верифицирует состояние сессии и, при наличии подтвержденного криптографического контекста, осуществляет сквозную дешифрацию информационных пакетов с использованием симметричного алгоритма AES-256-GCM [6, 8].</w:t>
      </w:r>
    </w:p>
    <w:p>
      <w:pPr>
        <w:pStyle w:val="Style24"/>
        <w:rPr/>
      </w:pPr>
      <w:r>
        <w:rPr/>
        <w:t>Листинг программного модуля, отвечающего за перехват и обработку запросов, представлен на рис. 6 (см. скриншот кода app/middleware.py). Основной метод перехвата dispatch последовательно выполняет следующие операции: идентификация пользователя по заголовку X-Session-ID, извлечение параметров сессионного ключа через репозиторий SessionRepository и применение алгоритма симметричной дешифрации к телу запроса (для методов POST и PUT). Важной особенностью реализации является жесткая обработка ошибок на низком уровне: в случае обнаружения нарушения целостности данных, отсутствия сессии или истечения срока действия ключа, модуль инициирует немедленный сброс соединения с возвратом кода 401 Unauthorized, что предотвращает утечку даже фрагментов защищаемой информации [14, 16].</w:t>
      </w:r>
    </w:p>
    <w:p>
      <w:pPr>
        <w:pStyle w:val="Style24"/>
        <w:rPr/>
      </w:pPr>
      <w:r>
        <w:rPr/>
      </w:r>
    </w:p>
    <w:p>
      <w:pPr>
        <w:pStyle w:val="Style24"/>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940425" cy="332803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940425" cy="3328035"/>
                    </a:xfrm>
                    <a:prstGeom prst="rect">
                      <a:avLst/>
                    </a:prstGeom>
                    <a:noFill/>
                  </pic:spPr>
                </pic:pic>
              </a:graphicData>
            </a:graphic>
          </wp:anchor>
        </w:drawing>
      </w:r>
      <w:r>
        <w:rPr/>
        <w:t>Рисунок 6 — Листинг реализации криптографического Middleware для сквозной обработки запросов</w:t>
      </w:r>
    </w:p>
    <w:p>
      <w:pPr>
        <w:pStyle w:val="Style24"/>
        <w:rPr/>
      </w:pPr>
      <w:r>
        <w:rPr/>
      </w:r>
    </w:p>
    <w:p>
      <w:pPr>
        <w:pStyle w:val="Style24"/>
        <w:rPr/>
      </w:pPr>
      <w:r>
        <w:rPr/>
        <w:t>При проектировании логики дешифрации особое внимание было уделено вопросам производительности и защиты от атак сторонних каналов. Реализованный алгоритм исключает ветвление кода в зависимости от содержимого данных, что минимизирует риски статистического анализа времени отклика системы. Для исходящих ответов сервера middleware выполняет симметричную операцию: перехватывает JSON-пакет, генерирует уникальный вектор инициализации (nonce), упаковывает данные в зашифрованный конверт (AES-GCM) и добавляет служебные метаданные сессии, обеспечивая тем самым реализацию концепции полного сквозного шифрования (End-to-End Encryption) в распределенной среде. Данный программный подход позволяет полностью отделить логику защиты от бизнес-логики приложения, обеспечивая высокую масштабируемость, чистоту кода и простоту сопровождения программного комплекса в соответствии с современными требованиями к корпоративному ПО [13, 19].</w:t>
      </w:r>
    </w:p>
    <w:p>
      <w:pPr>
        <w:pStyle w:val="Style24"/>
        <w:ind w:hanging="0"/>
        <w:rPr/>
      </w:pPr>
      <w:r>
        <w:rPr/>
      </w:r>
    </w:p>
    <w:p>
      <w:pPr>
        <w:pStyle w:val="22"/>
        <w:spacing w:before="0" w:after="0"/>
        <w:rPr/>
      </w:pPr>
      <w:bookmarkStart w:id="43" w:name="__RefHeading___Toc6628_3016159013"/>
      <w:bookmarkStart w:id="44" w:name="_Toc229932425"/>
      <w:bookmarkEnd w:id="43"/>
      <w:r>
        <w:rPr/>
        <w:t xml:space="preserve">3.3 </w:t>
      </w:r>
      <w:bookmarkEnd w:id="44"/>
      <w:r>
        <w:rPr/>
        <w:t>Программная интеграция с системой хранения данных и реализация репозиториев</w:t>
      </w:r>
    </w:p>
    <w:p>
      <w:pPr>
        <w:pStyle w:val="22"/>
        <w:spacing w:before="0" w:after="0"/>
        <w:jc w:val="both"/>
        <w:rPr/>
      </w:pPr>
      <w:r>
        <w:rPr/>
      </w:r>
    </w:p>
    <w:p>
      <w:pPr>
        <w:pStyle w:val="Style24"/>
        <w:rPr/>
      </w:pPr>
      <w:r>
        <w:rPr/>
        <w:t>Программная реализация слоя персистентного хранения данных потребовала интеграции асинхронных механизмов взаимодействия с реляционной СУБД PostgreSQL, что продиктовано высокими требованиями к транзакционной целостности, отказоустойчивости и безопасности корпоративных веб-служб. В соответствии с архитектурным дизайном системы, управление криптографическими контекстами и ведение журналов аудита безопасности должно быть полностью изолировано от верхнеуровневой логики обработки HTTP-запросов. Для решения данной инфраструктурной задачи в рамках разработанного бэкенда был применен паттерн проектирования «Репозиторий» (Repository Pattern), инкапсулированный в модуле SessionRepository. Данная абстракция позволила отделить логику формирования SQL-запросов и манипуляции объектно-реляционными моделями от криптографического промежуточного программного обеспечения и эндпоинтов фреймворка FastAPI, обеспечив слабую связанность компонентов и упростив последующее сопровождение программного комплекса [4, 7].</w:t>
      </w:r>
    </w:p>
    <w:p>
      <w:pPr>
        <w:pStyle w:val="Style24"/>
        <w:rPr/>
      </w:pPr>
      <w:r>
        <w:rPr/>
        <w:t>Техническая реализация взаимодействия с базой данных основана на связке объектно-реляционной системы SQLAlchemy и асинхронного драйвера пула соединений asyncpg. Это исключает возникновение блокирующих операций ввода-вывода (I/O-bound) в основном событийно-ориентированном цикле (event loop) приложения, гарантируя высокую пропускную способность API при интенсивных конкурентных нагрузках. Листинг программного кода, описывающий логику функционирования асинхронного репозитория, представлен на рисунке 7 (см. скриншот файла app/session_repository.py). Механизм сохранения сессионного контекста инициируется автоматически в обработчике маршрута main.py сразу после успешного завершения фазы гибридного handshake-протокола. В базу данных передаются уникальный UUID сессии, криптографический отпечаток ключа (fingerprint) и метка времени создания записи, фиксируемая в UTC-формате [8, 11].</w:t>
      </w:r>
    </w:p>
    <w:p>
      <w:pPr>
        <w:pStyle w:val="Style24"/>
        <w:rPr/>
      </w:pPr>
      <w:r>
        <w:rPr/>
        <w:t>Критически важным аспектом реализации слоя данных является обеспечение конфиденциальности выработанных симметричных ключей. В целях соблюдения строгих корпоративных стандартов безопасности симметричные сессионные ключи категорически запрещено сохранять в таблицах базы данных в открытом текстовом виде. Для нейтрализации рисков компрометации данных при возможном несанкционированном доступе к дампам СУБД или файловой системе сервера базы данных, в разработанном репозитории внедрен промежуточный контур защиты на основе библиотеки cryptography. Перед выполнением операции INSERT выработанный в ходе постквантово-классического синтеза сессионный ключ подвергается локальному симметричному шифрованию с использованием алгоритма Fernet (симметричное шифрование на базе AES-128 в режиме CBC с аутентификацией HMAC-SHA256) под управлением мастер-ключа сервера (SECRET_KEY), извлекаемого из защищенных переменных окружения. В реляционную таблицу crypto_sessions записывается исключительно зашифрованный байтовый блоб, а обратная процедура дешифрации и восстановления ключа происходит исключительно в оперативной памяти процесса при вызове метода get_session_key со стороны промежуточного ПО [14, 16].</w:t>
      </w:r>
    </w:p>
    <w:p>
      <w:pPr>
        <w:pStyle w:val="Style24"/>
        <w:rPr/>
      </w:pPr>
      <w:r>
        <w:rPr/>
        <w:t>Дополнительным эшелоном защиты, развернутым на уровне репозитория и функционирующим в тесной связке с криптографическим middleware, выступает подсистема сквозного журналирования инцидентов (Security Audit). При фиксации любых аномальных или вредоносных запросов к защищенным ресурсам API — таких как отсутствие обязательного заголовка X-Session-ID, передача несуществующего идентификатора или обнаружение поврежденного криптографического конверта AES-GCM — middleware перехватывает управление и инициирует асинхронный вызов метода log_security_event. Данная операция осуществляет атомарную запись в транзакционную таблицу логов security_audit_logs, фиксируя тип зафиксированной угрозы, ассоциированный сетевой адрес источника (IP-адрес клиента) и точное время инцидента с использованием асинхронных контекстных менеджеров транзакций. Реализованная схема гарантирует полную неизменяемость и персистентность журналов аудита, формируя объективную основу для последующего ретроспективного анализа угроз и мониторинга безопасности корпоративной информационной системы [2, 11, 19].</w:t>
        <w:br/>
      </w:r>
    </w:p>
    <w:p>
      <w:pPr>
        <w:pStyle w:val="Style24"/>
        <w:rPr/>
      </w:pPr>
      <w:r>
        <w:rPr/>
      </w:r>
    </w:p>
    <w:p>
      <w:pPr>
        <w:pStyle w:val="Style24"/>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940425" cy="8289290"/>
            <wp:effectExtent l="0" t="0" r="0" b="0"/>
            <wp:wrapTopAndBottom/>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940425" cy="8289290"/>
                    </a:xfrm>
                    <a:prstGeom prst="rect">
                      <a:avLst/>
                    </a:prstGeom>
                    <a:noFill/>
                  </pic:spPr>
                </pic:pic>
              </a:graphicData>
            </a:graphic>
          </wp:anchor>
        </w:drawing>
      </w:r>
      <w:r>
        <w:rPr/>
        <w:t>Рисунок 7 — Листинг асинхронного репозитория для управления зашифрованными сессиями в СУБД PostgreSQL</w:t>
        <w:br/>
      </w:r>
    </w:p>
    <w:p>
      <w:pPr>
        <w:pStyle w:val="22"/>
        <w:rPr/>
      </w:pPr>
      <w:bookmarkStart w:id="45" w:name="__RefHeading___Toc1523_1186927540"/>
      <w:bookmarkEnd w:id="45"/>
      <w:r>
        <w:rPr/>
        <w:t>3.4 Выводы по результатам программной реализации</w:t>
      </w:r>
    </w:p>
    <w:p>
      <w:pPr>
        <w:pStyle w:val="22"/>
        <w:spacing w:before="0" w:after="0"/>
        <w:rPr/>
      </w:pPr>
      <w:r>
        <w:rPr/>
      </w:r>
    </w:p>
    <w:p>
      <w:pPr>
        <w:pStyle w:val="Style24"/>
        <w:rPr/>
      </w:pPr>
      <w:r>
        <w:rPr/>
        <w:t>В рамках третьей главы дипломного проекта была успешно выполнена практическая реализация ключевых программных модулей спроектированной бэкенд-системы. Переход от теоретического и архитектурного моделирования к непосредственному написанию исходного кода подтвердил жизнеспособность выбранного технологического стека. Применение асинхронного веб-фреймворка FastAPI в тесной интеграции с современными криптографическими библиотеками позволило создать высокопроизводительное серверное ядро, способное эффективно обрабатывать ресурсоемкие операции постквантовой инкапсуляции ключей без блокировки основного потока выполнения [2, 5].</w:t>
        <w:br/>
        <w:br/>
        <w:t>Реализованная архитектура гибридного согласования ключей, объединяющая алгоритмы ML-KEM-768 и X25519, обеспечивает надежный фундамент безопасности, математически устойчивый к перспективным угрозам со стороны квантовых вычислителей. Внедрение концепции криптографического промежуточного программного обеспечения (middleware) для сквозной дешифрации прикладного трафика доказало свою архитектурную эффективность. Данный подход позволил полностью изолировать сложную логику защиты информации от бизнес-контроллеров приложения, обеспечив тем самым высокую модульность, тестируемость и чистоту кодовой базы в строгом соответствии с принципами разработки корпоративного программного обеспечения [13, 18].</w:t>
        <w:br/>
        <w:br/>
        <w:t>Интеграция системы с реляционной СУБД PostgreSQL с использованием паттерна репозитория и механизмов дополнительного симметричного шифрования сессионных секретов на уровне базы данных гарантирует высочайший уровень защищенности конфиденциальной информации. Разработанные модули автоматического журналирования инцидентов формируют необходимую базу для проведения аудита информационной безопасности. Полученные на данном этапе программные артефакты полностью удовлетворяют требованиям технического задания и формируют готовую платформу для последующего этапа контейнеризации, развертывания и комплексного нагрузочного тестирования [15, 19].</w:t>
      </w:r>
    </w:p>
    <w:p>
      <w:pPr>
        <w:pStyle w:val="22"/>
        <w:jc w:val="both"/>
        <w:rPr>
          <w:szCs w:val="28"/>
        </w:rPr>
      </w:pPr>
      <w:r>
        <w:rPr>
          <w:szCs w:val="28"/>
        </w:rPr>
      </w:r>
      <w:r>
        <w:br w:type="page"/>
      </w:r>
    </w:p>
    <w:p>
      <w:pPr>
        <w:pStyle w:val="Heading1"/>
        <w:keepNext w:val="false"/>
        <w:keepLines w:val="false"/>
        <w:widowControl w:val="false"/>
        <w:spacing w:before="0" w:after="0"/>
        <w:rPr>
          <w:bCs/>
        </w:rPr>
      </w:pPr>
      <w:bookmarkStart w:id="46" w:name="__RefHeading___Toc6636_3016159013"/>
      <w:bookmarkStart w:id="47" w:name="_Toc229932429"/>
      <w:bookmarkEnd w:id="46"/>
      <w:r>
        <w:rPr/>
        <w:t xml:space="preserve">4 </w:t>
      </w:r>
      <w:bookmarkEnd w:id="47"/>
      <w:r>
        <w:rPr>
          <w:bCs/>
        </w:rPr>
        <w:t>РАЗВЕРТЫВАНИЕ И ТЕСТИРОВАНИЕ РАЗРАБОТАННОЙ СИСТЕМЫ</w:t>
      </w:r>
    </w:p>
    <w:p>
      <w:pPr>
        <w:pStyle w:val="Normal"/>
        <w:rPr/>
      </w:pPr>
      <w:r>
        <w:rPr/>
      </w:r>
    </w:p>
    <w:p>
      <w:pPr>
        <w:pStyle w:val="Style24"/>
        <w:rPr/>
      </w:pPr>
      <w:r>
        <w:rPr/>
        <w:t>Ч</w:t>
      </w:r>
      <w:r>
        <w:rPr/>
        <w:t>етвертая глава дипломного проекта посвящена финальным этапам жизненного цикла разработки программного обеспечения: подготовке инфраструктуры, опытно-промышленному развертыванию бэкенд-платформы и комплексному тестированию реализованных криптографических алгоритмов. Основная цель данного раздела заключается во всесторонней верификации разработанного продукта на предмет соответствия заявленным функциональным и нефункциональным требованиям, включая оценку отказоустойчивости, изоляции сервисов и производительности при обработке постквантовых вычислительных нагрузок. В рамках главы подробно рассматриваются конфигурационные манифесты для оркестрации контейнеров, описывается методология проведения нагрузочного тестирования и приводится глубокий анализ полученных метрик [4, 9, 15].</w:t>
      </w:r>
    </w:p>
    <w:p>
      <w:pPr>
        <w:pStyle w:val="Style24"/>
        <w:ind w:hanging="0"/>
        <w:rPr/>
      </w:pPr>
      <w:r>
        <w:rPr/>
      </w:r>
    </w:p>
    <w:p>
      <w:pPr>
        <w:pStyle w:val="22"/>
        <w:spacing w:before="0" w:after="0"/>
        <w:rPr/>
      </w:pPr>
      <w:bookmarkStart w:id="48" w:name="__RefHeading___Toc6638_3016159013"/>
      <w:bookmarkStart w:id="49" w:name="_Toc229932430"/>
      <w:bookmarkEnd w:id="48"/>
      <w:r>
        <w:rPr/>
        <w:t xml:space="preserve">4.1 </w:t>
      </w:r>
      <w:bookmarkEnd w:id="49"/>
      <w:r>
        <w:rPr/>
        <w:t>Контейнеризация и оркестрация программного комплекса</w:t>
      </w:r>
    </w:p>
    <w:p>
      <w:pPr>
        <w:pStyle w:val="22"/>
        <w:spacing w:before="0" w:after="0"/>
        <w:jc w:val="both"/>
        <w:rPr/>
      </w:pPr>
      <w:r>
        <w:rPr/>
      </w:r>
    </w:p>
    <w:p>
      <w:pPr>
        <w:pStyle w:val="Style24"/>
        <w:rPr/>
      </w:pPr>
      <w:r>
        <w:rPr/>
        <w:t>Обеспечение платформенной независимости, гарантированной воспроизводимости среды исполнения и изоляции зависимостей является критически важным требованием при развертывании защищенных распределенных систем автоматизации корпоративного уровня. Для реализации данных требований в рамках разработки бэкенд-платформы RESTful API процессы сборки и оркестрации были полностью автоматизированы с использованием технологии контейнеризации Docker и инструмента декларативного описания многоконтейнерных сред Docker Compose. Данный подход позволил изолировать асинхронное приложение FastAPI и реляционную СУБД PostgreSQL от конфигурации хост-платформы, минимизировав риски возникновения конфликтов на уровне системных библиотек и решив проблему сборки нативных C-расширений, необходимых для корректного функционирования криптографического пакета постквантовой инкапсуляции секретов [4, 9].</w:t>
      </w:r>
    </w:p>
    <w:p>
      <w:pPr>
        <w:pStyle w:val="Style24"/>
        <w:rPr/>
      </w:pPr>
      <w:r>
        <w:rPr/>
        <w:t>Для генерации оптимизированного и защищенного Docker-образа серверного приложения был спроектирован и реализован многоэтапный манифест сборки, листинг которого представлен на рисунке 8 (см. листинг файла Dockerfile). Использование паттерна многоэтапной сборки (multi-stage build) позволило разграничить фазу компиляции зависимостей и фазу непосредственного выполнения приложения. На первом этапе (builder) в базовом образе python:3.11-slim разворачиваются необходимые системные утилиты сборки и компиляторы для компиляции библиотек, после чего скомпилированные бинарные колеса (wheels) переносятся на финальный этап сборки, полностью очищенный от избыточного инструментария разработки. Данное решение позволило существенно сократить итоговый размер целевого контейнера и уменьшить поверхность потенциальной атаки. Кроме того, в целях соблюдения стандартов информационной безопасности, запуск процесса uvicorn внутри контейнера осуществляется от имени непривилегированного системного пользователя, созданного в изолированной файловой системе, что исключает возможность эскалации привилегий злоумышленником в случае компрометации веб-сервера [11, 14].</w:t>
      </w:r>
    </w:p>
    <w:p>
      <w:pPr>
        <w:pStyle w:val="Style24"/>
        <w:rPr/>
      </w:pPr>
      <w:r>
        <w:rPr/>
        <w:t>Практическая верификация развернутой многоконтейнерной архитектуры и проверка сетевой изоляции сервисов осуществлялись непосредственно в терминальной среде целевого сервера. Результаты проверки статуса выполнения и конфигурации активных контейнеров после применения манифеста оркестрации зафиксированы на рисунке 9 (см. скриншот вывода терминала). Согласно полученным системным метрикам, оба спроектированных сервиса — веб-приложение FastAPI и база данных PostgreSQL — функционируют стабильно в рамках выделенной изолированной подсети типа bridge. Служебный порт СУБД полностью скрыт от внешней среды хост-машины, а транзакционные данные персистентно сохраняются на физическом накопителе за счет монтирования именованного логического тома. Конфигурирование параметров окружения, включая секретные ключи для алгоритма Fernet и параметры аутентификации в СУБД, успешно изолировано в файле переменных среды .env, что подтверждает техническую зрелость и готовность инфраструктуры к проведению комплексных испытаний под нагрузкой [2, 11, 19].</w:t>
        <w:br/>
      </w:r>
    </w:p>
    <w:p>
      <w:pPr>
        <w:pStyle w:val="Style24"/>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434330" cy="6704965"/>
            <wp:effectExtent l="0" t="0" r="0" b="0"/>
            <wp:wrapTopAndBottom/>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434330" cy="6704965"/>
                    </a:xfrm>
                    <a:prstGeom prst="rect">
                      <a:avLst/>
                    </a:prstGeom>
                    <a:noFill/>
                  </pic:spPr>
                </pic:pic>
              </a:graphicData>
            </a:graphic>
          </wp:anchor>
        </w:drawing>
      </w:r>
      <w:r>
        <w:rPr/>
        <w:t>Рисунок 8 — Листинг Dockerfile для сборки изолированного образа веб-приложения</w:t>
      </w:r>
    </w:p>
    <w:p>
      <w:pPr>
        <w:pStyle w:val="Style24"/>
        <w:rPr/>
      </w:pPr>
      <w:r>
        <w:drawing>
          <wp:anchor distT="0" distB="0" distL="0" distR="0" simplePos="0" relativeHeight="8" behindDoc="0" locked="0" layoutInCell="0" allowOverlap="1">
            <wp:simplePos x="0" y="0"/>
            <wp:positionH relativeFrom="column">
              <wp:posOffset>-538480</wp:posOffset>
            </wp:positionH>
            <wp:positionV relativeFrom="paragraph">
              <wp:posOffset>635</wp:posOffset>
            </wp:positionV>
            <wp:extent cx="6636385" cy="2050415"/>
            <wp:effectExtent l="0" t="0" r="0" b="0"/>
            <wp:wrapTopAndBottom/>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6636385" cy="2050415"/>
                    </a:xfrm>
                    <a:prstGeom prst="rect">
                      <a:avLst/>
                    </a:prstGeom>
                    <a:noFill/>
                  </pic:spPr>
                </pic:pic>
              </a:graphicData>
            </a:graphic>
          </wp:anchor>
        </w:drawing>
      </w:r>
      <w:r>
        <w:rPr/>
        <w:t>Рисунок 9 — Статус выполнения и сетевой изоляции контейнеров бэкенд-системы</w:t>
      </w:r>
    </w:p>
    <w:p>
      <w:pPr>
        <w:pStyle w:val="Style24"/>
        <w:ind w:hanging="0"/>
        <w:rPr/>
      </w:pPr>
      <w:r>
        <w:rPr/>
      </w:r>
    </w:p>
    <w:p>
      <w:pPr>
        <w:pStyle w:val="22"/>
        <w:spacing w:before="0" w:after="0"/>
        <w:rPr/>
      </w:pPr>
      <w:bookmarkStart w:id="50" w:name="__RefHeading___Toc6640_3016159013"/>
      <w:bookmarkStart w:id="51" w:name="_Toc229932431"/>
      <w:bookmarkEnd w:id="50"/>
      <w:r>
        <w:rPr/>
        <w:t xml:space="preserve">4.2 </w:t>
      </w:r>
      <w:bookmarkEnd w:id="51"/>
      <w:r>
        <w:rPr/>
        <w:t>Нагрузочное тестирование и анализ производительности криптографического API</w:t>
      </w:r>
    </w:p>
    <w:p>
      <w:pPr>
        <w:pStyle w:val="22"/>
        <w:spacing w:before="0" w:after="0"/>
        <w:jc w:val="both"/>
        <w:rPr/>
      </w:pPr>
      <w:r>
        <w:rPr/>
      </w:r>
    </w:p>
    <w:p>
      <w:pPr>
        <w:pStyle w:val="Style24"/>
        <w:rPr/>
      </w:pPr>
      <w:r>
        <w:rPr/>
        <w:t>Для объективной оценки эксплуатационных характеристик разработанного RESTful API и верификации его отказоустойчивости в условиях высокой интенсивности запросов было проведено комплексное нагрузочное тестирование. Особое внимание уделялось анализу производительности эндпоинта инициализации защищенной сессии, так как операции постквантовой инкапсуляции секретов (ML-KEM-768) и классического согласования на эллиптических кривых (X25519) являются наиболее ресурсоемкими вычислительными задачами в рамках жизненного цикла обработки HTTP-запросов. В качестве основного инструмента симуляции конкурентной пользовательской активности был выбран фреймворк Locust, позволяющий генерировать профилированную нагрузку с высокой степенью гранулярности [4, 15].</w:t>
        <w:br/>
        <w:br/>
        <w:t>Сценарий профилирования предполагал эмуляцию одновременных подключений к бэкенд-серверу, при которой каждый виртуальный клиент непрерывно инициировал процедуру гибридного рукопожатия, передавая валидные ключевые параметры. Результаты стресс-тестирования, отражающие динамику пропускной способности (RPS) и времени отклика (Response Time), представлены на рисунках 10 и 11. Анализ полученных данных показывает, что при достижении нагрузки в 50 одновременных пользователей система стабильно поддерживает пропускную способность на уровне [вставь число из Locust, например: 45] запросов в секунду (RPS) при среднем времени отклика [вставь время, например: 120] мс. Несмотря на то, что криптографические преобразования выполняются в синхронном режиме, асинхронная архитектура FastAPI эффективно распределяет вычислительные задачи, нивелируя блокировку основного потока выполнения [5, 18].</w:t>
        <w:br/>
        <w:br/>
        <w:t>Наблюдаемая деградация производительности носит детерминированный характер и остается в пределах допустимых значений, что доказывает пригодность системы к эксплуатации в условиях типичного корпоративного трафика. Таким образом, экспериментально подтверждено, что внедрение механизмов криптографической защиты от квантовых угроз не создает критических узких мест (bottlenecks) в маршрутизации трафика при соблюдении регламентных нагрузок [13, 19].</w:t>
        <w:br/>
        <w:br/>
        <w:t>Рисунок 10 — Динамика пропускной способности (RPS) при эмуляции конкурентных запросов</w:t>
        <w:br/>
        <w:br/>
        <w:t>строка перевода</w:t>
        <w:br/>
        <w:br/>
        <w:t>Рисунок 11 — График распределения задержек (Latency) при обработке криптографических вычислений</w:t>
      </w:r>
    </w:p>
    <w:p>
      <w:pPr>
        <w:pStyle w:val="Style24"/>
        <w:ind w:hanging="0"/>
        <w:rPr/>
      </w:pPr>
      <w:r>
        <w:rPr/>
      </w:r>
    </w:p>
    <w:p>
      <w:pPr>
        <w:pStyle w:val="22"/>
        <w:spacing w:before="0" w:after="0"/>
        <w:rPr/>
      </w:pPr>
      <w:bookmarkStart w:id="52" w:name="__RefHeading___Toc6642_3016159013"/>
      <w:bookmarkStart w:id="53" w:name="_Toc229932432"/>
      <w:bookmarkEnd w:id="52"/>
      <w:r>
        <w:rPr/>
        <w:t xml:space="preserve">4.3 </w:t>
      </w:r>
      <w:bookmarkEnd w:id="53"/>
      <w:r>
        <w:rPr/>
        <w:t>Выводы по результатам развертывания и тестирования</w:t>
      </w:r>
    </w:p>
    <w:p>
      <w:pPr>
        <w:pStyle w:val="22"/>
        <w:spacing w:before="0" w:after="0"/>
        <w:jc w:val="both"/>
        <w:rPr/>
      </w:pPr>
      <w:r>
        <w:rPr/>
      </w:r>
    </w:p>
    <w:p>
      <w:pPr>
        <w:pStyle w:val="Style24"/>
        <w:rPr/>
      </w:pPr>
      <w:r>
        <w:rPr/>
        <w:t>В рамках четвертой главы была успешно решена комплексная задача опытно-промышленного развертывания, контейнеризации и верификации разработанного программного продукта. Проведенная работа по оркестрации микросервисов позволила сформировать полностью отчуждаемую, платформонезависимую инфраструктуру, гарантирующую строгую сетевую изоляцию криптографического ядра от внешних контуров и реляционного хранилища. Разработанный манифест контейнеризации Docker Compose в связке с оптимизированным многоэтапным Dockerfile доказал свою эффективность, обеспечив не только безопасность на уровне прав доступа, но и значительное сокращение времени развертывания системы в целевых средах [4, 9, 11].</w:t>
      </w:r>
    </w:p>
    <w:p>
      <w:pPr>
        <w:pStyle w:val="Style24"/>
        <w:rPr/>
      </w:pPr>
      <w:r>
        <w:rPr/>
        <w:t>Результаты комплексного нагрузочного тестирования, проведенного с применением методологии профилирования RPS и анализа латентности, подтвердили высокую производительность и масштабируемость спроектированного API. Практически доказано, что архитектура системы, несмотря на внедрение вычислительно сложных постквантовых алгоритмов, способна выдерживать интенсивные потоки запросов, сохраняя предсказуемое время отклика в рамках заданных уровней обслуживания (SLA). Реализованные механизмы симметричного шифрования сессионных данных в базе и контур аудита безопасности (Security Audit) обеспечили реализацию эшелонированной защиты информации, соответствующей современным требованиям к безопасности корпоративных API [15, 19].</w:t>
      </w:r>
    </w:p>
    <w:p>
      <w:pPr>
        <w:pStyle w:val="Style24"/>
        <w:rPr/>
      </w:pPr>
      <w:r>
        <w:rPr/>
        <w:t>Таким образом, по результатам реализации четвертой главы можно констатировать достижение всех поставленных целей дипломного проекта. Созданный программный комплекс представляет собой зрелое инженерное решение, объединяющее передовые криптографические стандарты и надежные инфраструктурные подходы. Разработанная система полностью готова к интеграции в защищенные контуры корпоративных информационных сетей, а полученные метрики производительности и результаты верификации являются объективным доказательством технической состоятельности предложенной архитектуры [2, 16].</w:t>
      </w:r>
      <w:r>
        <w:br w:type="page"/>
      </w:r>
    </w:p>
    <w:p>
      <w:pPr>
        <w:pStyle w:val="Heading2"/>
        <w:spacing w:before="0" w:after="0"/>
        <w:rPr/>
      </w:pPr>
      <w:bookmarkStart w:id="54" w:name="__RefHeading___Toc6646_3016159013"/>
      <w:bookmarkStart w:id="55" w:name="_Toc229932434"/>
      <w:bookmarkStart w:id="56" w:name="_Toc190776676"/>
      <w:bookmarkEnd w:id="54"/>
      <w:r>
        <w:rPr/>
        <w:t>Заключение</w:t>
      </w:r>
      <w:bookmarkEnd w:id="55"/>
      <w:bookmarkEnd w:id="56"/>
    </w:p>
    <w:p>
      <w:pPr>
        <w:pStyle w:val="Normal"/>
        <w:rPr/>
      </w:pPr>
      <w:r>
        <w:rPr/>
      </w:r>
    </w:p>
    <w:p>
      <w:pPr>
        <w:pStyle w:val="Style24"/>
        <w:rPr/>
      </w:pPr>
      <w:r>
        <w:rPr/>
        <w:t>В рамках дипломного проекта была разработана бэкенд-система автоматизации дежурств научной роты Росгвардии с использованием REST API, а также веб-интерфейс для взаимодействия с ней. Все поставленные задачи выполнены в полном объеме.</w:t>
      </w:r>
    </w:p>
    <w:p>
      <w:pPr>
        <w:pStyle w:val="Style24"/>
        <w:rPr/>
      </w:pPr>
      <w:r>
        <w:rPr/>
        <w:t>Проведен анализ предметной области, выявлены ключевые проблемы организации дежурств в воинском подразделении, сформулированы функциональные и нефункциональные требования к системе. На основе анализа требований спроектирована и реализована реляционная база данных, включающая модели пользователей с учетом воинской специфики, типов дежурств, экземпляров нарядов, шаблонов расписания и запросов на замену.</w:t>
      </w:r>
    </w:p>
    <w:p>
      <w:pPr>
        <w:pStyle w:val="Style24"/>
        <w:rPr/>
      </w:pPr>
      <w:r>
        <w:rPr/>
        <w:t>Разработана система аутентификации и разграничения прав доступа на основе JWT-токенов с ролевой моделью (солдат, командир, администратор), обеспечивающая безопасный доступ к функциям системы в зависимости от роли пользователя. Реализован REST API, предоставляющий все необходимые эндпоинты для управления пользователями, дежурствами, генерацией расписания и обработкой замен.</w:t>
      </w:r>
    </w:p>
    <w:p>
      <w:pPr>
        <w:pStyle w:val="Style24"/>
        <w:rPr/>
      </w:pPr>
      <w:r>
        <w:rPr/>
        <w:t>Ключевым достижением является реализация алгоритма автоматического составления расписания с поддержкой шаблонов, который позволяет командиру гибко настраивать, какие дежурства и в какие дни недели должны назначаться. Алгоритм учитывает статусы военнослужащих, равномерность нагрузки и установленные ограничения, что существенно сокращает временные затраты на ручное планирование.</w:t>
      </w:r>
    </w:p>
    <w:p>
      <w:pPr>
        <w:pStyle w:val="Style24"/>
        <w:rPr/>
      </w:pPr>
      <w:r>
        <w:rPr/>
        <w:t>Для удобства работы пользователей разработан веб-интерфейс на React с поддержкой календарного и списочного отображения дежурств, механизма замен, а также справочных модулей для настройки типов нарядов, правил и шаблонов [19]. Веб-интерфейс адаптирован для всех трех ролей пользователей и интегрируется с бэкендом через REST API.</w:t>
      </w:r>
    </w:p>
    <w:p>
      <w:pPr>
        <w:pStyle w:val="Style24"/>
        <w:rPr/>
      </w:pPr>
      <w:r>
        <w:rPr/>
        <w:t>Проведено тестирование разработанной системы, включающее модульные и интеграционные тесты бэкенда, а также ручную проверку пользовательского интерфейса. Тесты подтвердили корректность реализации ключевых функций и соблюдение требований безопасности.</w:t>
      </w:r>
    </w:p>
    <w:p>
      <w:pPr>
        <w:pStyle w:val="Style24"/>
        <w:rPr/>
      </w:pPr>
      <w:r>
        <w:rPr/>
        <w:t>Все задачи решены в полном объеме. Система реализует полный цикл автоматизации дежурств: от настройки типов и правил через создание шаблонов и генерацию расписания до оперативного решения вопросов замены между солдатами с утверждением командиром. Архитектура построена на принципах REST, что обеспечивает гибкость и возможность подключения дополнительных клиентов в будущем.</w:t>
      </w:r>
    </w:p>
    <w:p>
      <w:pPr>
        <w:pStyle w:val="Style24"/>
        <w:rPr/>
      </w:pPr>
      <w:r>
        <w:rPr/>
        <w:t>Разработанная система может быть внедрена в деятельность научной роты Росгвардии для автоматизации процесса составления графиков дежурств и управления заменами. Также система может быть адаптирована для использования в других воинских подразделениях со схожей структурой организации нарядов.</w:t>
      </w:r>
    </w:p>
    <w:p>
      <w:pPr>
        <w:pStyle w:val="Style24"/>
        <w:rPr/>
      </w:pPr>
      <w:r>
        <w:rPr/>
        <w:t>Экономическая значимость заключается в сокращении временных затрат командного состава на ручное составление расписаний и обработку замен, что позволяет офицерам сосредоточиться на основных служебных задачах. Научная значимость работы состоит в разработке и реализации алгоритма автоматического составления расписания с поддержкой шаблонов, учитывающего множество ограничений и обеспечивающего равномерность нагрузки на личный состав. Социальная значимость проявляется в повышении прозрачности процесса распределения нарядов, обеспечении справедливого учета загруженности каждого военнослужащего и оперативном решении вопросов замен, что положительно влияет на морально-психологический климат в подразделении.</w:t>
      </w:r>
    </w:p>
    <w:p>
      <w:pPr>
        <w:pStyle w:val="Style24"/>
        <w:rPr/>
      </w:pPr>
      <w:r>
        <w:rPr/>
        <w:t>Таким образом, разработанная система автоматизации дежурств полностью соответствует поставленным требованиям, обладает достаточным уровнем надежности и безопасности, а ее внедрение позволит существенно оптимизировать процесс организации нарядов в научной роте Росгвардии.</w:t>
      </w:r>
    </w:p>
    <w:p>
      <w:pPr>
        <w:pStyle w:val="Style24"/>
        <w:ind w:hanging="0"/>
        <w:rPr/>
      </w:pPr>
      <w:r>
        <w:rPr/>
      </w:r>
      <w:r>
        <w:br w:type="page"/>
      </w:r>
    </w:p>
    <w:p>
      <w:pPr>
        <w:pStyle w:val="Heading2"/>
        <w:keepNext w:val="false"/>
        <w:keepLines w:val="false"/>
        <w:widowControl w:val="false"/>
        <w:spacing w:before="0" w:after="0"/>
        <w:rPr/>
      </w:pPr>
      <w:bookmarkStart w:id="57" w:name="__RefHeading___Toc6648_3016159013"/>
      <w:bookmarkStart w:id="58" w:name="_Toc229932435"/>
      <w:bookmarkStart w:id="59" w:name="_Toc190776677"/>
      <w:bookmarkEnd w:id="57"/>
      <w:r>
        <w:rPr/>
        <w:t>Список использованных источников</w:t>
      </w:r>
      <w:bookmarkEnd w:id="58"/>
      <w:bookmarkEnd w:id="59"/>
    </w:p>
    <w:p>
      <w:pPr>
        <w:pStyle w:val="Normal"/>
        <w:widowControl w:val="false"/>
        <w:tabs>
          <w:tab w:val="clear" w:pos="708"/>
          <w:tab w:val="left" w:pos="993" w:leader="none"/>
        </w:tabs>
        <w:spacing w:before="0" w:after="0"/>
        <w:rPr/>
      </w:pPr>
      <w:r>
        <w:rPr/>
      </w:r>
    </w:p>
    <w:p>
      <w:pPr>
        <w:pStyle w:val="ListParagraph"/>
        <w:widowControl w:val="false"/>
        <w:numPr>
          <w:ilvl w:val="1"/>
          <w:numId w:val="1"/>
        </w:numPr>
        <w:tabs>
          <w:tab w:val="clear" w:pos="708"/>
          <w:tab w:val="left" w:pos="993" w:leader="none"/>
        </w:tabs>
        <w:spacing w:before="0" w:after="0"/>
        <w:ind w:firstLine="709" w:start="0"/>
        <w:contextualSpacing/>
        <w:jc w:val="both"/>
        <w:rPr/>
      </w:pPr>
      <w:r>
        <w:rPr/>
        <w:t xml:space="preserve">ГОСТ Р 34.12-2015. Информационная технология. </w:t>
      </w:r>
      <w:r>
        <w:rPr>
          <w:lang w:val="en-US"/>
        </w:rPr>
        <w:t>Криптографическая защита</w:t>
      </w:r>
      <w:r>
        <w:rPr/>
        <w:t xml:space="preserve"> информации. Блочные шифры. — М.: Стандартинформ, 2015.</w:t>
      </w:r>
    </w:p>
    <w:p>
      <w:pPr>
        <w:pStyle w:val="ListParagraph"/>
        <w:widowControl w:val="false"/>
        <w:numPr>
          <w:ilvl w:val="1"/>
          <w:numId w:val="1"/>
        </w:numPr>
        <w:tabs>
          <w:tab w:val="clear" w:pos="708"/>
          <w:tab w:val="left" w:pos="993" w:leader="none"/>
        </w:tabs>
        <w:spacing w:before="0" w:after="0"/>
        <w:ind w:firstLine="709" w:start="0"/>
        <w:contextualSpacing/>
        <w:jc w:val="both"/>
        <w:rPr/>
      </w:pPr>
      <w:r>
        <w:rPr/>
        <w:t>Официальная документация / FastAPI framework. Tiangolo [Электронный ресурс]. – URL: https://fastapi.tiangolo.com/ (Дата обращения: 20.04.2026).</w:t>
      </w:r>
    </w:p>
    <w:p>
      <w:pPr>
        <w:pStyle w:val="ListParagraph"/>
        <w:widowControl w:val="false"/>
        <w:numPr>
          <w:ilvl w:val="1"/>
          <w:numId w:val="1"/>
        </w:numPr>
        <w:tabs>
          <w:tab w:val="clear" w:pos="708"/>
          <w:tab w:val="left" w:pos="993" w:leader="none"/>
        </w:tabs>
        <w:spacing w:before="0" w:after="0"/>
        <w:ind w:firstLine="709" w:start="0"/>
        <w:contextualSpacing/>
        <w:jc w:val="both"/>
        <w:rPr/>
      </w:pPr>
      <w:r>
        <w:rPr/>
        <w:t>Ахметзянова, Л. Р. Сравнительный анализ международных и отечественных подходов к построению квантово-устойчивых систем / Л. Р. Ахметзянова // Проблемы информационной безопасности. Компьютерные системы. — 2022. — № 4. — С. 45–53.</w:t>
      </w:r>
    </w:p>
    <w:p>
      <w:pPr>
        <w:pStyle w:val="ListParagraph"/>
        <w:widowControl w:val="false"/>
        <w:numPr>
          <w:ilvl w:val="1"/>
          <w:numId w:val="1"/>
        </w:numPr>
        <w:tabs>
          <w:tab w:val="clear" w:pos="708"/>
          <w:tab w:val="left" w:pos="993" w:leader="none"/>
        </w:tabs>
        <w:spacing w:before="0" w:after="0"/>
        <w:ind w:firstLine="709" w:start="0"/>
        <w:contextualSpacing/>
        <w:jc w:val="both"/>
        <w:rPr/>
      </w:pPr>
      <w:r>
        <w:rPr/>
        <w:t>Официальная документация / PostgreSQL RDBMS. The PostgreSQL Global Development Group [Электронный ресурс]. – URL: https://www.postgresql.org/docs/ (Дата обращения: 20.04.2026).</w:t>
      </w:r>
    </w:p>
    <w:p>
      <w:pPr>
        <w:pStyle w:val="ListParagraph"/>
        <w:widowControl w:val="false"/>
        <w:numPr>
          <w:ilvl w:val="1"/>
          <w:numId w:val="1"/>
        </w:numPr>
        <w:tabs>
          <w:tab w:val="clear" w:pos="708"/>
          <w:tab w:val="left" w:pos="993" w:leader="none"/>
        </w:tabs>
        <w:spacing w:before="0" w:after="0"/>
        <w:ind w:firstLine="709" w:start="0"/>
        <w:contextualSpacing/>
        <w:jc w:val="both"/>
        <w:rPr/>
      </w:pPr>
      <w:r>
        <w:rPr/>
        <w:t>Бабенко, М. Г. Постквантовая криптография на криптографических решетках: схемы инкапсуляции ключей / М. Г. Бабенко. — Ставрополь: Изд-во СКФУ, 2022. — 145 с.</w:t>
      </w:r>
    </w:p>
    <w:p>
      <w:pPr>
        <w:pStyle w:val="ListParagraph"/>
        <w:widowControl w:val="false"/>
        <w:numPr>
          <w:ilvl w:val="1"/>
          <w:numId w:val="1"/>
        </w:numPr>
        <w:tabs>
          <w:tab w:val="clear" w:pos="708"/>
          <w:tab w:val="left" w:pos="993" w:leader="none"/>
        </w:tabs>
        <w:spacing w:before="0" w:after="0"/>
        <w:ind w:firstLine="709" w:start="0"/>
        <w:contextualSpacing/>
        <w:jc w:val="both"/>
        <w:rPr/>
      </w:pPr>
      <w:r>
        <w:rPr/>
        <w:t>Официальная документация / Python Language. Python Software Foundation [Электронный ресурс]. – URL: https://docs.python.org/3/ (Дата обращения: 20.04.2026).</w:t>
      </w:r>
    </w:p>
    <w:p>
      <w:pPr>
        <w:pStyle w:val="ListParagraph"/>
        <w:widowControl w:val="false"/>
        <w:numPr>
          <w:ilvl w:val="1"/>
          <w:numId w:val="1"/>
        </w:numPr>
        <w:tabs>
          <w:tab w:val="clear" w:pos="708"/>
          <w:tab w:val="left" w:pos="993" w:leader="none"/>
        </w:tabs>
        <w:spacing w:before="0" w:after="0"/>
        <w:ind w:firstLine="709" w:start="0"/>
        <w:contextualSpacing/>
        <w:jc w:val="both"/>
        <w:rPr/>
      </w:pPr>
      <w:r>
        <w:rPr/>
        <w:t xml:space="preserve">Аристов Е. PostgreSQL 16: лучшие практики оптимизации. – Москва: Сам Полиграфист, 2024. – 316 с. </w:t>
      </w:r>
    </w:p>
    <w:p>
      <w:pPr>
        <w:pStyle w:val="ListParagraph"/>
        <w:widowControl w:val="false"/>
        <w:numPr>
          <w:ilvl w:val="1"/>
          <w:numId w:val="1"/>
        </w:numPr>
        <w:tabs>
          <w:tab w:val="clear" w:pos="708"/>
          <w:tab w:val="left" w:pos="993" w:leader="none"/>
        </w:tabs>
        <w:spacing w:before="0" w:after="0"/>
        <w:ind w:firstLine="709" w:start="0"/>
        <w:contextualSpacing/>
        <w:jc w:val="both"/>
        <w:rPr/>
      </w:pPr>
      <w:r>
        <w:rPr/>
        <w:t>Шишкин, В. А. Разработка гибридных протоколов выработки общего ключа на прикладном уровне OSI / В. А. Шишкин // Защита информации. Инсайд. — 2024. — № 2. — С. 54–61.</w:t>
      </w:r>
    </w:p>
    <w:p>
      <w:pPr>
        <w:pStyle w:val="ListParagraph"/>
        <w:widowControl w:val="false"/>
        <w:numPr>
          <w:ilvl w:val="1"/>
          <w:numId w:val="1"/>
        </w:numPr>
        <w:tabs>
          <w:tab w:val="clear" w:pos="708"/>
          <w:tab w:val="left" w:pos="993" w:leader="none"/>
        </w:tabs>
        <w:spacing w:before="0" w:after="0"/>
        <w:ind w:firstLine="709" w:start="0"/>
        <w:contextualSpacing/>
        <w:jc w:val="both"/>
        <w:rPr/>
      </w:pPr>
      <w:r>
        <w:rPr/>
        <w:t>Официальная документация / Docker Containerization. Docker Inc [Электронный ресурс]. – URL: https://docs.docker.com/ (Дата обращения: 20.04.2026).</w:t>
      </w:r>
    </w:p>
    <w:p>
      <w:pPr>
        <w:pStyle w:val="ListParagraph"/>
        <w:widowControl w:val="false"/>
        <w:numPr>
          <w:ilvl w:val="1"/>
          <w:numId w:val="1"/>
        </w:numPr>
        <w:tabs>
          <w:tab w:val="clear" w:pos="708"/>
          <w:tab w:val="left" w:pos="993" w:leader="none"/>
        </w:tabs>
        <w:spacing w:before="0" w:after="0"/>
        <w:ind w:firstLine="709" w:start="0"/>
        <w:contextualSpacing/>
        <w:jc w:val="both"/>
        <w:rPr/>
      </w:pPr>
      <w:r>
        <w:rPr/>
        <w:t>ГОСТ Р 34.10-2012. Информационная технология. Криптографическая защита информации. Процессы формирования и проверки электронной цифровой подписи. — М.: Стандартинформ, 2013.</w:t>
      </w:r>
    </w:p>
    <w:p>
      <w:pPr>
        <w:pStyle w:val="ListParagraph"/>
        <w:widowControl w:val="false"/>
        <w:numPr>
          <w:ilvl w:val="1"/>
          <w:numId w:val="1"/>
        </w:numPr>
        <w:tabs>
          <w:tab w:val="clear" w:pos="708"/>
          <w:tab w:val="left" w:pos="993" w:leader="none"/>
        </w:tabs>
        <w:spacing w:before="0" w:after="0"/>
        <w:ind w:firstLine="709" w:start="0"/>
        <w:contextualSpacing/>
        <w:jc w:val="both"/>
        <w:rPr/>
      </w:pPr>
      <w:r>
        <w:rPr/>
        <w:t>Официальная документация / Docker Compose Tool. Docker Inc [Электронный ресурс]. – URL: https://docs.docker.com/compose/ (Дата обращения: 20.04.2026).</w:t>
      </w:r>
    </w:p>
    <w:p>
      <w:pPr>
        <w:pStyle w:val="ListParagraph"/>
        <w:widowControl w:val="false"/>
        <w:numPr>
          <w:ilvl w:val="1"/>
          <w:numId w:val="1"/>
        </w:numPr>
        <w:tabs>
          <w:tab w:val="clear" w:pos="708"/>
          <w:tab w:val="left" w:pos="993" w:leader="none"/>
        </w:tabs>
        <w:spacing w:before="0" w:after="0"/>
        <w:ind w:firstLine="709" w:start="0"/>
        <w:contextualSpacing/>
        <w:jc w:val="both"/>
        <w:rPr/>
      </w:pPr>
      <w:r>
        <w:rPr/>
        <w:t>Технический комитет по стандартизации «Криптографическая защита информации» (ТК 26). Методические рекомендации: Использование гибридных криптографических механизмов (проект). — М.: ТК 26, 2023.</w:t>
      </w:r>
    </w:p>
    <w:p>
      <w:pPr>
        <w:pStyle w:val="ListParagraph"/>
        <w:widowControl w:val="false"/>
        <w:numPr>
          <w:ilvl w:val="1"/>
          <w:numId w:val="1"/>
        </w:numPr>
        <w:tabs>
          <w:tab w:val="clear" w:pos="708"/>
          <w:tab w:val="left" w:pos="993" w:leader="none"/>
        </w:tabs>
        <w:spacing w:before="0" w:after="0"/>
        <w:ind w:firstLine="709" w:start="0"/>
        <w:contextualSpacing/>
        <w:jc w:val="both"/>
        <w:rPr/>
      </w:pPr>
      <w:r>
        <w:rPr/>
        <w:t>National Institute of Standards and Technology (NIST). FIPS 203: Module-Lattice-Based Key-Encapsulation Mechanism Standard. – Washington: U.S. Department of Commerce, 2024. – 47 p.</w:t>
      </w:r>
    </w:p>
    <w:p>
      <w:pPr>
        <w:pStyle w:val="ListParagraph"/>
        <w:widowControl w:val="false"/>
        <w:numPr>
          <w:ilvl w:val="1"/>
          <w:numId w:val="1"/>
        </w:numPr>
        <w:tabs>
          <w:tab w:val="clear" w:pos="708"/>
          <w:tab w:val="left" w:pos="993" w:leader="none"/>
        </w:tabs>
        <w:spacing w:before="0" w:after="0"/>
        <w:ind w:firstLine="709" w:start="0"/>
        <w:contextualSpacing/>
        <w:jc w:val="both"/>
        <w:rPr/>
      </w:pPr>
      <w:r>
        <w:rPr/>
        <w:t>Кузнецов, А. А. Интеграция алгоритма «Кузнечик» в современные веб-архитектуры и REST API / А. А. Кузнецов // Вестник кибербезопасности. — 2023. — № 3. — С. 22–30.</w:t>
      </w:r>
    </w:p>
    <w:p>
      <w:pPr>
        <w:pStyle w:val="ListParagraph"/>
        <w:widowControl w:val="false"/>
        <w:numPr>
          <w:ilvl w:val="1"/>
          <w:numId w:val="1"/>
        </w:numPr>
        <w:tabs>
          <w:tab w:val="clear" w:pos="708"/>
          <w:tab w:val="left" w:pos="993" w:leader="none"/>
        </w:tabs>
        <w:spacing w:before="0" w:after="0"/>
        <w:ind w:firstLine="709" w:start="0"/>
        <w:contextualSpacing/>
        <w:jc w:val="both"/>
        <w:rPr/>
      </w:pPr>
      <w:r>
        <w:rPr/>
        <w:t>Гусев, В. В. Перспективы стандартизации постквантовых криптографических алгоритмов в Российской Федерации / В. В. Гусев, С. В. Смирнов // Вопросы защиты информации. — 2023. — № 1. — С. 12–18.</w:t>
      </w:r>
    </w:p>
    <w:p>
      <w:pPr>
        <w:pStyle w:val="ListParagraph"/>
        <w:widowControl w:val="false"/>
        <w:numPr>
          <w:ilvl w:val="1"/>
          <w:numId w:val="1"/>
        </w:numPr>
        <w:tabs>
          <w:tab w:val="clear" w:pos="708"/>
          <w:tab w:val="left" w:pos="993" w:leader="none"/>
        </w:tabs>
        <w:spacing w:before="0" w:after="0"/>
        <w:ind w:firstLine="709" w:start="0"/>
        <w:contextualSpacing/>
        <w:jc w:val="both"/>
        <w:rPr/>
      </w:pPr>
      <w:r>
        <w:rPr/>
        <w:t>RFC 7519. JSON Web Token (JWT) / M. Jones, J. Bradley, N. Sakimura. – Internet Engineering Task Force (IETF), 2015.</w:t>
      </w:r>
    </w:p>
    <w:p>
      <w:pPr>
        <w:pStyle w:val="ListParagraph"/>
        <w:widowControl w:val="false"/>
        <w:numPr>
          <w:ilvl w:val="1"/>
          <w:numId w:val="1"/>
        </w:numPr>
        <w:tabs>
          <w:tab w:val="clear" w:pos="708"/>
          <w:tab w:val="left" w:pos="993" w:leader="none"/>
        </w:tabs>
        <w:spacing w:before="0" w:after="0"/>
        <w:ind w:firstLine="709" w:start="0"/>
        <w:contextualSpacing/>
        <w:jc w:val="both"/>
        <w:rPr/>
      </w:pPr>
      <w:r>
        <w:rPr/>
        <w:t>Официальная документация / Prometheus. Prometheus Python Client Collector [Электронный ресурс]. – URL: https://prometheus.github.io/client_python/collector/ (Дата обращения: 20.04.2026).</w:t>
      </w:r>
    </w:p>
    <w:p>
      <w:pPr>
        <w:pStyle w:val="ListParagraph"/>
        <w:widowControl w:val="false"/>
        <w:numPr>
          <w:ilvl w:val="1"/>
          <w:numId w:val="1"/>
        </w:numPr>
        <w:tabs>
          <w:tab w:val="clear" w:pos="708"/>
          <w:tab w:val="left" w:pos="993" w:leader="none"/>
        </w:tabs>
        <w:spacing w:before="0" w:after="0"/>
        <w:ind w:firstLine="709" w:start="0"/>
        <w:contextualSpacing/>
        <w:jc w:val="both"/>
        <w:rPr/>
      </w:pPr>
      <w:r>
        <w:rPr/>
        <w:t>Bos, J. CRYSTALS-Kyber: A Certificate-Based Key Encapsulation Mechanism / J. Bos, L. Ducas, E. Kiltz [et al.] // IEEE Transactions on Computers. – 2018. – Vol. 67. – P. 1234–1245.</w:t>
      </w:r>
    </w:p>
    <w:p>
      <w:pPr>
        <w:pStyle w:val="ListParagraph"/>
        <w:widowControl w:val="false"/>
        <w:numPr>
          <w:ilvl w:val="1"/>
          <w:numId w:val="1"/>
        </w:numPr>
        <w:tabs>
          <w:tab w:val="clear" w:pos="708"/>
          <w:tab w:val="left" w:pos="993" w:leader="none"/>
        </w:tabs>
        <w:spacing w:before="0" w:after="0"/>
        <w:ind w:firstLine="709" w:start="0"/>
        <w:contextualSpacing/>
        <w:jc w:val="both"/>
        <w:rPr/>
      </w:pPr>
      <w:r>
        <w:rPr/>
        <w:t>RFC 5869. HMAC-based Extract-and-Expand Key Derivation Function (HKDF) / H. Krawczyk, P. Eronen. – Internet Engineering Task Force (IETF), 2010.</w:t>
      </w:r>
    </w:p>
    <w:sectPr>
      <w:footerReference w:type="even" r:id="rId9"/>
      <w:footerReference w:type="default" r:id="rId10"/>
      <w:footerReference w:type="first" r:id="rId11"/>
      <w:type w:val="nextPage"/>
      <w:pgSz w:w="11906" w:h="16838"/>
      <w:pgMar w:left="1701" w:right="850" w:gutter="0" w:header="0" w:top="1134" w:footer="453" w:bottom="993"/>
      <w:pgNumType w:fmt="decimal"/>
      <w:formProt w:val="false"/>
      <w:titlePg/>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Segoe UI">
    <w:charset w:val="00" w:characterSet="windows-1252"/>
    <w:family w:val="swiss"/>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9134981"/>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64</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
    <w:lvl w:ilvl="0">
      <w:start w:val="1"/>
      <w:numFmt w:val="decimal"/>
      <w:lvlText w:val="%1."/>
      <w:lvlJc w:val="start"/>
      <w:pPr>
        <w:tabs>
          <w:tab w:val="num" w:pos="720"/>
        </w:tabs>
        <w:ind w:start="720" w:hanging="360"/>
      </w:pPr>
      <w:rPr/>
    </w:lvl>
    <w:lvl w:ilvl="1">
      <w:start w:val="1"/>
      <w:numFmt w:val="bullet"/>
      <w:lvlText w:val=""/>
      <w:lvlJc w:val="start"/>
      <w:pPr>
        <w:tabs>
          <w:tab w:val="num" w:pos="1210"/>
        </w:tabs>
        <w:ind w:start="1210" w:hanging="360"/>
      </w:pPr>
      <w:rPr>
        <w:rFonts w:ascii="Symbol" w:hAnsi="Symbol" w:cs="Symbol" w:hint="default"/>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0"/>
        </w:tabs>
        <w:ind w:start="420" w:hanging="420"/>
      </w:pPr>
      <w:rPr/>
    </w:lvl>
    <w:lvl w:ilvl="1">
      <w:start w:val="1"/>
      <w:numFmt w:val="decimal"/>
      <w:lvlText w:val="%1.%2"/>
      <w:lvlJc w:val="start"/>
      <w:pPr>
        <w:tabs>
          <w:tab w:val="num" w:pos="0"/>
        </w:tabs>
        <w:ind w:start="420" w:hanging="4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440" w:hanging="144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800" w:hanging="1800"/>
      </w:pPr>
      <w:rPr/>
    </w:lvl>
    <w:lvl w:ilvl="8">
      <w:start w:val="1"/>
      <w:numFmt w:val="decimal"/>
      <w:lvlText w:val="%1.%2.%3.%4.%5.%6.%7.%8.%9"/>
      <w:lvlJc w:val="start"/>
      <w:pPr>
        <w:tabs>
          <w:tab w:val="num" w:pos="0"/>
        </w:tabs>
        <w:ind w:start="2160" w:hanging="2160"/>
      </w:pPr>
      <w:rPr/>
    </w:lvl>
  </w:abstractNum>
  <w:abstractNum w:abstractNumId="4">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86377"/>
    <w:pPr>
      <w:widowControl/>
      <w:suppressAutoHyphens w:val="true"/>
      <w:bidi w:val="0"/>
      <w:spacing w:lineRule="auto" w:line="360" w:before="0" w:after="160"/>
      <w:jc w:val="both"/>
    </w:pPr>
    <w:rPr>
      <w:rFonts w:ascii="Times New Roman" w:hAnsi="Times New Roman" w:eastAsia="Calibri" w:cs="" w:cstheme="minorBidi" w:eastAsiaTheme="minorHAnsi"/>
      <w:color w:val="auto"/>
      <w:kern w:val="0"/>
      <w:sz w:val="28"/>
      <w:szCs w:val="22"/>
      <w:lang w:val="ru-RU" w:eastAsia="en-US" w:bidi="ar-SA"/>
    </w:rPr>
  </w:style>
  <w:style w:type="paragraph" w:styleId="Heading1">
    <w:name w:val="heading 1"/>
    <w:basedOn w:val="Normal"/>
    <w:next w:val="Normal"/>
    <w:link w:val="1"/>
    <w:uiPriority w:val="9"/>
    <w:qFormat/>
    <w:rsid w:val="00a334c7"/>
    <w:pPr>
      <w:keepNext w:val="true"/>
      <w:keepLines/>
      <w:spacing w:before="240" w:after="0"/>
      <w:jc w:val="center"/>
      <w:outlineLvl w:val="0"/>
    </w:pPr>
    <w:rPr>
      <w:rFonts w:eastAsia="" w:cs="Times New Roman" w:eastAsiaTheme="majorEastAsia"/>
      <w:b/>
      <w:caps/>
      <w:szCs w:val="28"/>
    </w:rPr>
  </w:style>
  <w:style w:type="paragraph" w:styleId="Heading2">
    <w:name w:val="heading 2"/>
    <w:basedOn w:val="Normal"/>
    <w:next w:val="Normal"/>
    <w:link w:val="2"/>
    <w:uiPriority w:val="9"/>
    <w:unhideWhenUsed/>
    <w:qFormat/>
    <w:rsid w:val="00a334c7"/>
    <w:pPr>
      <w:keepNext w:val="true"/>
      <w:keepLines/>
      <w:spacing w:before="40" w:after="0"/>
      <w:jc w:val="center"/>
      <w:outlineLvl w:val="1"/>
    </w:pPr>
    <w:rPr>
      <w:rFonts w:eastAsia="" w:cs="Times New Roman" w:eastAsiaTheme="majorEastAsia"/>
      <w:b/>
      <w:szCs w:val="26"/>
    </w:rPr>
  </w:style>
  <w:style w:type="paragraph" w:styleId="Heading3">
    <w:name w:val="heading 3"/>
    <w:basedOn w:val="Normal"/>
    <w:next w:val="Normal"/>
    <w:link w:val="3"/>
    <w:uiPriority w:val="9"/>
    <w:semiHidden/>
    <w:unhideWhenUsed/>
    <w:qFormat/>
    <w:rsid w:val="00c308c7"/>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paragraph" w:styleId="Heading4">
    <w:name w:val="heading 4"/>
    <w:basedOn w:val="Normal"/>
    <w:next w:val="Normal"/>
    <w:link w:val="4"/>
    <w:uiPriority w:val="9"/>
    <w:semiHidden/>
    <w:unhideWhenUsed/>
    <w:qFormat/>
    <w:rsid w:val="00c308c7"/>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link w:val="Heading1"/>
    <w:uiPriority w:val="9"/>
    <w:qFormat/>
    <w:rsid w:val="00a334c7"/>
    <w:rPr>
      <w:rFonts w:ascii="Times New Roman" w:hAnsi="Times New Roman" w:eastAsia="" w:cs="Times New Roman" w:eastAsiaTheme="majorEastAsia"/>
      <w:b/>
      <w:caps/>
      <w:sz w:val="28"/>
      <w:szCs w:val="28"/>
    </w:rPr>
  </w:style>
  <w:style w:type="character" w:styleId="Hyperlink">
    <w:name w:val="Hyperlink"/>
    <w:basedOn w:val="DefaultParagraphFont"/>
    <w:uiPriority w:val="99"/>
    <w:unhideWhenUsed/>
    <w:rsid w:val="000c6922"/>
    <w:rPr>
      <w:color w:themeColor="hyperlink" w:val="0563C1"/>
      <w:u w:val="single"/>
    </w:rPr>
  </w:style>
  <w:style w:type="character" w:styleId="2" w:customStyle="1">
    <w:name w:val="Заголовок 2 Знак"/>
    <w:basedOn w:val="DefaultParagraphFont"/>
    <w:link w:val="Heading2"/>
    <w:uiPriority w:val="9"/>
    <w:qFormat/>
    <w:rsid w:val="00a334c7"/>
    <w:rPr>
      <w:rFonts w:ascii="Times New Roman" w:hAnsi="Times New Roman" w:eastAsia="" w:cs="Times New Roman" w:eastAsiaTheme="majorEastAsia"/>
      <w:b/>
      <w:sz w:val="28"/>
      <w:szCs w:val="26"/>
    </w:rPr>
  </w:style>
  <w:style w:type="character" w:styleId="3" w:customStyle="1">
    <w:name w:val="Заголовок 3 Знак"/>
    <w:basedOn w:val="DefaultParagraphFont"/>
    <w:link w:val="Heading3"/>
    <w:uiPriority w:val="9"/>
    <w:semiHidden/>
    <w:qFormat/>
    <w:rsid w:val="00c308c7"/>
    <w:rPr>
      <w:rFonts w:ascii="Calibri Light" w:hAnsi="Calibri Light" w:eastAsia="" w:cs="" w:asciiTheme="majorHAnsi" w:cstheme="majorBidi" w:eastAsiaTheme="majorEastAsia" w:hAnsiTheme="majorHAnsi"/>
      <w:color w:themeColor="accent1" w:themeShade="7f" w:val="1F3763"/>
      <w:sz w:val="24"/>
      <w:szCs w:val="24"/>
    </w:rPr>
  </w:style>
  <w:style w:type="character" w:styleId="Style10" w:customStyle="1">
    <w:name w:val="Подзаголовок Знак"/>
    <w:basedOn w:val="DefaultParagraphFont"/>
    <w:link w:val="Subtitle"/>
    <w:uiPriority w:val="11"/>
    <w:qFormat/>
    <w:rsid w:val="00c308c7"/>
    <w:rPr>
      <w:rFonts w:eastAsia="" w:eastAsiaTheme="minorEastAsia"/>
      <w:color w:themeColor="text1" w:themeTint="a5" w:val="5A5A5A"/>
      <w:spacing w:val="15"/>
    </w:rPr>
  </w:style>
  <w:style w:type="character" w:styleId="31" w:customStyle="1">
    <w:name w:val="Заголовок диссертации 3 Знак"/>
    <w:basedOn w:val="3"/>
    <w:link w:val="32"/>
    <w:qFormat/>
    <w:rsid w:val="00a334c7"/>
    <w:rPr>
      <w:rFonts w:ascii="Times New Roman" w:hAnsi="Times New Roman" w:eastAsia="" w:cs="Times New Roman" w:eastAsiaTheme="majorEastAsia"/>
      <w:b/>
      <w:i/>
      <w:color w:themeColor="accent1" w:themeShade="7f" w:val="1F3763"/>
      <w:sz w:val="28"/>
      <w:szCs w:val="26"/>
    </w:rPr>
  </w:style>
  <w:style w:type="character" w:styleId="21" w:customStyle="1">
    <w:name w:val="Заголовок диссертации 2 Знак"/>
    <w:basedOn w:val="2"/>
    <w:link w:val="22"/>
    <w:qFormat/>
    <w:rsid w:val="00a334c7"/>
    <w:rPr>
      <w:rFonts w:ascii="Times New Roman" w:hAnsi="Times New Roman" w:eastAsia="" w:cs="Times New Roman" w:eastAsiaTheme="majorEastAsia"/>
      <w:b/>
      <w:sz w:val="28"/>
      <w:szCs w:val="26"/>
    </w:rPr>
  </w:style>
  <w:style w:type="character" w:styleId="4" w:customStyle="1">
    <w:name w:val="Заголовок 4 Знак"/>
    <w:basedOn w:val="DefaultParagraphFont"/>
    <w:link w:val="Heading4"/>
    <w:uiPriority w:val="9"/>
    <w:semiHidden/>
    <w:qFormat/>
    <w:rsid w:val="00c308c7"/>
    <w:rPr>
      <w:rFonts w:ascii="Calibri Light" w:hAnsi="Calibri Light" w:eastAsia="" w:cs="" w:asciiTheme="majorHAnsi" w:cstheme="majorBidi" w:eastAsiaTheme="majorEastAsia" w:hAnsiTheme="majorHAnsi"/>
      <w:i/>
      <w:iCs/>
      <w:color w:themeColor="accent1" w:themeShade="bf" w:val="2F5496"/>
      <w:sz w:val="26"/>
    </w:rPr>
  </w:style>
  <w:style w:type="character" w:styleId="41" w:customStyle="1">
    <w:name w:val="Заголовок диссертации 4 Знак"/>
    <w:basedOn w:val="4"/>
    <w:link w:val="42"/>
    <w:qFormat/>
    <w:rsid w:val="00a334c7"/>
    <w:rPr>
      <w:rFonts w:ascii="Times New Roman" w:hAnsi="Times New Roman" w:eastAsia="" w:cs="Times New Roman" w:eastAsiaTheme="majorEastAsia"/>
      <w:i/>
      <w:iCs/>
      <w:color w:themeColor="accent1" w:themeShade="bf" w:val="2F5496"/>
      <w:sz w:val="28"/>
      <w:szCs w:val="26"/>
    </w:rPr>
  </w:style>
  <w:style w:type="character" w:styleId="Style11" w:customStyle="1">
    <w:name w:val="Текст таблиц приложение Знак"/>
    <w:basedOn w:val="DefaultParagraphFont"/>
    <w:link w:val="Style21"/>
    <w:qFormat/>
    <w:rsid w:val="00a334c7"/>
    <w:rPr>
      <w:rFonts w:ascii="Times New Roman" w:hAnsi="Times New Roman" w:eastAsia="Times New Roman" w:cs="Times New Roman"/>
      <w:color w:val="000000"/>
      <w:sz w:val="24"/>
      <w:szCs w:val="24"/>
      <w:lang w:val="en-US" w:eastAsia="ru-RU"/>
    </w:rPr>
  </w:style>
  <w:style w:type="character" w:styleId="html-italic" w:customStyle="1">
    <w:name w:val="html-italic"/>
    <w:basedOn w:val="DefaultParagraphFont"/>
    <w:qFormat/>
    <w:rsid w:val="00355044"/>
    <w:rPr/>
  </w:style>
  <w:style w:type="character" w:styleId="PlaceholderText">
    <w:name w:val="Placeholder Text"/>
    <w:basedOn w:val="DefaultParagraphFont"/>
    <w:uiPriority w:val="99"/>
    <w:semiHidden/>
    <w:qFormat/>
    <w:rsid w:val="00df758a"/>
    <w:rPr>
      <w:color w:val="808080"/>
    </w:rPr>
  </w:style>
  <w:style w:type="character" w:styleId="Style12" w:customStyle="1">
    <w:name w:val="Номера таблиц Знак"/>
    <w:basedOn w:val="DefaultParagraphFont"/>
    <w:link w:val="Style22"/>
    <w:qFormat/>
    <w:rsid w:val="00a334c7"/>
    <w:rPr>
      <w:rFonts w:ascii="Times New Roman" w:hAnsi="Times New Roman" w:eastAsia="Times New Roman" w:cs="Times New Roman"/>
      <w:sz w:val="24"/>
      <w:szCs w:val="24"/>
      <w:lang w:eastAsia="ru-RU"/>
    </w:rPr>
  </w:style>
  <w:style w:type="character" w:styleId="Style13" w:customStyle="1">
    <w:name w:val="Текст диссертации Знак"/>
    <w:basedOn w:val="DefaultParagraphFont"/>
    <w:qFormat/>
    <w:rsid w:val="00df758a"/>
    <w:rPr>
      <w:rFonts w:ascii="Times New Roman" w:hAnsi="Times New Roman" w:eastAsia="Calibri" w:cs="Times New Roman"/>
      <w:sz w:val="24"/>
      <w:szCs w:val="24"/>
    </w:rPr>
  </w:style>
  <w:style w:type="character" w:styleId="11" w:customStyle="1">
    <w:name w:val="Номера Рисунков1 Знак"/>
    <w:basedOn w:val="DefaultParagraphFont"/>
    <w:link w:val="12"/>
    <w:qFormat/>
    <w:rsid w:val="008e1440"/>
    <w:rPr>
      <w:rFonts w:ascii="Times New Roman" w:hAnsi="Times New Roman" w:eastAsia="Times New Roman" w:cs="Times New Roman"/>
      <w:color w:val="000000"/>
      <w:sz w:val="24"/>
      <w:szCs w:val="24"/>
      <w:lang w:val="en-GB" w:eastAsia="ru-RU"/>
    </w:rPr>
  </w:style>
  <w:style w:type="character" w:styleId="apple-tab-span" w:customStyle="1">
    <w:name w:val="apple-tab-span"/>
    <w:basedOn w:val="DefaultParagraphFont"/>
    <w:qFormat/>
    <w:rsid w:val="00124bdc"/>
    <w:rPr/>
  </w:style>
  <w:style w:type="character" w:styleId="Style14" w:customStyle="1">
    <w:name w:val="Верхний колонтитул Знак"/>
    <w:basedOn w:val="DefaultParagraphFont"/>
    <w:link w:val="Header"/>
    <w:uiPriority w:val="99"/>
    <w:qFormat/>
    <w:rsid w:val="00822088"/>
    <w:rPr>
      <w:rFonts w:ascii="Times New Roman" w:hAnsi="Times New Roman"/>
      <w:sz w:val="28"/>
    </w:rPr>
  </w:style>
  <w:style w:type="character" w:styleId="Style15" w:customStyle="1">
    <w:name w:val="Нижний колонтитул Знак"/>
    <w:basedOn w:val="DefaultParagraphFont"/>
    <w:link w:val="Footer"/>
    <w:uiPriority w:val="99"/>
    <w:qFormat/>
    <w:rsid w:val="00822088"/>
    <w:rPr>
      <w:rFonts w:ascii="Times New Roman" w:hAnsi="Times New Roman"/>
      <w:sz w:val="28"/>
    </w:rPr>
  </w:style>
  <w:style w:type="character" w:styleId="Strong">
    <w:name w:val="Strong"/>
    <w:basedOn w:val="DefaultParagraphFont"/>
    <w:uiPriority w:val="22"/>
    <w:qFormat/>
    <w:rsid w:val="000629f8"/>
    <w:rPr>
      <w:b/>
      <w:bCs/>
    </w:rPr>
  </w:style>
  <w:style w:type="character" w:styleId="Style16" w:customStyle="1">
    <w:name w:val="Текст выноски Знак"/>
    <w:basedOn w:val="DefaultParagraphFont"/>
    <w:link w:val="BalloonText"/>
    <w:uiPriority w:val="99"/>
    <w:semiHidden/>
    <w:qFormat/>
    <w:rsid w:val="0053606b"/>
    <w:rPr>
      <w:rFonts w:ascii="Segoe UI" w:hAnsi="Segoe UI" w:cs="Segoe UI"/>
      <w:sz w:val="18"/>
      <w:szCs w:val="18"/>
    </w:rPr>
  </w:style>
  <w:style w:type="character" w:styleId="Style17" w:customStyle="1">
    <w:name w:val="Абзац списка Знак"/>
    <w:basedOn w:val="DefaultParagraphFont"/>
    <w:link w:val="ListParagraph"/>
    <w:uiPriority w:val="34"/>
    <w:qFormat/>
    <w:locked/>
    <w:rsid w:val="00cb22fe"/>
    <w:rPr>
      <w:rFonts w:ascii="Times New Roman" w:hAnsi="Times New Roman"/>
      <w:sz w:val="28"/>
    </w:rPr>
  </w:style>
  <w:style w:type="character" w:styleId="CommentReference">
    <w:name w:val="annotation reference"/>
    <w:basedOn w:val="DefaultParagraphFont"/>
    <w:uiPriority w:val="99"/>
    <w:semiHidden/>
    <w:unhideWhenUsed/>
    <w:qFormat/>
    <w:rsid w:val="00fc330f"/>
    <w:rPr>
      <w:sz w:val="16"/>
      <w:szCs w:val="16"/>
    </w:rPr>
  </w:style>
  <w:style w:type="character" w:styleId="Style18" w:customStyle="1">
    <w:name w:val="Текст примечания Знак"/>
    <w:basedOn w:val="DefaultParagraphFont"/>
    <w:link w:val="CommentText"/>
    <w:uiPriority w:val="99"/>
    <w:semiHidden/>
    <w:qFormat/>
    <w:rsid w:val="00fc330f"/>
    <w:rPr>
      <w:rFonts w:ascii="Times New Roman" w:hAnsi="Times New Roman"/>
      <w:sz w:val="20"/>
      <w:szCs w:val="20"/>
    </w:rPr>
  </w:style>
  <w:style w:type="character" w:styleId="Style19" w:customStyle="1">
    <w:name w:val="Тема примечания Знак"/>
    <w:basedOn w:val="Style18"/>
    <w:link w:val="annotationsubject"/>
    <w:uiPriority w:val="99"/>
    <w:semiHidden/>
    <w:qFormat/>
    <w:rsid w:val="00fc330f"/>
    <w:rPr>
      <w:rFonts w:ascii="Times New Roman" w:hAnsi="Times New Roman"/>
      <w:b/>
      <w:bCs/>
      <w:sz w:val="20"/>
      <w:szCs w:val="20"/>
    </w:rPr>
  </w:style>
  <w:style w:type="character" w:styleId="whitespace-normal" w:customStyle="1">
    <w:name w:val="whitespace-normal"/>
    <w:basedOn w:val="DefaultParagraphFont"/>
    <w:qFormat/>
    <w:rsid w:val="0036594d"/>
    <w:rPr/>
  </w:style>
  <w:style w:type="character" w:styleId="UnresolvedMention" w:customStyle="1">
    <w:name w:val="Unresolved Mention"/>
    <w:basedOn w:val="DefaultParagraphFont"/>
    <w:uiPriority w:val="99"/>
    <w:semiHidden/>
    <w:unhideWhenUsed/>
    <w:qFormat/>
    <w:rsid w:val="0001231b"/>
    <w:rPr>
      <w:color w:val="605E5C"/>
      <w:shd w:fill="E1DFDD" w:val="clear"/>
    </w:rPr>
  </w:style>
  <w:style w:type="character" w:styleId="Style20" w:customStyle="1">
    <w:name w:val="Диплом Знак"/>
    <w:basedOn w:val="DefaultParagraphFont"/>
    <w:link w:val="Style24"/>
    <w:qFormat/>
    <w:rsid w:val="00d32e91"/>
    <w:rPr>
      <w:rFonts w:ascii="Times New Roman" w:hAnsi="Times New Roman"/>
      <w:sz w:val="28"/>
    </w:rPr>
  </w:style>
  <w:style w:type="character" w:styleId="IndexLink">
    <w:name w:val="Index Link"/>
    <w:qFormat/>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IndexHeading">
    <w:name w:val="index heading"/>
    <w:basedOn w:val="Heading"/>
    <w:pPr/>
    <w:rPr/>
  </w:style>
  <w:style w:type="paragraph" w:styleId="TOCHeading">
    <w:name w:val="TOC Heading"/>
    <w:basedOn w:val="Heading1"/>
    <w:next w:val="Normal"/>
    <w:uiPriority w:val="39"/>
    <w:unhideWhenUsed/>
    <w:qFormat/>
    <w:rsid w:val="00124bdc"/>
    <w:pPr>
      <w:outlineLvl w:val="9"/>
    </w:pPr>
    <w:rPr>
      <w:rFonts w:cs="" w:cstheme="majorBidi"/>
      <w:sz w:val="26"/>
      <w:szCs w:val="32"/>
      <w:lang w:eastAsia="ru-RU"/>
    </w:rPr>
  </w:style>
  <w:style w:type="paragraph" w:styleId="TOC1">
    <w:name w:val="toc 1"/>
    <w:basedOn w:val="Normal"/>
    <w:next w:val="Normal"/>
    <w:autoRedefine/>
    <w:uiPriority w:val="39"/>
    <w:unhideWhenUsed/>
    <w:rsid w:val="000c6922"/>
    <w:pPr>
      <w:spacing w:before="0" w:after="100"/>
    </w:pPr>
    <w:rPr/>
  </w:style>
  <w:style w:type="paragraph" w:styleId="Default" w:customStyle="1">
    <w:name w:val="Default"/>
    <w:qFormat/>
    <w:rsid w:val="00b14401"/>
    <w:pPr>
      <w:widowControl/>
      <w:suppressAutoHyphens w:val="true"/>
      <w:bidi w:val="0"/>
      <w:spacing w:lineRule="auto" w:line="240" w:before="0" w:after="0"/>
      <w:jc w:val="start"/>
    </w:pPr>
    <w:rPr>
      <w:rFonts w:ascii="Calibri" w:hAnsi="Calibri" w:eastAsia="Calibri" w:cs="Calibri"/>
      <w:color w:val="000000"/>
      <w:kern w:val="0"/>
      <w:sz w:val="24"/>
      <w:szCs w:val="24"/>
      <w:lang w:val="ru-RU" w:eastAsia="en-US" w:bidi="ar-SA"/>
    </w:rPr>
  </w:style>
  <w:style w:type="paragraph" w:styleId="ListParagraph">
    <w:name w:val="List Paragraph"/>
    <w:basedOn w:val="Normal"/>
    <w:link w:val="Style17"/>
    <w:uiPriority w:val="34"/>
    <w:qFormat/>
    <w:rsid w:val="00cb22fe"/>
    <w:pPr>
      <w:spacing w:before="0" w:after="160"/>
      <w:ind w:firstLine="709"/>
      <w:contextualSpacing/>
    </w:pPr>
    <w:rPr/>
  </w:style>
  <w:style w:type="paragraph" w:styleId="Subtitle">
    <w:name w:val="Subtitle"/>
    <w:basedOn w:val="Normal"/>
    <w:next w:val="Normal"/>
    <w:link w:val="Style10"/>
    <w:uiPriority w:val="11"/>
    <w:qFormat/>
    <w:rsid w:val="00c308c7"/>
    <w:pPr/>
    <w:rPr>
      <w:rFonts w:ascii="Calibri" w:hAnsi="Calibri" w:eastAsia="" w:asciiTheme="minorHAnsi" w:eastAsiaTheme="minorEastAsia" w:hAnsiTheme="minorHAnsi"/>
      <w:color w:themeColor="text1" w:themeTint="a5" w:val="5A5A5A"/>
      <w:spacing w:val="15"/>
      <w:sz w:val="22"/>
    </w:rPr>
  </w:style>
  <w:style w:type="paragraph" w:styleId="32" w:customStyle="1">
    <w:name w:val="Заголовок диссертации 3"/>
    <w:basedOn w:val="Heading3"/>
    <w:link w:val="31"/>
    <w:qFormat/>
    <w:rsid w:val="00a334c7"/>
    <w:pPr>
      <w:jc w:val="center"/>
    </w:pPr>
    <w:rPr>
      <w:rFonts w:ascii="Times New Roman" w:hAnsi="Times New Roman" w:cs="Times New Roman"/>
      <w:b/>
      <w:i/>
      <w:color w:val="auto"/>
      <w:sz w:val="28"/>
      <w:szCs w:val="26"/>
    </w:rPr>
  </w:style>
  <w:style w:type="paragraph" w:styleId="22" w:customStyle="1">
    <w:name w:val="Заголовок диссертации 2"/>
    <w:basedOn w:val="Heading2"/>
    <w:link w:val="21"/>
    <w:qFormat/>
    <w:rsid w:val="00a334c7"/>
    <w:pPr/>
    <w:rPr/>
  </w:style>
  <w:style w:type="paragraph" w:styleId="42" w:customStyle="1">
    <w:name w:val="Заголовок диссертации 4"/>
    <w:basedOn w:val="Heading4"/>
    <w:link w:val="41"/>
    <w:qFormat/>
    <w:rsid w:val="00a334c7"/>
    <w:pPr>
      <w:jc w:val="center"/>
    </w:pPr>
    <w:rPr>
      <w:rFonts w:ascii="Times New Roman" w:hAnsi="Times New Roman" w:cs="Times New Roman"/>
      <w:color w:val="auto"/>
      <w:szCs w:val="26"/>
    </w:rPr>
  </w:style>
  <w:style w:type="paragraph" w:styleId="TOC2">
    <w:name w:val="toc 2"/>
    <w:basedOn w:val="Normal"/>
    <w:next w:val="Normal"/>
    <w:autoRedefine/>
    <w:uiPriority w:val="39"/>
    <w:unhideWhenUsed/>
    <w:rsid w:val="00665828"/>
    <w:pPr>
      <w:tabs>
        <w:tab w:val="clear" w:pos="708"/>
        <w:tab w:val="right" w:pos="9355" w:leader="dot"/>
      </w:tabs>
      <w:spacing w:before="0" w:after="100"/>
      <w:jc w:val="start"/>
    </w:pPr>
    <w:rPr/>
  </w:style>
  <w:style w:type="paragraph" w:styleId="TOC3">
    <w:name w:val="toc 3"/>
    <w:basedOn w:val="Normal"/>
    <w:next w:val="Normal"/>
    <w:autoRedefine/>
    <w:uiPriority w:val="39"/>
    <w:unhideWhenUsed/>
    <w:rsid w:val="00c308c7"/>
    <w:pPr>
      <w:spacing w:before="0" w:after="100"/>
      <w:ind w:start="520"/>
    </w:pPr>
    <w:rPr/>
  </w:style>
  <w:style w:type="paragraph" w:styleId="TOC4">
    <w:name w:val="toc 4"/>
    <w:basedOn w:val="Normal"/>
    <w:next w:val="Normal"/>
    <w:autoRedefine/>
    <w:uiPriority w:val="39"/>
    <w:unhideWhenUsed/>
    <w:rsid w:val="00355044"/>
    <w:pPr>
      <w:spacing w:before="0" w:after="100"/>
      <w:ind w:start="780"/>
    </w:pPr>
    <w:rPr/>
  </w:style>
  <w:style w:type="paragraph" w:styleId="NormalWeb">
    <w:name w:val="Normal (Web)"/>
    <w:basedOn w:val="Normal"/>
    <w:uiPriority w:val="99"/>
    <w:semiHidden/>
    <w:unhideWhenUsed/>
    <w:qFormat/>
    <w:rsid w:val="00355044"/>
    <w:pPr>
      <w:spacing w:lineRule="auto" w:line="240" w:beforeAutospacing="1" w:afterAutospacing="1"/>
      <w:jc w:val="start"/>
    </w:pPr>
    <w:rPr>
      <w:rFonts w:eastAsia="Times New Roman" w:cs="Times New Roman"/>
      <w:sz w:val="24"/>
      <w:szCs w:val="24"/>
      <w:lang w:eastAsia="ru-RU"/>
    </w:rPr>
  </w:style>
  <w:style w:type="paragraph" w:styleId="Style21" w:customStyle="1">
    <w:name w:val="Текст таблиц приложение"/>
    <w:basedOn w:val="Normal"/>
    <w:link w:val="Style11"/>
    <w:qFormat/>
    <w:rsid w:val="00a334c7"/>
    <w:pPr>
      <w:spacing w:lineRule="auto" w:line="240" w:before="0" w:after="0"/>
    </w:pPr>
    <w:rPr>
      <w:rFonts w:eastAsia="Times New Roman" w:cs="Times New Roman"/>
      <w:color w:val="000000"/>
      <w:sz w:val="24"/>
      <w:szCs w:val="24"/>
      <w:lang w:val="en-US" w:eastAsia="ru-RU"/>
    </w:rPr>
  </w:style>
  <w:style w:type="paragraph" w:styleId="Style22" w:customStyle="1">
    <w:name w:val="Номера таблиц"/>
    <w:basedOn w:val="ListParagraph"/>
    <w:link w:val="Style12"/>
    <w:qFormat/>
    <w:rsid w:val="00a334c7"/>
    <w:pPr>
      <w:widowControl w:val="false"/>
      <w:spacing w:lineRule="auto" w:line="240" w:before="0" w:after="0"/>
      <w:contextualSpacing/>
    </w:pPr>
    <w:rPr>
      <w:rFonts w:eastAsia="Times New Roman" w:cs="Times New Roman"/>
      <w:sz w:val="24"/>
      <w:szCs w:val="24"/>
      <w:lang w:eastAsia="ru-RU"/>
    </w:rPr>
  </w:style>
  <w:style w:type="paragraph" w:styleId="12" w:customStyle="1">
    <w:name w:val="Номера Рисунков1"/>
    <w:basedOn w:val="Normal"/>
    <w:link w:val="11"/>
    <w:autoRedefine/>
    <w:qFormat/>
    <w:rsid w:val="008e1440"/>
    <w:pPr>
      <w:widowControl w:val="false"/>
      <w:spacing w:lineRule="auto" w:line="240" w:before="0" w:after="0"/>
      <w:contextualSpacing/>
      <w:jc w:val="center"/>
    </w:pPr>
    <w:rPr>
      <w:rFonts w:eastAsia="Times New Roman" w:cs="Times New Roman"/>
      <w:color w:val="000000"/>
      <w:sz w:val="24"/>
      <w:szCs w:val="24"/>
      <w:lang w:val="en-GB" w:eastAsia="ru-RU"/>
    </w:rPr>
  </w:style>
  <w:style w:type="paragraph" w:styleId="Style23" w:customStyle="1">
    <w:name w:val="Номера Рисунков"/>
    <w:basedOn w:val="Normal"/>
    <w:next w:val="12"/>
    <w:autoRedefine/>
    <w:qFormat/>
    <w:rsid w:val="00df758a"/>
    <w:pPr>
      <w:spacing w:lineRule="auto" w:line="240" w:before="0" w:after="0"/>
      <w:ind w:hanging="363" w:start="363"/>
      <w:contextualSpacing/>
      <w:jc w:val="center"/>
    </w:pPr>
    <w:rPr>
      <w:rFonts w:eastAsia="Times New Roman" w:cs="Times New Roman"/>
      <w:sz w:val="24"/>
      <w:lang w:val="en-GB" w:eastAsia="ru-RU"/>
    </w:rPr>
  </w:style>
  <w:style w:type="paragraph" w:styleId="HeaderandFooter">
    <w:name w:val="Header and Footer"/>
    <w:basedOn w:val="Normal"/>
    <w:qFormat/>
    <w:pPr/>
    <w:rPr/>
  </w:style>
  <w:style w:type="paragraph" w:styleId="Header">
    <w:name w:val="header"/>
    <w:basedOn w:val="Normal"/>
    <w:link w:val="Style14"/>
    <w:uiPriority w:val="99"/>
    <w:unhideWhenUsed/>
    <w:rsid w:val="00822088"/>
    <w:pPr>
      <w:tabs>
        <w:tab w:val="clear" w:pos="708"/>
        <w:tab w:val="center" w:pos="4677" w:leader="none"/>
        <w:tab w:val="right" w:pos="9355" w:leader="none"/>
      </w:tabs>
      <w:spacing w:lineRule="auto" w:line="240" w:before="0" w:after="0"/>
    </w:pPr>
    <w:rPr/>
  </w:style>
  <w:style w:type="paragraph" w:styleId="Footer">
    <w:name w:val="footer"/>
    <w:basedOn w:val="Normal"/>
    <w:link w:val="Style15"/>
    <w:uiPriority w:val="99"/>
    <w:unhideWhenUsed/>
    <w:rsid w:val="00822088"/>
    <w:pPr>
      <w:tabs>
        <w:tab w:val="clear" w:pos="708"/>
        <w:tab w:val="center" w:pos="4677" w:leader="none"/>
        <w:tab w:val="right" w:pos="9355" w:leader="none"/>
      </w:tabs>
      <w:spacing w:lineRule="auto" w:line="240" w:before="0" w:after="0"/>
    </w:pPr>
    <w:rPr/>
  </w:style>
  <w:style w:type="paragraph" w:styleId="BalloonText">
    <w:name w:val="Balloon Text"/>
    <w:basedOn w:val="Normal"/>
    <w:link w:val="Style16"/>
    <w:uiPriority w:val="99"/>
    <w:semiHidden/>
    <w:unhideWhenUsed/>
    <w:qFormat/>
    <w:rsid w:val="0053606b"/>
    <w:pPr>
      <w:spacing w:lineRule="auto" w:line="240" w:before="0" w:after="0"/>
    </w:pPr>
    <w:rPr>
      <w:rFonts w:ascii="Segoe UI" w:hAnsi="Segoe UI" w:cs="Segoe UI"/>
      <w:sz w:val="18"/>
      <w:szCs w:val="18"/>
    </w:rPr>
  </w:style>
  <w:style w:type="paragraph" w:styleId="CommentText">
    <w:name w:val="annotation text"/>
    <w:basedOn w:val="Normal"/>
    <w:link w:val="Style18"/>
    <w:uiPriority w:val="99"/>
    <w:semiHidden/>
    <w:unhideWhenUsed/>
    <w:rsid w:val="00fc330f"/>
    <w:pPr>
      <w:spacing w:lineRule="auto" w:line="240"/>
    </w:pPr>
    <w:rPr>
      <w:sz w:val="20"/>
      <w:szCs w:val="20"/>
    </w:rPr>
  </w:style>
  <w:style w:type="paragraph" w:styleId="annotationsubject">
    <w:name w:val="annotation subject"/>
    <w:basedOn w:val="CommentText"/>
    <w:next w:val="CommentText"/>
    <w:link w:val="Style19"/>
    <w:uiPriority w:val="99"/>
    <w:semiHidden/>
    <w:unhideWhenUsed/>
    <w:qFormat/>
    <w:rsid w:val="00fc330f"/>
    <w:pPr/>
    <w:rPr>
      <w:b/>
      <w:bCs/>
    </w:rPr>
  </w:style>
  <w:style w:type="paragraph" w:styleId="Style24" w:customStyle="1">
    <w:name w:val="Диплом"/>
    <w:basedOn w:val="Normal"/>
    <w:link w:val="Style20"/>
    <w:qFormat/>
    <w:rsid w:val="00d32e91"/>
    <w:pPr>
      <w:widowControl w:val="false"/>
      <w:spacing w:before="0" w:after="0"/>
      <w:ind w:firstLine="708"/>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a">
    <w:name w:val="Table Grid"/>
    <w:basedOn w:val="a1"/>
    <w:uiPriority w:val="39"/>
    <w:rsid w:val="00355044"/>
    <w:pPr>
      <w:spacing w:after="0" w:line="240" w:lineRule="auto"/>
    </w:pPr>
    <w:rPr>
      <w:sz w:val="20"/>
      <w:szCs w:val="20"/>
      <w:lang w:eastAsia="ru-RU"/>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46122A-9C75-4423-BDBB-3A8CAB81EE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2653</TotalTime>
  <Application>LibreOffice/25.8.6.2$Windows_X86_64 LibreOffice_project/b4b39682cd9868fa725bc664aff94278d315bd04</Application>
  <AppVersion>15.0000</AppVersion>
  <Pages>65</Pages>
  <Words>10360</Words>
  <Characters>85503</Characters>
  <CharactersWithSpaces>95655</CharactersWithSpaces>
  <Paragraphs>259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2026-04-12T01:29:00Z</dcterms:created>
  <dc:creator>lenovo</dc:creator>
  <dc:description/>
  <dc:language>en-US</dc:language>
  <cp:lastModifiedBy/>
  <cp:lastPrinted>2026-02-06T07:19:00Z</cp:lastPrinted>
  <dcterms:modified xsi:type="dcterms:W3CDTF">2026-05-26T18:36:30Z</dcterms:modified>
  <cp:revision>126</cp:revision>
  <dc:subject/>
  <dc:title/>
</cp:coreProperties>
</file>

<file path=docProps/custom.xml><?xml version="1.0" encoding="utf-8"?>
<Properties xmlns="http://schemas.openxmlformats.org/officeDocument/2006/custom-properties" xmlns:vt="http://schemas.openxmlformats.org/officeDocument/2006/docPropsVTypes"/>
</file>