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32B" w:rsidRPr="00914FD4" w:rsidRDefault="0068617F" w:rsidP="000B32D3">
      <w:pPr>
        <w:jc w:val="center"/>
        <w:rPr>
          <w:b/>
        </w:rPr>
      </w:pPr>
      <w:r w:rsidRPr="00914FD4">
        <w:rPr>
          <w:b/>
        </w:rPr>
        <w:t xml:space="preserve">BANCA </w:t>
      </w:r>
      <w:r w:rsidR="007A2D4F" w:rsidRPr="00914FD4">
        <w:rPr>
          <w:b/>
        </w:rPr>
        <w:t>IMI</w:t>
      </w:r>
      <w:r w:rsidRPr="00914FD4">
        <w:rPr>
          <w:b/>
        </w:rPr>
        <w:t xml:space="preserve"> S.P.A.</w:t>
      </w:r>
    </w:p>
    <w:p w:rsidR="00031DBF" w:rsidRDefault="00695543" w:rsidP="000B32D3">
      <w:pPr>
        <w:jc w:val="center"/>
        <w:rPr>
          <w:b/>
          <w:lang w:val="en-US"/>
        </w:rPr>
      </w:pPr>
      <w:r>
        <w:rPr>
          <w:b/>
          <w:lang w:val="en-US"/>
        </w:rPr>
        <w:t>STANDARD</w:t>
      </w:r>
      <w:r w:rsidR="00AA2F53" w:rsidRPr="00914FD4">
        <w:rPr>
          <w:b/>
          <w:lang w:val="en-US"/>
        </w:rPr>
        <w:t xml:space="preserve"> LONG</w:t>
      </w:r>
      <w:r w:rsidR="00B70663" w:rsidRPr="00914FD4">
        <w:rPr>
          <w:b/>
          <w:lang w:val="en-US"/>
        </w:rPr>
        <w:t xml:space="preserve"> </w:t>
      </w:r>
      <w:r w:rsidR="00C15374" w:rsidRPr="00914FD4">
        <w:rPr>
          <w:b/>
          <w:lang w:val="en-US"/>
        </w:rPr>
        <w:t>A</w:t>
      </w:r>
      <w:r>
        <w:rPr>
          <w:b/>
          <w:lang w:val="en-US"/>
        </w:rPr>
        <w:t>UTOCALLABLE BARRIER</w:t>
      </w:r>
      <w:r w:rsidR="00C15374" w:rsidRPr="00914FD4">
        <w:rPr>
          <w:b/>
          <w:lang w:val="en-US"/>
        </w:rPr>
        <w:t xml:space="preserve"> </w:t>
      </w:r>
      <w:r w:rsidR="0068617F" w:rsidRPr="00914FD4">
        <w:rPr>
          <w:b/>
          <w:lang w:val="en-US"/>
        </w:rPr>
        <w:t>CERTIFICATES ON</w:t>
      </w:r>
      <w:r w:rsidR="002173A9" w:rsidRPr="00914FD4">
        <w:rPr>
          <w:b/>
          <w:lang w:val="en-US"/>
        </w:rPr>
        <w:t xml:space="preserve"> </w:t>
      </w:r>
      <w:r w:rsidR="00113879" w:rsidRPr="00113879">
        <w:rPr>
          <w:b/>
          <w:lang w:val="en-US"/>
        </w:rPr>
        <w:t xml:space="preserve">AZIONE </w:t>
      </w:r>
      <w:proofErr w:type="spellStart"/>
      <w:r w:rsidR="004809DD">
        <w:rPr>
          <w:b/>
          <w:lang w:val="en-US"/>
        </w:rPr>
        <w:t>Mediobanca</w:t>
      </w:r>
      <w:proofErr w:type="spellEnd"/>
      <w:r w:rsidR="000B5B26">
        <w:rPr>
          <w:b/>
          <w:lang w:val="en-US"/>
        </w:rPr>
        <w:t xml:space="preserve"> </w:t>
      </w:r>
      <w:proofErr w:type="spellStart"/>
      <w:r w:rsidR="000B5B26">
        <w:rPr>
          <w:b/>
          <w:lang w:val="en-US"/>
        </w:rPr>
        <w:t>SpA</w:t>
      </w:r>
      <w:proofErr w:type="spellEnd"/>
      <w:r w:rsidR="00E80B7A" w:rsidRPr="00E80B7A">
        <w:rPr>
          <w:b/>
          <w:lang w:val="en-US"/>
        </w:rPr>
        <w:t xml:space="preserve"> </w:t>
      </w:r>
      <w:r w:rsidR="00A26BCD" w:rsidRPr="00292007">
        <w:rPr>
          <w:b/>
          <w:lang w:val="en-US"/>
        </w:rPr>
        <w:t>DUE</w:t>
      </w:r>
      <w:r w:rsidR="003E2890" w:rsidRPr="00292007">
        <w:rPr>
          <w:b/>
          <w:lang w:val="en-US"/>
        </w:rPr>
        <w:t xml:space="preserve"> </w:t>
      </w:r>
      <w:r w:rsidR="000B5B26">
        <w:rPr>
          <w:b/>
          <w:lang w:val="en-US"/>
        </w:rPr>
        <w:t>02.05.2022</w:t>
      </w:r>
    </w:p>
    <w:p w:rsidR="004F4910" w:rsidRPr="00914FD4" w:rsidRDefault="004F4910" w:rsidP="00914FD4">
      <w:pPr>
        <w:tabs>
          <w:tab w:val="left" w:pos="5293"/>
        </w:tabs>
        <w:rPr>
          <w:b/>
          <w:lang w:val="en-US"/>
        </w:rPr>
      </w:pPr>
    </w:p>
    <w:p w:rsidR="00CF4116" w:rsidRPr="00914FD4" w:rsidRDefault="00CF4116" w:rsidP="00CF4116">
      <w:pPr>
        <w:jc w:val="center"/>
        <w:rPr>
          <w:b/>
          <w:lang w:val="en-US"/>
        </w:rPr>
      </w:pPr>
      <w:r w:rsidRPr="00914FD4">
        <w:rPr>
          <w:b/>
          <w:lang w:val="en-US"/>
        </w:rPr>
        <w:t xml:space="preserve">Under the </w:t>
      </w:r>
      <w:r w:rsidR="004F4910" w:rsidRPr="00914FD4">
        <w:rPr>
          <w:b/>
          <w:lang w:val="en-US"/>
        </w:rPr>
        <w:t xml:space="preserve">Luxembourg </w:t>
      </w:r>
      <w:r w:rsidR="00D567F8" w:rsidRPr="00914FD4">
        <w:rPr>
          <w:b/>
          <w:lang w:val="en-US"/>
        </w:rPr>
        <w:t>WARRANT</w:t>
      </w:r>
      <w:r w:rsidR="00515910" w:rsidRPr="00914FD4">
        <w:rPr>
          <w:b/>
          <w:lang w:val="en-US"/>
        </w:rPr>
        <w:t>S</w:t>
      </w:r>
      <w:r w:rsidR="00D567F8" w:rsidRPr="00914FD4">
        <w:rPr>
          <w:b/>
          <w:lang w:val="en-US"/>
        </w:rPr>
        <w:t xml:space="preserve"> AND</w:t>
      </w:r>
      <w:r w:rsidRPr="00914FD4">
        <w:rPr>
          <w:b/>
          <w:lang w:val="en-US"/>
        </w:rPr>
        <w:t xml:space="preserve"> </w:t>
      </w:r>
      <w:r w:rsidR="009C6598" w:rsidRPr="00914FD4">
        <w:rPr>
          <w:b/>
          <w:lang w:val="en-US"/>
        </w:rPr>
        <w:t>CER</w:t>
      </w:r>
      <w:r w:rsidRPr="00914FD4">
        <w:rPr>
          <w:b/>
          <w:lang w:val="en-US"/>
        </w:rPr>
        <w:t>T</w:t>
      </w:r>
      <w:r w:rsidR="009C6598" w:rsidRPr="00914FD4">
        <w:rPr>
          <w:b/>
          <w:lang w:val="en-US"/>
        </w:rPr>
        <w:t>I</w:t>
      </w:r>
      <w:r w:rsidRPr="00914FD4">
        <w:rPr>
          <w:b/>
          <w:lang w:val="en-US"/>
        </w:rPr>
        <w:t>FICATES PROGRAMME</w:t>
      </w:r>
    </w:p>
    <w:p w:rsidR="004E7AAE" w:rsidRPr="003E2890" w:rsidRDefault="004E7AAE" w:rsidP="000B32D3">
      <w:pPr>
        <w:jc w:val="center"/>
        <w:rPr>
          <w:b/>
          <w:i/>
          <w:lang w:val="en-US"/>
        </w:rPr>
      </w:pPr>
    </w:p>
    <w:p w:rsidR="00CD2ED7" w:rsidRPr="003D5F1A" w:rsidRDefault="00CD2ED7">
      <w:pPr>
        <w:rPr>
          <w:sz w:val="20"/>
          <w:szCs w:val="20"/>
          <w:lang w:val="en-US"/>
        </w:rPr>
      </w:pPr>
    </w:p>
    <w:tbl>
      <w:tblPr>
        <w:tblStyle w:val="Style1"/>
        <w:tblW w:w="10188" w:type="dxa"/>
        <w:tblLayout w:type="fixed"/>
        <w:tblCellMar>
          <w:top w:w="57" w:type="dxa"/>
          <w:bottom w:w="57" w:type="dxa"/>
        </w:tblCellMar>
        <w:tblLook w:val="05C0" w:firstRow="0" w:lastRow="1" w:firstColumn="1" w:lastColumn="1" w:noHBand="0" w:noVBand="1"/>
      </w:tblPr>
      <w:tblGrid>
        <w:gridCol w:w="3335"/>
        <w:gridCol w:w="6853"/>
      </w:tblGrid>
      <w:tr w:rsidR="00914FD4" w:rsidRPr="00914FD4" w:rsidTr="003F2F0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51520B" w:rsidRPr="00914FD4" w:rsidRDefault="00010EC1" w:rsidP="000C5924">
            <w:pPr>
              <w:rPr>
                <w:b/>
                <w:iCs/>
                <w:sz w:val="20"/>
                <w:szCs w:val="20"/>
                <w:lang w:val="en-US"/>
              </w:rPr>
            </w:pPr>
            <w:r w:rsidRPr="00914FD4">
              <w:rPr>
                <w:b/>
                <w:iCs/>
                <w:sz w:val="20"/>
                <w:szCs w:val="20"/>
                <w:lang w:val="en-US"/>
              </w:rPr>
              <w:t>Issuer</w:t>
            </w:r>
          </w:p>
        </w:tc>
        <w:tc>
          <w:tcPr>
            <w:tcW w:w="6853" w:type="dxa"/>
          </w:tcPr>
          <w:p w:rsidR="0051520B" w:rsidRPr="00914FD4" w:rsidRDefault="00C9359C" w:rsidP="000C5924">
            <w:pPr>
              <w:cnfStyle w:val="000000100000" w:firstRow="0" w:lastRow="0" w:firstColumn="0" w:lastColumn="0" w:oddVBand="0" w:evenVBand="0" w:oddHBand="1" w:evenHBand="0" w:firstRowFirstColumn="0" w:firstRowLastColumn="0" w:lastRowFirstColumn="0" w:lastRowLastColumn="0"/>
              <w:rPr>
                <w:sz w:val="20"/>
                <w:szCs w:val="20"/>
              </w:rPr>
            </w:pPr>
            <w:r w:rsidRPr="00914FD4">
              <w:rPr>
                <w:bCs/>
                <w:sz w:val="20"/>
                <w:szCs w:val="20"/>
              </w:rPr>
              <w:t>Banca IMI S.p.A.</w:t>
            </w:r>
          </w:p>
        </w:tc>
      </w:tr>
      <w:tr w:rsidR="00914FD4" w:rsidRPr="00914FD4" w:rsidTr="003F2F0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C9359C" w:rsidRPr="00914FD4" w:rsidRDefault="00010EC1" w:rsidP="000C5924">
            <w:pPr>
              <w:rPr>
                <w:b/>
                <w:iCs/>
                <w:sz w:val="20"/>
                <w:szCs w:val="20"/>
                <w:lang w:val="en-US"/>
              </w:rPr>
            </w:pPr>
            <w:r w:rsidRPr="00914FD4">
              <w:rPr>
                <w:b/>
                <w:iCs/>
                <w:sz w:val="20"/>
                <w:szCs w:val="20"/>
                <w:lang w:val="en-US"/>
              </w:rPr>
              <w:t>Issue type</w:t>
            </w:r>
          </w:p>
        </w:tc>
        <w:tc>
          <w:tcPr>
            <w:tcW w:w="6853" w:type="dxa"/>
          </w:tcPr>
          <w:p w:rsidR="00C9359C" w:rsidRPr="00914FD4" w:rsidRDefault="00C9359C" w:rsidP="00655A2B">
            <w:pPr>
              <w:cnfStyle w:val="000000010000" w:firstRow="0" w:lastRow="0" w:firstColumn="0" w:lastColumn="0" w:oddVBand="0" w:evenVBand="0" w:oddHBand="0" w:evenHBand="1" w:firstRowFirstColumn="0" w:firstRowLastColumn="0" w:lastRowFirstColumn="0" w:lastRowLastColumn="0"/>
              <w:rPr>
                <w:sz w:val="20"/>
                <w:szCs w:val="20"/>
                <w:lang w:val="en-US"/>
              </w:rPr>
            </w:pPr>
            <w:r w:rsidRPr="00914FD4">
              <w:rPr>
                <w:sz w:val="20"/>
                <w:szCs w:val="20"/>
                <w:lang w:val="en-US"/>
              </w:rPr>
              <w:t>Investment Certificate</w:t>
            </w:r>
          </w:p>
        </w:tc>
      </w:tr>
      <w:tr w:rsidR="00914FD4" w:rsidRPr="00914FD4" w:rsidTr="003F2F0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6A1D0F" w:rsidRPr="00914FD4" w:rsidRDefault="006A1D0F" w:rsidP="00010EC1">
            <w:pPr>
              <w:rPr>
                <w:b/>
                <w:iCs/>
                <w:sz w:val="20"/>
                <w:szCs w:val="20"/>
                <w:lang w:val="en-US"/>
              </w:rPr>
            </w:pPr>
            <w:r w:rsidRPr="00914FD4">
              <w:rPr>
                <w:b/>
                <w:iCs/>
                <w:sz w:val="20"/>
                <w:szCs w:val="20"/>
                <w:lang w:val="en-US"/>
              </w:rPr>
              <w:t>Rating</w:t>
            </w:r>
          </w:p>
        </w:tc>
        <w:tc>
          <w:tcPr>
            <w:tcW w:w="6853" w:type="dxa"/>
          </w:tcPr>
          <w:p w:rsidR="001B7E03" w:rsidRPr="00914FD4" w:rsidRDefault="00655A2B" w:rsidP="001B7E03">
            <w:pPr>
              <w:cnfStyle w:val="000000100000" w:firstRow="0" w:lastRow="0" w:firstColumn="0" w:lastColumn="0" w:oddVBand="0" w:evenVBand="0" w:oddHBand="1" w:evenHBand="0" w:firstRowFirstColumn="0" w:firstRowLastColumn="0" w:lastRowFirstColumn="0" w:lastRowLastColumn="0"/>
              <w:rPr>
                <w:sz w:val="18"/>
                <w:szCs w:val="18"/>
                <w:lang w:val="en-US"/>
              </w:rPr>
            </w:pPr>
            <w:r w:rsidRPr="00914FD4">
              <w:rPr>
                <w:sz w:val="18"/>
                <w:szCs w:val="18"/>
                <w:lang w:val="en-US"/>
              </w:rPr>
              <w:t>BBB</w:t>
            </w:r>
            <w:r w:rsidR="001B7E03" w:rsidRPr="00914FD4">
              <w:rPr>
                <w:sz w:val="18"/>
                <w:szCs w:val="18"/>
                <w:lang w:val="en-US"/>
              </w:rPr>
              <w:t xml:space="preserve"> (S&amp;P).</w:t>
            </w:r>
          </w:p>
          <w:p w:rsidR="001B7E03" w:rsidRPr="00914FD4" w:rsidRDefault="00E55278" w:rsidP="001B7E03">
            <w:pPr>
              <w:cnfStyle w:val="000000100000" w:firstRow="0" w:lastRow="0" w:firstColumn="0" w:lastColumn="0" w:oddVBand="0" w:evenVBand="0" w:oddHBand="1" w:evenHBand="0" w:firstRowFirstColumn="0" w:firstRowLastColumn="0" w:lastRowFirstColumn="0" w:lastRowLastColumn="0"/>
              <w:rPr>
                <w:sz w:val="18"/>
                <w:szCs w:val="18"/>
                <w:lang w:val="en-US"/>
              </w:rPr>
            </w:pPr>
            <w:r w:rsidRPr="00914FD4">
              <w:rPr>
                <w:sz w:val="18"/>
                <w:szCs w:val="18"/>
                <w:lang w:val="en-US"/>
              </w:rPr>
              <w:t>Baa1</w:t>
            </w:r>
            <w:r w:rsidR="00655A2B" w:rsidRPr="00914FD4">
              <w:rPr>
                <w:sz w:val="18"/>
                <w:szCs w:val="18"/>
                <w:lang w:val="en-US"/>
              </w:rPr>
              <w:t xml:space="preserve"> </w:t>
            </w:r>
            <w:r w:rsidR="001B7E03" w:rsidRPr="00914FD4">
              <w:rPr>
                <w:sz w:val="18"/>
                <w:szCs w:val="18"/>
                <w:lang w:val="en-US"/>
              </w:rPr>
              <w:t>(Moody’s).</w:t>
            </w:r>
          </w:p>
          <w:p w:rsidR="006A1D0F" w:rsidRPr="00914FD4" w:rsidRDefault="0046155D" w:rsidP="006A1D0F">
            <w:pPr>
              <w:cnfStyle w:val="000000100000" w:firstRow="0" w:lastRow="0" w:firstColumn="0" w:lastColumn="0" w:oddVBand="0" w:evenVBand="0" w:oddHBand="1" w:evenHBand="0" w:firstRowFirstColumn="0" w:firstRowLastColumn="0" w:lastRowFirstColumn="0" w:lastRowLastColumn="0"/>
              <w:rPr>
                <w:b/>
                <w:lang w:val="en-GB"/>
              </w:rPr>
            </w:pPr>
            <w:r w:rsidRPr="00914FD4">
              <w:rPr>
                <w:sz w:val="18"/>
                <w:szCs w:val="18"/>
                <w:lang w:val="en-US"/>
              </w:rPr>
              <w:t>BBB</w:t>
            </w:r>
            <w:r w:rsidR="001B7E03" w:rsidRPr="00914FD4">
              <w:rPr>
                <w:sz w:val="18"/>
                <w:szCs w:val="18"/>
                <w:lang w:val="en-US"/>
              </w:rPr>
              <w:t xml:space="preserve"> (Fitch</w:t>
            </w:r>
            <w:r w:rsidR="001B7E03" w:rsidRPr="00914FD4">
              <w:rPr>
                <w:sz w:val="18"/>
                <w:szCs w:val="18"/>
                <w:lang w:val="en-GB"/>
              </w:rPr>
              <w:t>)</w:t>
            </w:r>
          </w:p>
        </w:tc>
      </w:tr>
      <w:tr w:rsidR="00914FD4" w:rsidRPr="00914FD4" w:rsidTr="003F2F0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010EC1" w:rsidRPr="00914FD4" w:rsidRDefault="00010EC1" w:rsidP="000C5924">
            <w:pPr>
              <w:rPr>
                <w:b/>
                <w:iCs/>
                <w:sz w:val="20"/>
                <w:szCs w:val="20"/>
                <w:lang w:val="en-US"/>
              </w:rPr>
            </w:pPr>
            <w:r w:rsidRPr="00914FD4">
              <w:rPr>
                <w:b/>
                <w:iCs/>
                <w:sz w:val="20"/>
                <w:szCs w:val="20"/>
                <w:lang w:val="en-US"/>
              </w:rPr>
              <w:t>ISIN Code</w:t>
            </w:r>
          </w:p>
        </w:tc>
        <w:tc>
          <w:tcPr>
            <w:tcW w:w="6853" w:type="dxa"/>
          </w:tcPr>
          <w:p w:rsidR="00E072AB" w:rsidRPr="00783864" w:rsidRDefault="00B61D17" w:rsidP="004F4910">
            <w:pPr>
              <w:cnfStyle w:val="000000010000" w:firstRow="0" w:lastRow="0" w:firstColumn="0" w:lastColumn="0" w:oddVBand="0" w:evenVBand="0" w:oddHBand="0" w:evenHBand="1" w:firstRowFirstColumn="0" w:firstRowLastColumn="0" w:lastRowFirstColumn="0" w:lastRowLastColumn="0"/>
              <w:rPr>
                <w:bCs/>
                <w:sz w:val="20"/>
                <w:szCs w:val="20"/>
              </w:rPr>
            </w:pPr>
            <w:r>
              <w:rPr>
                <w:bCs/>
                <w:sz w:val="20"/>
                <w:szCs w:val="20"/>
              </w:rPr>
              <w:t>TBD</w:t>
            </w:r>
          </w:p>
        </w:tc>
      </w:tr>
      <w:tr w:rsidR="003E2890" w:rsidRPr="00914FD4" w:rsidTr="003F2F0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3E2890" w:rsidRPr="00914FD4" w:rsidRDefault="003E2890" w:rsidP="000C5924">
            <w:pPr>
              <w:rPr>
                <w:b/>
                <w:iCs/>
                <w:sz w:val="20"/>
                <w:szCs w:val="20"/>
                <w:lang w:val="en-US"/>
              </w:rPr>
            </w:pPr>
            <w:r>
              <w:rPr>
                <w:b/>
                <w:iCs/>
                <w:sz w:val="20"/>
                <w:szCs w:val="20"/>
                <w:lang w:val="en-US"/>
              </w:rPr>
              <w:t>EUSIPA Code</w:t>
            </w:r>
          </w:p>
        </w:tc>
        <w:tc>
          <w:tcPr>
            <w:tcW w:w="6853" w:type="dxa"/>
          </w:tcPr>
          <w:p w:rsidR="003E2890" w:rsidRPr="0048750C" w:rsidRDefault="003E2890" w:rsidP="004F4910">
            <w:pPr>
              <w:cnfStyle w:val="000000100000" w:firstRow="0" w:lastRow="0" w:firstColumn="0" w:lastColumn="0" w:oddVBand="0" w:evenVBand="0" w:oddHBand="1" w:evenHBand="0" w:firstRowFirstColumn="0" w:firstRowLastColumn="0" w:lastRowFirstColumn="0" w:lastRowLastColumn="0"/>
              <w:rPr>
                <w:bCs/>
                <w:sz w:val="20"/>
                <w:szCs w:val="20"/>
              </w:rPr>
            </w:pPr>
            <w:r w:rsidRPr="0048750C">
              <w:rPr>
                <w:bCs/>
                <w:sz w:val="20"/>
                <w:szCs w:val="20"/>
              </w:rPr>
              <w:t>1260</w:t>
            </w:r>
          </w:p>
        </w:tc>
      </w:tr>
      <w:tr w:rsidR="00914FD4" w:rsidRPr="00914FD4" w:rsidTr="003F2F0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010EC1" w:rsidRPr="00914FD4" w:rsidRDefault="00010EC1" w:rsidP="000C5924">
            <w:pPr>
              <w:rPr>
                <w:b/>
                <w:iCs/>
                <w:sz w:val="20"/>
                <w:szCs w:val="20"/>
                <w:lang w:val="en-US"/>
              </w:rPr>
            </w:pPr>
            <w:r w:rsidRPr="00914FD4">
              <w:rPr>
                <w:b/>
                <w:iCs/>
                <w:sz w:val="20"/>
                <w:szCs w:val="20"/>
                <w:lang w:val="en-US"/>
              </w:rPr>
              <w:t>Issue amount</w:t>
            </w:r>
          </w:p>
        </w:tc>
        <w:tc>
          <w:tcPr>
            <w:tcW w:w="6853" w:type="dxa"/>
          </w:tcPr>
          <w:p w:rsidR="00010EC1" w:rsidRPr="0048750C" w:rsidRDefault="000B5B26" w:rsidP="0048750C">
            <w:pPr>
              <w:cnfStyle w:val="000000010000" w:firstRow="0" w:lastRow="0" w:firstColumn="0" w:lastColumn="0" w:oddVBand="0" w:evenVBand="0" w:oddHBand="0" w:evenHBand="1" w:firstRowFirstColumn="0" w:firstRowLastColumn="0" w:lastRowFirstColumn="0" w:lastRowLastColumn="0"/>
              <w:rPr>
                <w:sz w:val="20"/>
                <w:szCs w:val="20"/>
                <w:lang w:val="en-US"/>
              </w:rPr>
            </w:pPr>
            <w:r>
              <w:rPr>
                <w:sz w:val="20"/>
                <w:szCs w:val="20"/>
                <w:lang w:val="en-US"/>
              </w:rPr>
              <w:t>TBD</w:t>
            </w:r>
          </w:p>
        </w:tc>
      </w:tr>
      <w:tr w:rsidR="003E2890" w:rsidRPr="00113879" w:rsidTr="003F2F0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3E2890" w:rsidRPr="00914FD4" w:rsidRDefault="003E2890" w:rsidP="000C5924">
            <w:pPr>
              <w:rPr>
                <w:b/>
                <w:iCs/>
                <w:sz w:val="20"/>
                <w:szCs w:val="20"/>
                <w:lang w:val="en-US"/>
              </w:rPr>
            </w:pPr>
            <w:bookmarkStart w:id="0" w:name="_Hlk197166442"/>
            <w:r w:rsidRPr="00914FD4">
              <w:rPr>
                <w:b/>
                <w:iCs/>
                <w:sz w:val="20"/>
                <w:szCs w:val="20"/>
                <w:lang w:val="en-US"/>
              </w:rPr>
              <w:t>Underlying</w:t>
            </w:r>
          </w:p>
        </w:tc>
        <w:tc>
          <w:tcPr>
            <w:tcW w:w="6853" w:type="dxa"/>
          </w:tcPr>
          <w:p w:rsidR="00251269" w:rsidRPr="004809DD" w:rsidRDefault="004809DD" w:rsidP="00113879">
            <w:pPr>
              <w:tabs>
                <w:tab w:val="center" w:pos="4819"/>
                <w:tab w:val="right" w:pos="9638"/>
              </w:tabs>
              <w:jc w:val="both"/>
              <w:cnfStyle w:val="000000100000" w:firstRow="0" w:lastRow="0" w:firstColumn="0" w:lastColumn="0" w:oddVBand="0" w:evenVBand="0" w:oddHBand="1" w:evenHBand="0" w:firstRowFirstColumn="0" w:firstRowLastColumn="0" w:lastRowFirstColumn="0" w:lastRowLastColumn="0"/>
              <w:rPr>
                <w:bCs/>
                <w:sz w:val="20"/>
                <w:szCs w:val="20"/>
              </w:rPr>
            </w:pPr>
            <w:bookmarkStart w:id="1" w:name="_Hlk527121306"/>
            <w:r w:rsidRPr="004809DD">
              <w:rPr>
                <w:bCs/>
                <w:sz w:val="20"/>
                <w:szCs w:val="20"/>
              </w:rPr>
              <w:t xml:space="preserve">Mediobanca </w:t>
            </w:r>
            <w:proofErr w:type="spellStart"/>
            <w:r w:rsidRPr="004809DD">
              <w:rPr>
                <w:bCs/>
                <w:sz w:val="20"/>
                <w:szCs w:val="20"/>
              </w:rPr>
              <w:t>SpA</w:t>
            </w:r>
            <w:proofErr w:type="spellEnd"/>
          </w:p>
          <w:p w:rsidR="00113879" w:rsidRPr="004809DD" w:rsidRDefault="00113879" w:rsidP="00113879">
            <w:pPr>
              <w:tabs>
                <w:tab w:val="center" w:pos="4819"/>
                <w:tab w:val="right" w:pos="9638"/>
              </w:tabs>
              <w:jc w:val="both"/>
              <w:cnfStyle w:val="000000100000" w:firstRow="0" w:lastRow="0" w:firstColumn="0" w:lastColumn="0" w:oddVBand="0" w:evenVBand="0" w:oddHBand="1" w:evenHBand="0" w:firstRowFirstColumn="0" w:firstRowLastColumn="0" w:lastRowFirstColumn="0" w:lastRowLastColumn="0"/>
              <w:rPr>
                <w:bCs/>
                <w:sz w:val="20"/>
                <w:szCs w:val="20"/>
              </w:rPr>
            </w:pPr>
            <w:r w:rsidRPr="004809DD">
              <w:rPr>
                <w:bCs/>
                <w:sz w:val="20"/>
                <w:szCs w:val="20"/>
              </w:rPr>
              <w:t xml:space="preserve">(Bloomberg Code: </w:t>
            </w:r>
            <w:r w:rsidR="004809DD" w:rsidRPr="004809DD">
              <w:rPr>
                <w:bCs/>
                <w:sz w:val="20"/>
                <w:szCs w:val="20"/>
              </w:rPr>
              <w:t>MB</w:t>
            </w:r>
            <w:r w:rsidR="00B61D17" w:rsidRPr="004809DD">
              <w:rPr>
                <w:bCs/>
                <w:sz w:val="20"/>
                <w:szCs w:val="20"/>
              </w:rPr>
              <w:t xml:space="preserve"> IM</w:t>
            </w:r>
            <w:r w:rsidRPr="004809DD">
              <w:rPr>
                <w:bCs/>
                <w:sz w:val="20"/>
                <w:szCs w:val="20"/>
              </w:rPr>
              <w:t xml:space="preserve"> &lt;</w:t>
            </w:r>
            <w:proofErr w:type="spellStart"/>
            <w:r w:rsidRPr="004809DD">
              <w:rPr>
                <w:bCs/>
                <w:sz w:val="20"/>
                <w:szCs w:val="20"/>
              </w:rPr>
              <w:t>Equity</w:t>
            </w:r>
            <w:proofErr w:type="spellEnd"/>
            <w:r w:rsidRPr="004809DD">
              <w:rPr>
                <w:bCs/>
                <w:sz w:val="20"/>
                <w:szCs w:val="20"/>
              </w:rPr>
              <w:t>&gt;)</w:t>
            </w:r>
          </w:p>
          <w:bookmarkEnd w:id="1"/>
          <w:p w:rsidR="00E80B7A" w:rsidRPr="004809DD" w:rsidRDefault="00E80B7A" w:rsidP="00E80B7A">
            <w:pPr>
              <w:pStyle w:val="Footer"/>
              <w:jc w:val="both"/>
              <w:cnfStyle w:val="000000100000" w:firstRow="0" w:lastRow="0" w:firstColumn="0" w:lastColumn="0" w:oddVBand="0" w:evenVBand="0" w:oddHBand="1" w:evenHBand="0" w:firstRowFirstColumn="0" w:firstRowLastColumn="0" w:lastRowFirstColumn="0" w:lastRowLastColumn="0"/>
              <w:rPr>
                <w:bCs/>
                <w:sz w:val="20"/>
                <w:szCs w:val="20"/>
                <w:lang w:val="en-US"/>
              </w:rPr>
            </w:pPr>
            <w:r w:rsidRPr="000A1288">
              <w:rPr>
                <w:bCs/>
                <w:sz w:val="20"/>
                <w:szCs w:val="20"/>
                <w:lang w:val="en-US"/>
              </w:rPr>
              <w:t xml:space="preserve">ISIN </w:t>
            </w:r>
            <w:r>
              <w:rPr>
                <w:bCs/>
                <w:sz w:val="20"/>
                <w:szCs w:val="20"/>
                <w:lang w:val="en-US"/>
              </w:rPr>
              <w:t>of the Underlying</w:t>
            </w:r>
            <w:r w:rsidR="00113879" w:rsidRPr="00D5545E">
              <w:rPr>
                <w:lang w:val="en-US"/>
              </w:rPr>
              <w:t xml:space="preserve"> </w:t>
            </w:r>
            <w:r w:rsidR="004809DD" w:rsidRPr="003D5F1A">
              <w:rPr>
                <w:bCs/>
                <w:sz w:val="20"/>
                <w:szCs w:val="20"/>
                <w:lang w:val="en-US"/>
              </w:rPr>
              <w:t>IT0000062957</w:t>
            </w:r>
          </w:p>
          <w:p w:rsidR="00FA2262" w:rsidRPr="00B61D17" w:rsidRDefault="00FA2262" w:rsidP="00FA2262">
            <w:pPr>
              <w:pStyle w:val="Foote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B61D17">
              <w:rPr>
                <w:sz w:val="20"/>
                <w:szCs w:val="20"/>
                <w:lang w:val="en-US"/>
              </w:rPr>
              <w:t xml:space="preserve">Exchange: </w:t>
            </w:r>
            <w:proofErr w:type="spellStart"/>
            <w:r w:rsidRPr="00B61D17">
              <w:rPr>
                <w:sz w:val="20"/>
                <w:szCs w:val="20"/>
                <w:lang w:val="en-US"/>
              </w:rPr>
              <w:t>Borsa</w:t>
            </w:r>
            <w:proofErr w:type="spellEnd"/>
            <w:r w:rsidRPr="00B61D17">
              <w:rPr>
                <w:sz w:val="20"/>
                <w:szCs w:val="20"/>
                <w:lang w:val="en-US"/>
              </w:rPr>
              <w:t xml:space="preserve"> </w:t>
            </w:r>
            <w:proofErr w:type="spellStart"/>
            <w:r w:rsidRPr="00B61D17">
              <w:rPr>
                <w:sz w:val="20"/>
                <w:szCs w:val="20"/>
                <w:lang w:val="en-US"/>
              </w:rPr>
              <w:t>Italiana</w:t>
            </w:r>
            <w:proofErr w:type="spellEnd"/>
            <w:r w:rsidRPr="00B61D17">
              <w:rPr>
                <w:sz w:val="20"/>
                <w:szCs w:val="20"/>
                <w:lang w:val="en-US"/>
              </w:rPr>
              <w:t xml:space="preserve"> S.p.A. – MTA</w:t>
            </w:r>
          </w:p>
          <w:p w:rsidR="003E2890" w:rsidRPr="0048750C" w:rsidRDefault="00FA2262" w:rsidP="0048750C">
            <w:pPr>
              <w:pStyle w:val="Footer"/>
              <w:jc w:val="both"/>
              <w:cnfStyle w:val="000000100000" w:firstRow="0" w:lastRow="0" w:firstColumn="0" w:lastColumn="0" w:oddVBand="0" w:evenVBand="0" w:oddHBand="1" w:evenHBand="0" w:firstRowFirstColumn="0" w:firstRowLastColumn="0" w:lastRowFirstColumn="0" w:lastRowLastColumn="0"/>
              <w:rPr>
                <w:bCs/>
                <w:sz w:val="20"/>
                <w:szCs w:val="20"/>
                <w:lang w:val="en-US"/>
              </w:rPr>
            </w:pPr>
            <w:r>
              <w:rPr>
                <w:sz w:val="20"/>
                <w:szCs w:val="20"/>
                <w:lang w:val="en-US"/>
              </w:rPr>
              <w:t xml:space="preserve">Related Exchange: </w:t>
            </w:r>
            <w:proofErr w:type="spellStart"/>
            <w:r>
              <w:rPr>
                <w:sz w:val="20"/>
                <w:szCs w:val="20"/>
                <w:lang w:val="en-US"/>
              </w:rPr>
              <w:t>Borsa</w:t>
            </w:r>
            <w:proofErr w:type="spellEnd"/>
            <w:r>
              <w:rPr>
                <w:sz w:val="20"/>
                <w:szCs w:val="20"/>
                <w:lang w:val="en-US"/>
              </w:rPr>
              <w:t xml:space="preserve"> </w:t>
            </w:r>
            <w:proofErr w:type="spellStart"/>
            <w:r>
              <w:rPr>
                <w:sz w:val="20"/>
                <w:szCs w:val="20"/>
                <w:lang w:val="en-US"/>
              </w:rPr>
              <w:t>Italiana</w:t>
            </w:r>
            <w:proofErr w:type="spellEnd"/>
            <w:r>
              <w:rPr>
                <w:sz w:val="20"/>
                <w:szCs w:val="20"/>
                <w:lang w:val="en-US"/>
              </w:rPr>
              <w:t xml:space="preserve"> – IDEM</w:t>
            </w:r>
          </w:p>
        </w:tc>
      </w:tr>
      <w:bookmarkEnd w:id="0"/>
      <w:tr w:rsidR="003E2890" w:rsidRPr="00113879" w:rsidTr="003F2F0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3E2890" w:rsidRPr="00914FD4" w:rsidRDefault="003E2890" w:rsidP="000C5924">
            <w:pPr>
              <w:rPr>
                <w:b/>
                <w:iCs/>
                <w:sz w:val="20"/>
                <w:szCs w:val="20"/>
                <w:lang w:val="en-US"/>
              </w:rPr>
            </w:pPr>
            <w:r w:rsidRPr="00914FD4">
              <w:rPr>
                <w:b/>
                <w:iCs/>
                <w:sz w:val="20"/>
                <w:szCs w:val="20"/>
                <w:lang w:val="en-US"/>
              </w:rPr>
              <w:t>Settlement currency</w:t>
            </w:r>
          </w:p>
        </w:tc>
        <w:tc>
          <w:tcPr>
            <w:tcW w:w="6853" w:type="dxa"/>
          </w:tcPr>
          <w:p w:rsidR="003E2890" w:rsidRPr="0048750C" w:rsidRDefault="003E2890" w:rsidP="000C5924">
            <w:pPr>
              <w:cnfStyle w:val="000000010000" w:firstRow="0" w:lastRow="0" w:firstColumn="0" w:lastColumn="0" w:oddVBand="0" w:evenVBand="0" w:oddHBand="0" w:evenHBand="1" w:firstRowFirstColumn="0" w:firstRowLastColumn="0" w:lastRowFirstColumn="0" w:lastRowLastColumn="0"/>
              <w:rPr>
                <w:sz w:val="20"/>
                <w:szCs w:val="20"/>
                <w:lang w:val="en-US"/>
              </w:rPr>
            </w:pPr>
            <w:r w:rsidRPr="0048750C">
              <w:rPr>
                <w:sz w:val="20"/>
                <w:szCs w:val="20"/>
                <w:lang w:val="en-US"/>
              </w:rPr>
              <w:t>EUR</w:t>
            </w:r>
          </w:p>
        </w:tc>
      </w:tr>
      <w:tr w:rsidR="00CE1B1D" w:rsidRPr="003D5F1A" w:rsidTr="003F2F0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CE1B1D" w:rsidRPr="00914FD4" w:rsidDel="00E4763B" w:rsidRDefault="00CE1B1D" w:rsidP="000C5924">
            <w:pPr>
              <w:rPr>
                <w:b/>
                <w:iCs/>
                <w:sz w:val="20"/>
                <w:szCs w:val="20"/>
                <w:lang w:val="en-US"/>
              </w:rPr>
            </w:pPr>
            <w:r w:rsidRPr="00914FD4">
              <w:rPr>
                <w:b/>
                <w:iCs/>
                <w:sz w:val="20"/>
                <w:szCs w:val="20"/>
                <w:lang w:val="en-US"/>
              </w:rPr>
              <w:t>Issue date</w:t>
            </w:r>
          </w:p>
        </w:tc>
        <w:tc>
          <w:tcPr>
            <w:tcW w:w="6853" w:type="dxa"/>
          </w:tcPr>
          <w:p w:rsidR="00113879" w:rsidRDefault="00FA2262" w:rsidP="0011387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D5545E">
              <w:rPr>
                <w:bCs/>
                <w:sz w:val="20"/>
                <w:szCs w:val="20"/>
                <w:lang w:val="en-US"/>
              </w:rPr>
              <w:t>3</w:t>
            </w:r>
            <w:r w:rsidR="00113879">
              <w:rPr>
                <w:bCs/>
                <w:sz w:val="20"/>
                <w:szCs w:val="20"/>
                <w:lang w:val="en-US"/>
              </w:rPr>
              <w:t>0</w:t>
            </w:r>
            <w:r w:rsidRPr="00D5545E">
              <w:rPr>
                <w:bCs/>
                <w:sz w:val="20"/>
                <w:szCs w:val="20"/>
                <w:lang w:val="en-US"/>
              </w:rPr>
              <w:t>.0</w:t>
            </w:r>
            <w:r w:rsidR="00113879">
              <w:rPr>
                <w:bCs/>
                <w:sz w:val="20"/>
                <w:szCs w:val="20"/>
                <w:lang w:val="en-US"/>
              </w:rPr>
              <w:t>4</w:t>
            </w:r>
            <w:r w:rsidRPr="00D5545E">
              <w:rPr>
                <w:sz w:val="20"/>
                <w:szCs w:val="20"/>
                <w:lang w:val="en-US"/>
              </w:rPr>
              <w:t>.2019</w:t>
            </w:r>
            <w:r w:rsidR="00113879">
              <w:rPr>
                <w:sz w:val="20"/>
                <w:szCs w:val="20"/>
                <w:lang w:val="en-US"/>
              </w:rPr>
              <w:t xml:space="preserve"> </w:t>
            </w:r>
            <w:r w:rsidR="00113879" w:rsidRPr="00113879">
              <w:rPr>
                <w:sz w:val="20"/>
                <w:szCs w:val="20"/>
                <w:lang w:val="en-US"/>
              </w:rPr>
              <w:t>in case of postponement, such other date specified in a notice published on the website of the Issuer and the Managers.</w:t>
            </w:r>
          </w:p>
          <w:p w:rsidR="00113879" w:rsidRPr="00113879" w:rsidRDefault="00113879" w:rsidP="0011387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p w:rsidR="00CE1B1D" w:rsidRPr="0048750C" w:rsidRDefault="00113879" w:rsidP="0011387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113879">
              <w:rPr>
                <w:sz w:val="20"/>
                <w:szCs w:val="20"/>
                <w:lang w:val="en-US"/>
              </w:rPr>
              <w:t>The Issue Date shall not, in any case, be postponed beyond the</w:t>
            </w:r>
            <w:r>
              <w:rPr>
                <w:sz w:val="20"/>
                <w:szCs w:val="20"/>
                <w:lang w:val="en-US"/>
              </w:rPr>
              <w:t xml:space="preserve"> fifth Business Day following 30.04</w:t>
            </w:r>
            <w:r w:rsidRPr="00113879">
              <w:rPr>
                <w:sz w:val="20"/>
                <w:szCs w:val="20"/>
                <w:lang w:val="en-US"/>
              </w:rPr>
              <w:t>.2019.</w:t>
            </w:r>
          </w:p>
        </w:tc>
      </w:tr>
      <w:tr w:rsidR="00FA2262" w:rsidRPr="00113879" w:rsidTr="003F2F0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FA2262" w:rsidRPr="00914FD4" w:rsidRDefault="00FA2262" w:rsidP="00FA2262">
            <w:pPr>
              <w:rPr>
                <w:b/>
                <w:iCs/>
                <w:sz w:val="20"/>
                <w:szCs w:val="20"/>
                <w:lang w:val="en-US"/>
              </w:rPr>
            </w:pPr>
            <w:r w:rsidRPr="00914FD4">
              <w:rPr>
                <w:b/>
                <w:iCs/>
                <w:sz w:val="20"/>
                <w:szCs w:val="20"/>
                <w:lang w:val="en-US"/>
              </w:rPr>
              <w:t>Settlement date</w:t>
            </w:r>
          </w:p>
        </w:tc>
        <w:tc>
          <w:tcPr>
            <w:tcW w:w="6853" w:type="dxa"/>
          </w:tcPr>
          <w:p w:rsidR="00FA2262" w:rsidRPr="0048750C" w:rsidRDefault="00841569" w:rsidP="00FA2262">
            <w:pPr>
              <w:jc w:val="both"/>
              <w:cnfStyle w:val="000000010000" w:firstRow="0" w:lastRow="0" w:firstColumn="0" w:lastColumn="0" w:oddVBand="0" w:evenVBand="0" w:oddHBand="0" w:evenHBand="1" w:firstRowFirstColumn="0" w:firstRowLastColumn="0" w:lastRowFirstColumn="0" w:lastRowLastColumn="0"/>
              <w:rPr>
                <w:sz w:val="20"/>
                <w:szCs w:val="20"/>
                <w:lang w:val="en-US"/>
              </w:rPr>
            </w:pPr>
            <w:r>
              <w:rPr>
                <w:bCs/>
                <w:sz w:val="20"/>
                <w:szCs w:val="20"/>
                <w:lang w:val="en-US"/>
              </w:rPr>
              <w:t>02</w:t>
            </w:r>
            <w:r w:rsidR="00FA2262" w:rsidRPr="00D5545E">
              <w:rPr>
                <w:bCs/>
                <w:sz w:val="20"/>
                <w:szCs w:val="20"/>
                <w:lang w:val="en-US"/>
              </w:rPr>
              <w:t>.0</w:t>
            </w:r>
            <w:r>
              <w:rPr>
                <w:bCs/>
                <w:sz w:val="20"/>
                <w:szCs w:val="20"/>
                <w:lang w:val="en-US"/>
              </w:rPr>
              <w:t>5</w:t>
            </w:r>
            <w:r w:rsidR="00FA2262" w:rsidRPr="00D5545E">
              <w:rPr>
                <w:bCs/>
                <w:sz w:val="20"/>
                <w:szCs w:val="20"/>
                <w:lang w:val="en-US"/>
              </w:rPr>
              <w:t>.202</w:t>
            </w:r>
            <w:r w:rsidR="00B61D17">
              <w:rPr>
                <w:bCs/>
                <w:sz w:val="20"/>
                <w:szCs w:val="20"/>
                <w:lang w:val="en-US"/>
              </w:rPr>
              <w:t>2</w:t>
            </w:r>
          </w:p>
        </w:tc>
      </w:tr>
      <w:tr w:rsidR="00FA2262" w:rsidRPr="003D5F1A" w:rsidTr="003F2F0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FA2262" w:rsidRPr="00914FD4" w:rsidRDefault="00FA2262" w:rsidP="00FA2262">
            <w:pPr>
              <w:rPr>
                <w:b/>
                <w:iCs/>
                <w:sz w:val="20"/>
                <w:szCs w:val="20"/>
                <w:lang w:val="en-US"/>
              </w:rPr>
            </w:pPr>
            <w:r w:rsidRPr="00914FD4">
              <w:rPr>
                <w:b/>
                <w:iCs/>
                <w:sz w:val="20"/>
                <w:szCs w:val="20"/>
                <w:lang w:val="en-US"/>
              </w:rPr>
              <w:t>Offering Period</w:t>
            </w:r>
          </w:p>
        </w:tc>
        <w:tc>
          <w:tcPr>
            <w:tcW w:w="6853" w:type="dxa"/>
          </w:tcPr>
          <w:p w:rsidR="00FA2262" w:rsidRDefault="00B61D17" w:rsidP="00FA2262">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From 12</w:t>
            </w:r>
            <w:r w:rsidR="00FA2262">
              <w:rPr>
                <w:sz w:val="20"/>
                <w:szCs w:val="20"/>
                <w:vertAlign w:val="superscript"/>
                <w:lang w:val="en-US"/>
              </w:rPr>
              <w:t>th</w:t>
            </w:r>
            <w:r w:rsidR="00FA2262">
              <w:rPr>
                <w:sz w:val="20"/>
                <w:szCs w:val="20"/>
                <w:lang w:val="en-US"/>
              </w:rPr>
              <w:t xml:space="preserve"> </w:t>
            </w:r>
            <w:r>
              <w:rPr>
                <w:sz w:val="20"/>
                <w:szCs w:val="20"/>
                <w:lang w:val="en-US"/>
              </w:rPr>
              <w:t xml:space="preserve">April </w:t>
            </w:r>
            <w:r w:rsidR="00FA2262">
              <w:rPr>
                <w:sz w:val="20"/>
                <w:szCs w:val="20"/>
                <w:lang w:val="en-US"/>
              </w:rPr>
              <w:t>to 2</w:t>
            </w:r>
            <w:r>
              <w:rPr>
                <w:sz w:val="20"/>
                <w:szCs w:val="20"/>
                <w:lang w:val="en-US"/>
              </w:rPr>
              <w:t>6</w:t>
            </w:r>
            <w:r w:rsidR="00FA2262">
              <w:rPr>
                <w:sz w:val="20"/>
                <w:szCs w:val="20"/>
                <w:vertAlign w:val="superscript"/>
                <w:lang w:val="en-US"/>
              </w:rPr>
              <w:t>th</w:t>
            </w:r>
            <w:r w:rsidR="00FA2262">
              <w:rPr>
                <w:sz w:val="20"/>
                <w:szCs w:val="20"/>
                <w:lang w:val="en-US"/>
              </w:rPr>
              <w:t xml:space="preserve"> </w:t>
            </w:r>
            <w:r w:rsidR="00F5245E">
              <w:rPr>
                <w:sz w:val="20"/>
                <w:szCs w:val="20"/>
                <w:lang w:val="en-US"/>
              </w:rPr>
              <w:t>April</w:t>
            </w:r>
            <w:r w:rsidR="00FA2262">
              <w:rPr>
                <w:sz w:val="20"/>
                <w:szCs w:val="20"/>
                <w:lang w:val="en-US"/>
              </w:rPr>
              <w:t xml:space="preserve"> 2019 (In branch) </w:t>
            </w:r>
          </w:p>
          <w:p w:rsidR="00FA2262" w:rsidRPr="00914FD4" w:rsidRDefault="00F5245E" w:rsidP="00FA2262">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w:t>
            </w:r>
            <w:r w:rsidR="00B61D17">
              <w:rPr>
                <w:sz w:val="20"/>
                <w:szCs w:val="20"/>
                <w:lang w:val="en-US"/>
              </w:rPr>
              <w:t>12</w:t>
            </w:r>
            <w:r w:rsidR="00B61D17">
              <w:rPr>
                <w:sz w:val="20"/>
                <w:szCs w:val="20"/>
                <w:vertAlign w:val="superscript"/>
                <w:lang w:val="en-US"/>
              </w:rPr>
              <w:t>th</w:t>
            </w:r>
            <w:r w:rsidR="00B61D17">
              <w:rPr>
                <w:sz w:val="20"/>
                <w:szCs w:val="20"/>
                <w:lang w:val="en-US"/>
              </w:rPr>
              <w:t xml:space="preserve"> April </w:t>
            </w:r>
            <w:r w:rsidRPr="00F5245E">
              <w:rPr>
                <w:sz w:val="20"/>
                <w:szCs w:val="20"/>
                <w:lang w:val="en-US"/>
              </w:rPr>
              <w:t>to</w:t>
            </w:r>
            <w:r w:rsidRPr="00F5245E" w:rsidDel="00F5245E">
              <w:rPr>
                <w:sz w:val="20"/>
                <w:szCs w:val="20"/>
                <w:lang w:val="en-US"/>
              </w:rPr>
              <w:t xml:space="preserve"> </w:t>
            </w:r>
            <w:r>
              <w:rPr>
                <w:sz w:val="20"/>
                <w:szCs w:val="20"/>
                <w:lang w:val="en-US"/>
              </w:rPr>
              <w:t>1</w:t>
            </w:r>
            <w:r w:rsidR="00B61D17">
              <w:rPr>
                <w:sz w:val="20"/>
                <w:szCs w:val="20"/>
                <w:lang w:val="en-US"/>
              </w:rPr>
              <w:t>9</w:t>
            </w:r>
            <w:r w:rsidR="00FA2262">
              <w:rPr>
                <w:sz w:val="20"/>
                <w:szCs w:val="20"/>
                <w:vertAlign w:val="superscript"/>
                <w:lang w:val="en-US"/>
              </w:rPr>
              <w:t>th</w:t>
            </w:r>
            <w:r w:rsidR="00FA2262">
              <w:rPr>
                <w:sz w:val="20"/>
                <w:szCs w:val="20"/>
                <w:lang w:val="en-US"/>
              </w:rPr>
              <w:t xml:space="preserve"> </w:t>
            </w:r>
            <w:r w:rsidR="00251269">
              <w:rPr>
                <w:sz w:val="20"/>
                <w:szCs w:val="20"/>
                <w:lang w:val="en-US"/>
              </w:rPr>
              <w:t>April</w:t>
            </w:r>
            <w:r w:rsidR="00FA2262">
              <w:rPr>
                <w:sz w:val="20"/>
                <w:szCs w:val="20"/>
                <w:lang w:val="en-US"/>
              </w:rPr>
              <w:t xml:space="preserve"> 2019 (Outside branch)</w:t>
            </w:r>
          </w:p>
        </w:tc>
      </w:tr>
      <w:tr w:rsidR="00FA2262" w:rsidRPr="003D5F1A" w:rsidTr="003F2F0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FA2262" w:rsidRPr="00914FD4" w:rsidRDefault="00FA2262" w:rsidP="00FA2262">
            <w:pPr>
              <w:rPr>
                <w:b/>
                <w:iCs/>
                <w:sz w:val="20"/>
                <w:szCs w:val="20"/>
                <w:lang w:val="en-US"/>
              </w:rPr>
            </w:pPr>
            <w:r w:rsidRPr="00914FD4">
              <w:rPr>
                <w:b/>
                <w:iCs/>
                <w:sz w:val="20"/>
                <w:szCs w:val="20"/>
                <w:lang w:val="en-US"/>
              </w:rPr>
              <w:t>Initial Reference Value (IRV)</w:t>
            </w:r>
          </w:p>
        </w:tc>
        <w:tc>
          <w:tcPr>
            <w:tcW w:w="6853" w:type="dxa"/>
          </w:tcPr>
          <w:p w:rsidR="00FA2262" w:rsidRDefault="00FA2262" w:rsidP="00FA2262">
            <w:pPr>
              <w:jc w:val="both"/>
              <w:cnfStyle w:val="000000010000" w:firstRow="0" w:lastRow="0" w:firstColumn="0" w:lastColumn="0" w:oddVBand="0" w:evenVBand="0" w:oddHBand="0" w:evenHBand="1" w:firstRowFirstColumn="0" w:firstRowLastColumn="0" w:lastRowFirstColumn="0" w:lastRowLastColumn="0"/>
              <w:rPr>
                <w:sz w:val="20"/>
                <w:szCs w:val="20"/>
                <w:lang w:val="en-US"/>
              </w:rPr>
            </w:pPr>
            <w:r w:rsidRPr="00914FD4">
              <w:rPr>
                <w:sz w:val="20"/>
                <w:szCs w:val="20"/>
                <w:lang w:val="en-US"/>
              </w:rPr>
              <w:t xml:space="preserve">Equal to the </w:t>
            </w:r>
            <w:r w:rsidRPr="003E2890">
              <w:rPr>
                <w:sz w:val="20"/>
                <w:szCs w:val="20"/>
                <w:lang w:val="en-US"/>
              </w:rPr>
              <w:t xml:space="preserve">arithmetic mean of the </w:t>
            </w:r>
            <w:r>
              <w:rPr>
                <w:sz w:val="20"/>
                <w:szCs w:val="20"/>
                <w:lang w:val="en-US"/>
              </w:rPr>
              <w:t>c</w:t>
            </w:r>
            <w:r w:rsidRPr="00914FD4">
              <w:rPr>
                <w:sz w:val="20"/>
                <w:szCs w:val="20"/>
                <w:lang w:val="en-US"/>
              </w:rPr>
              <w:t xml:space="preserve">losing </w:t>
            </w:r>
            <w:r>
              <w:rPr>
                <w:sz w:val="20"/>
                <w:szCs w:val="20"/>
                <w:lang w:val="en-US"/>
              </w:rPr>
              <w:t>price</w:t>
            </w:r>
            <w:r w:rsidRPr="00914FD4">
              <w:rPr>
                <w:sz w:val="20"/>
                <w:szCs w:val="20"/>
                <w:lang w:val="en-US"/>
              </w:rPr>
              <w:t xml:space="preserve"> of the Underlying on the</w:t>
            </w:r>
            <w:r w:rsidR="008C5147">
              <w:rPr>
                <w:bCs/>
                <w:sz w:val="20"/>
                <w:szCs w:val="20"/>
                <w:lang w:val="en-US"/>
              </w:rPr>
              <w:t xml:space="preserve"> </w:t>
            </w:r>
            <w:r w:rsidR="00F5245E">
              <w:rPr>
                <w:b/>
                <w:bCs/>
                <w:sz w:val="20"/>
                <w:szCs w:val="20"/>
                <w:lang w:val="en-US"/>
              </w:rPr>
              <w:t>26</w:t>
            </w:r>
            <w:r w:rsidR="008C5147" w:rsidRPr="00ED1979">
              <w:rPr>
                <w:b/>
                <w:bCs/>
                <w:sz w:val="20"/>
                <w:szCs w:val="20"/>
                <w:lang w:val="en-US"/>
              </w:rPr>
              <w:t>/0</w:t>
            </w:r>
            <w:r w:rsidR="00F5245E">
              <w:rPr>
                <w:b/>
                <w:bCs/>
                <w:sz w:val="20"/>
                <w:szCs w:val="20"/>
                <w:lang w:val="en-US"/>
              </w:rPr>
              <w:t>4</w:t>
            </w:r>
            <w:r w:rsidR="008C5147" w:rsidRPr="00ED1979">
              <w:rPr>
                <w:b/>
                <w:bCs/>
                <w:sz w:val="20"/>
                <w:szCs w:val="20"/>
                <w:lang w:val="en-US"/>
              </w:rPr>
              <w:t xml:space="preserve">/19, </w:t>
            </w:r>
            <w:r w:rsidR="00F5245E">
              <w:rPr>
                <w:b/>
                <w:bCs/>
                <w:sz w:val="20"/>
                <w:szCs w:val="20"/>
                <w:lang w:val="en-US"/>
              </w:rPr>
              <w:t>29</w:t>
            </w:r>
            <w:r w:rsidR="008C5147" w:rsidRPr="00ED1979">
              <w:rPr>
                <w:b/>
                <w:bCs/>
                <w:sz w:val="20"/>
                <w:szCs w:val="20"/>
                <w:lang w:val="en-US"/>
              </w:rPr>
              <w:t>/0</w:t>
            </w:r>
            <w:r w:rsidR="00F5245E">
              <w:rPr>
                <w:b/>
                <w:bCs/>
                <w:sz w:val="20"/>
                <w:szCs w:val="20"/>
                <w:lang w:val="en-US"/>
              </w:rPr>
              <w:t>4</w:t>
            </w:r>
            <w:r w:rsidR="008C5147" w:rsidRPr="00ED1979">
              <w:rPr>
                <w:b/>
                <w:bCs/>
                <w:sz w:val="20"/>
                <w:szCs w:val="20"/>
                <w:lang w:val="en-US"/>
              </w:rPr>
              <w:t xml:space="preserve">/19, </w:t>
            </w:r>
            <w:r w:rsidR="00F5245E">
              <w:rPr>
                <w:b/>
                <w:bCs/>
                <w:sz w:val="20"/>
                <w:szCs w:val="20"/>
                <w:lang w:val="en-US"/>
              </w:rPr>
              <w:t>30</w:t>
            </w:r>
            <w:r w:rsidR="008C5147" w:rsidRPr="00ED1979">
              <w:rPr>
                <w:b/>
                <w:bCs/>
                <w:sz w:val="20"/>
                <w:szCs w:val="20"/>
                <w:lang w:val="en-US"/>
              </w:rPr>
              <w:t>/0</w:t>
            </w:r>
            <w:r w:rsidR="00F5245E">
              <w:rPr>
                <w:b/>
                <w:bCs/>
                <w:sz w:val="20"/>
                <w:szCs w:val="20"/>
                <w:lang w:val="en-US"/>
              </w:rPr>
              <w:t>4</w:t>
            </w:r>
            <w:r w:rsidR="008C5147" w:rsidRPr="00ED1979">
              <w:rPr>
                <w:b/>
                <w:bCs/>
                <w:sz w:val="20"/>
                <w:szCs w:val="20"/>
                <w:lang w:val="en-US"/>
              </w:rPr>
              <w:t>/19, 0</w:t>
            </w:r>
            <w:r w:rsidR="00F5245E">
              <w:rPr>
                <w:b/>
                <w:bCs/>
                <w:sz w:val="20"/>
                <w:szCs w:val="20"/>
                <w:lang w:val="en-US"/>
              </w:rPr>
              <w:t>2</w:t>
            </w:r>
            <w:r w:rsidR="008C5147" w:rsidRPr="00ED1979">
              <w:rPr>
                <w:b/>
                <w:bCs/>
                <w:sz w:val="20"/>
                <w:szCs w:val="20"/>
                <w:lang w:val="en-US"/>
              </w:rPr>
              <w:t>/0</w:t>
            </w:r>
            <w:r w:rsidR="00F5245E">
              <w:rPr>
                <w:b/>
                <w:bCs/>
                <w:sz w:val="20"/>
                <w:szCs w:val="20"/>
                <w:lang w:val="en-US"/>
              </w:rPr>
              <w:t>5</w:t>
            </w:r>
            <w:r w:rsidR="008C5147" w:rsidRPr="00ED1979">
              <w:rPr>
                <w:b/>
                <w:bCs/>
                <w:sz w:val="20"/>
                <w:szCs w:val="20"/>
                <w:lang w:val="en-US"/>
              </w:rPr>
              <w:t>/19</w:t>
            </w:r>
            <w:r w:rsidR="00B61D17">
              <w:rPr>
                <w:b/>
                <w:bCs/>
                <w:sz w:val="20"/>
                <w:szCs w:val="20"/>
                <w:lang w:val="en-US"/>
              </w:rPr>
              <w:t>, 03/05/19</w:t>
            </w:r>
            <w:r w:rsidRPr="00EC7496">
              <w:rPr>
                <w:bCs/>
                <w:sz w:val="20"/>
                <w:szCs w:val="20"/>
                <w:lang w:val="en-US"/>
              </w:rPr>
              <w:t xml:space="preserve"> </w:t>
            </w:r>
            <w:r w:rsidRPr="00914FD4">
              <w:rPr>
                <w:sz w:val="20"/>
                <w:szCs w:val="20"/>
                <w:lang w:val="en-US"/>
              </w:rPr>
              <w:t xml:space="preserve">(the </w:t>
            </w:r>
            <w:r w:rsidRPr="00914FD4">
              <w:rPr>
                <w:b/>
                <w:sz w:val="20"/>
                <w:szCs w:val="20"/>
                <w:lang w:val="en-US"/>
              </w:rPr>
              <w:t>“Determination Date</w:t>
            </w:r>
            <w:r>
              <w:rPr>
                <w:b/>
                <w:sz w:val="20"/>
                <w:szCs w:val="20"/>
                <w:lang w:val="en-US"/>
              </w:rPr>
              <w:t>s</w:t>
            </w:r>
            <w:r w:rsidRPr="00914FD4">
              <w:rPr>
                <w:b/>
                <w:sz w:val="20"/>
                <w:szCs w:val="20"/>
                <w:lang w:val="en-US"/>
              </w:rPr>
              <w:t>”</w:t>
            </w:r>
            <w:r w:rsidRPr="00914FD4">
              <w:rPr>
                <w:sz w:val="20"/>
                <w:szCs w:val="20"/>
                <w:lang w:val="en-US"/>
              </w:rPr>
              <w:t>)</w:t>
            </w:r>
            <w:r>
              <w:rPr>
                <w:sz w:val="20"/>
                <w:szCs w:val="20"/>
                <w:lang w:val="en-US"/>
              </w:rPr>
              <w:t>, calculated as the following formula:</w:t>
            </w:r>
          </w:p>
          <w:p w:rsidR="00FA2262" w:rsidRPr="00B532A6" w:rsidRDefault="00FA2262" w:rsidP="00FA2262">
            <w:pPr>
              <w:jc w:val="both"/>
              <w:cnfStyle w:val="000000010000" w:firstRow="0" w:lastRow="0" w:firstColumn="0" w:lastColumn="0" w:oddVBand="0" w:evenVBand="0" w:oddHBand="0" w:evenHBand="1" w:firstRowFirstColumn="0" w:firstRowLastColumn="0" w:lastRowFirstColumn="0" w:lastRowLastColumn="0"/>
              <w:rPr>
                <w:sz w:val="20"/>
                <w:szCs w:val="20"/>
                <w:lang w:val="en-US"/>
              </w:rPr>
            </w:pPr>
            <m:oMathPara>
              <m:oMathParaPr>
                <m:jc m:val="left"/>
              </m:oMathParaPr>
              <m:oMath>
                <m:r>
                  <m:rPr>
                    <m:sty m:val="bi"/>
                  </m:rPr>
                  <w:rPr>
                    <w:rFonts w:ascii="Cambria Math" w:hAnsi="Cambria Math"/>
                    <w:sz w:val="20"/>
                  </w:rPr>
                  <m:t>IRV</m:t>
                </m:r>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x</m:t>
                    </m:r>
                  </m:den>
                </m:f>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t=1</m:t>
                    </m:r>
                  </m:sub>
                  <m:sup>
                    <m:r>
                      <w:rPr>
                        <w:rFonts w:ascii="Cambria Math" w:hAnsi="Cambria Math"/>
                        <w:sz w:val="20"/>
                      </w:rPr>
                      <m:t>x</m:t>
                    </m:r>
                  </m:sup>
                  <m:e>
                    <m:sSub>
                      <m:sSubPr>
                        <m:ctrlPr>
                          <w:rPr>
                            <w:rFonts w:ascii="Cambria Math" w:hAnsi="Cambria Math"/>
                            <w:i/>
                            <w:sz w:val="20"/>
                          </w:rPr>
                        </m:ctrlPr>
                      </m:sSubPr>
                      <m:e>
                        <m:r>
                          <w:rPr>
                            <w:rFonts w:ascii="Cambria Math" w:hAnsi="Cambria Math"/>
                            <w:sz w:val="20"/>
                          </w:rPr>
                          <m:t>Underlying</m:t>
                        </m:r>
                      </m:e>
                      <m:sub>
                        <m:r>
                          <w:rPr>
                            <w:rFonts w:ascii="Cambria Math" w:hAnsi="Cambria Math"/>
                            <w:sz w:val="20"/>
                          </w:rPr>
                          <m:t>t</m:t>
                        </m:r>
                      </m:sub>
                    </m:sSub>
                  </m:e>
                </m:nary>
              </m:oMath>
            </m:oMathPara>
          </w:p>
          <w:p w:rsidR="00FA2262" w:rsidRDefault="00FA2262" w:rsidP="00FA2262">
            <w:pPr>
              <w:jc w:val="both"/>
              <w:cnfStyle w:val="000000010000" w:firstRow="0" w:lastRow="0" w:firstColumn="0" w:lastColumn="0" w:oddVBand="0" w:evenVBand="0" w:oddHBand="0" w:evenHBand="1" w:firstRowFirstColumn="0" w:firstRowLastColumn="0" w:lastRowFirstColumn="0" w:lastRowLastColumn="0"/>
              <w:rPr>
                <w:sz w:val="20"/>
                <w:szCs w:val="20"/>
                <w:lang w:val="en-US"/>
              </w:rPr>
            </w:pPr>
          </w:p>
          <w:p w:rsidR="00FA2262" w:rsidRDefault="00FA2262" w:rsidP="00FA2262">
            <w:pPr>
              <w:pStyle w:val="Body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Where</w:t>
            </w:r>
          </w:p>
          <w:p w:rsidR="00FA2262" w:rsidRDefault="00FA2262" w:rsidP="00FA2262">
            <w:pPr>
              <w:pStyle w:val="Body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 xml:space="preserve">" is the number of Determination Dates specified as such in the Final Terms </w:t>
            </w:r>
            <w:r>
              <w:rPr>
                <w:rFonts w:ascii="Times New Roman" w:hAnsi="Times New Roman" w:cs="Times New Roman"/>
                <w:color w:val="000000"/>
                <w:sz w:val="20"/>
                <w:szCs w:val="20"/>
              </w:rPr>
              <w:t>(</w:t>
            </w:r>
            <w:r w:rsidRPr="00CB3CD5">
              <w:rPr>
                <w:rFonts w:ascii="Times New Roman" w:hAnsi="Times New Roman" w:cs="Times New Roman"/>
                <w:i/>
                <w:color w:val="000000"/>
                <w:sz w:val="20"/>
                <w:szCs w:val="20"/>
              </w:rPr>
              <w:t>x</w:t>
            </w:r>
            <w:r>
              <w:rPr>
                <w:rFonts w:ascii="Times New Roman" w:hAnsi="Times New Roman" w:cs="Times New Roman"/>
                <w:color w:val="000000"/>
                <w:sz w:val="20"/>
                <w:szCs w:val="20"/>
              </w:rPr>
              <w:t>=</w:t>
            </w:r>
            <w:r w:rsidR="004F4EF9">
              <w:rPr>
                <w:rFonts w:ascii="Times New Roman" w:hAnsi="Times New Roman" w:cs="Times New Roman"/>
                <w:color w:val="000000"/>
                <w:sz w:val="20"/>
                <w:szCs w:val="20"/>
              </w:rPr>
              <w:t>5</w:t>
            </w:r>
            <w:r>
              <w:rPr>
                <w:rFonts w:ascii="Times New Roman" w:hAnsi="Times New Roman" w:cs="Times New Roman"/>
                <w:color w:val="000000"/>
                <w:sz w:val="20"/>
                <w:szCs w:val="20"/>
              </w:rPr>
              <w:t>)</w:t>
            </w:r>
            <w:r>
              <w:rPr>
                <w:rFonts w:ascii="Times New Roman" w:hAnsi="Times New Roman" w:cs="Times New Roman"/>
                <w:sz w:val="20"/>
                <w:szCs w:val="20"/>
              </w:rPr>
              <w:t>,</w:t>
            </w:r>
          </w:p>
          <w:p w:rsidR="00FA2262" w:rsidRPr="00914FD4" w:rsidRDefault="00E60C5A" w:rsidP="00FA2262">
            <w:pPr>
              <w:pStyle w:val="Body1"/>
              <w:cnfStyle w:val="000000010000" w:firstRow="0" w:lastRow="0" w:firstColumn="0" w:lastColumn="0" w:oddVBand="0" w:evenVBand="0" w:oddHBand="0" w:evenHBand="1" w:firstRowFirstColumn="0" w:firstRowLastColumn="0" w:lastRowFirstColumn="0" w:lastRowLastColumn="0"/>
              <w:rPr>
                <w:sz w:val="20"/>
                <w:szCs w:val="20"/>
              </w:rPr>
            </w:pPr>
            <m:oMath>
              <m:sSub>
                <m:sSubPr>
                  <m:ctrlPr>
                    <w:rPr>
                      <w:rFonts w:ascii="Cambria Math" w:hAnsi="Cambria Math"/>
                      <w:b/>
                      <w:i/>
                      <w:sz w:val="20"/>
                    </w:rPr>
                  </m:ctrlPr>
                </m:sSubPr>
                <m:e>
                  <m:r>
                    <m:rPr>
                      <m:sty m:val="bi"/>
                    </m:rPr>
                    <w:rPr>
                      <w:rFonts w:ascii="Cambria Math" w:hAnsi="Cambria Math"/>
                      <w:sz w:val="20"/>
                    </w:rPr>
                    <m:t>"Underlying</m:t>
                  </m:r>
                </m:e>
                <m:sub>
                  <m:r>
                    <m:rPr>
                      <m:sty m:val="bi"/>
                    </m:rPr>
                    <w:rPr>
                      <w:rFonts w:ascii="Cambria Math" w:hAnsi="Cambria Math"/>
                      <w:sz w:val="20"/>
                    </w:rPr>
                    <m:t>t</m:t>
                  </m:r>
                </m:sub>
              </m:sSub>
            </m:oMath>
            <w:r w:rsidR="00FA2262">
              <w:rPr>
                <w:rFonts w:ascii="Times New Roman" w:hAnsi="Times New Roman" w:cs="Times New Roman"/>
                <w:sz w:val="20"/>
                <w:szCs w:val="20"/>
              </w:rPr>
              <w:t>"</w:t>
            </w:r>
            <w:r w:rsidR="00FA2262">
              <w:rPr>
                <w:rFonts w:ascii="Times New Roman" w:hAnsi="Times New Roman" w:cs="Times New Roman"/>
                <w:color w:val="000000"/>
                <w:sz w:val="20"/>
                <w:szCs w:val="20"/>
              </w:rPr>
              <w:t xml:space="preserve"> is </w:t>
            </w:r>
            <w:r w:rsidR="00FA2262" w:rsidRPr="00ED1979">
              <w:rPr>
                <w:rFonts w:ascii="Times New Roman" w:hAnsi="Times New Roman" w:cs="Times New Roman"/>
                <w:sz w:val="20"/>
                <w:szCs w:val="20"/>
              </w:rPr>
              <w:t>the closing price</w:t>
            </w:r>
            <w:r w:rsidR="00FA2262">
              <w:rPr>
                <w:rFonts w:ascii="Times New Roman" w:hAnsi="Times New Roman" w:cs="Times New Roman"/>
                <w:color w:val="000000"/>
                <w:sz w:val="20"/>
                <w:szCs w:val="20"/>
              </w:rPr>
              <w:t xml:space="preserve"> of the Underlying on the Determination Date "</w:t>
            </w:r>
            <w:r w:rsidR="00FA2262">
              <w:rPr>
                <w:rFonts w:ascii="Times New Roman" w:hAnsi="Times New Roman" w:cs="Times New Roman"/>
                <w:i/>
                <w:noProof/>
                <w:color w:val="000000"/>
                <w:sz w:val="20"/>
                <w:szCs w:val="20"/>
              </w:rPr>
              <w:t>t</w:t>
            </w:r>
            <w:r w:rsidR="00FA2262">
              <w:rPr>
                <w:rFonts w:ascii="Times New Roman" w:hAnsi="Times New Roman" w:cs="Times New Roman"/>
                <w:color w:val="000000"/>
                <w:sz w:val="20"/>
                <w:szCs w:val="20"/>
              </w:rPr>
              <w:t xml:space="preserve">" </w:t>
            </w:r>
            <w:r w:rsidR="00FA2262">
              <w:rPr>
                <w:color w:val="000000"/>
                <w:sz w:val="20"/>
                <w:szCs w:val="20"/>
              </w:rPr>
              <w:t>(</w:t>
            </w:r>
            <w:r w:rsidR="00FA2262" w:rsidRPr="00303627">
              <w:rPr>
                <w:i/>
                <w:color w:val="000000"/>
                <w:sz w:val="20"/>
                <w:szCs w:val="20"/>
              </w:rPr>
              <w:t>t</w:t>
            </w:r>
            <w:r w:rsidR="00FA2262">
              <w:rPr>
                <w:color w:val="000000"/>
                <w:sz w:val="20"/>
                <w:szCs w:val="20"/>
              </w:rPr>
              <w:t>=</w:t>
            </w:r>
            <w:r w:rsidR="004F4EF9">
              <w:rPr>
                <w:color w:val="000000"/>
                <w:sz w:val="20"/>
                <w:szCs w:val="20"/>
              </w:rPr>
              <w:t>5</w:t>
            </w:r>
            <w:r w:rsidR="00FA2262">
              <w:rPr>
                <w:color w:val="000000"/>
                <w:sz w:val="20"/>
                <w:szCs w:val="20"/>
              </w:rPr>
              <w:t>)</w:t>
            </w:r>
            <w:r w:rsidR="00FA2262">
              <w:rPr>
                <w:rFonts w:ascii="Times New Roman" w:hAnsi="Times New Roman" w:cs="Times New Roman"/>
                <w:color w:val="000000"/>
                <w:sz w:val="20"/>
                <w:szCs w:val="20"/>
              </w:rPr>
              <w:t>.</w:t>
            </w:r>
          </w:p>
        </w:tc>
      </w:tr>
      <w:tr w:rsidR="00FA2262" w:rsidRPr="003D5F1A" w:rsidTr="003F2F0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FA2262" w:rsidRPr="00914FD4" w:rsidRDefault="00FA2262" w:rsidP="00FA2262">
            <w:pPr>
              <w:jc w:val="both"/>
              <w:rPr>
                <w:b/>
                <w:iCs/>
                <w:sz w:val="20"/>
                <w:szCs w:val="20"/>
                <w:lang w:val="en-US"/>
              </w:rPr>
            </w:pPr>
            <w:r w:rsidRPr="00914FD4">
              <w:rPr>
                <w:b/>
                <w:iCs/>
                <w:sz w:val="20"/>
                <w:szCs w:val="20"/>
                <w:lang w:val="en-US"/>
              </w:rPr>
              <w:t>Final Reference Value (FRV)</w:t>
            </w:r>
          </w:p>
        </w:tc>
        <w:tc>
          <w:tcPr>
            <w:tcW w:w="6853" w:type="dxa"/>
          </w:tcPr>
          <w:p w:rsidR="00FA2262" w:rsidRDefault="00FA2262" w:rsidP="00FA2262">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914FD4">
              <w:rPr>
                <w:sz w:val="20"/>
                <w:szCs w:val="20"/>
                <w:lang w:val="en-US"/>
              </w:rPr>
              <w:t xml:space="preserve">Equal to the </w:t>
            </w:r>
            <w:r w:rsidRPr="00CB3CD5">
              <w:rPr>
                <w:sz w:val="20"/>
                <w:szCs w:val="20"/>
                <w:lang w:val="en-US"/>
              </w:rPr>
              <w:t xml:space="preserve">arithmetic mean of </w:t>
            </w:r>
            <w:r w:rsidRPr="00914FD4">
              <w:rPr>
                <w:sz w:val="20"/>
                <w:szCs w:val="20"/>
                <w:lang w:val="en-US"/>
              </w:rPr>
              <w:t xml:space="preserve">the </w:t>
            </w:r>
            <w:r>
              <w:rPr>
                <w:sz w:val="20"/>
                <w:szCs w:val="20"/>
                <w:lang w:val="en-US"/>
              </w:rPr>
              <w:t>c</w:t>
            </w:r>
            <w:r w:rsidRPr="00914FD4">
              <w:rPr>
                <w:sz w:val="20"/>
                <w:szCs w:val="20"/>
                <w:lang w:val="en-US"/>
              </w:rPr>
              <w:t xml:space="preserve">losing </w:t>
            </w:r>
            <w:r>
              <w:rPr>
                <w:sz w:val="20"/>
                <w:szCs w:val="20"/>
                <w:lang w:val="en-US"/>
              </w:rPr>
              <w:t>price</w:t>
            </w:r>
            <w:r w:rsidRPr="00914FD4" w:rsidDel="00D46FB5">
              <w:rPr>
                <w:sz w:val="20"/>
                <w:szCs w:val="20"/>
                <w:lang w:val="en-US"/>
              </w:rPr>
              <w:t xml:space="preserve"> </w:t>
            </w:r>
            <w:r w:rsidRPr="00914FD4">
              <w:rPr>
                <w:sz w:val="20"/>
                <w:szCs w:val="20"/>
                <w:lang w:val="en-US"/>
              </w:rPr>
              <w:t xml:space="preserve">of the Underlying on </w:t>
            </w:r>
            <w:r>
              <w:rPr>
                <w:color w:val="000000"/>
                <w:sz w:val="20"/>
                <w:szCs w:val="20"/>
                <w:lang w:val="en-US"/>
              </w:rPr>
              <w:t xml:space="preserve">the </w:t>
            </w:r>
            <w:r w:rsidR="008C5147" w:rsidRPr="00ED1979">
              <w:rPr>
                <w:b/>
                <w:bCs/>
                <w:sz w:val="20"/>
                <w:szCs w:val="20"/>
                <w:lang w:val="en-US"/>
              </w:rPr>
              <w:t>2</w:t>
            </w:r>
            <w:r w:rsidR="0018413F">
              <w:rPr>
                <w:b/>
                <w:bCs/>
                <w:sz w:val="20"/>
                <w:szCs w:val="20"/>
                <w:lang w:val="en-US"/>
              </w:rPr>
              <w:t>2</w:t>
            </w:r>
            <w:r w:rsidR="008C5147" w:rsidRPr="00ED1979">
              <w:rPr>
                <w:b/>
                <w:bCs/>
                <w:sz w:val="20"/>
                <w:szCs w:val="20"/>
                <w:lang w:val="en-US"/>
              </w:rPr>
              <w:t>/0</w:t>
            </w:r>
            <w:r w:rsidR="00F5245E">
              <w:rPr>
                <w:b/>
                <w:bCs/>
                <w:sz w:val="20"/>
                <w:szCs w:val="20"/>
                <w:lang w:val="en-US"/>
              </w:rPr>
              <w:t>4</w:t>
            </w:r>
            <w:r w:rsidR="0018413F">
              <w:rPr>
                <w:b/>
                <w:bCs/>
                <w:sz w:val="20"/>
                <w:szCs w:val="20"/>
                <w:lang w:val="en-US"/>
              </w:rPr>
              <w:t>/22</w:t>
            </w:r>
            <w:r w:rsidR="008C5147" w:rsidRPr="00ED1979">
              <w:rPr>
                <w:b/>
                <w:bCs/>
                <w:sz w:val="20"/>
                <w:szCs w:val="20"/>
                <w:lang w:val="en-US"/>
              </w:rPr>
              <w:t>, 2</w:t>
            </w:r>
            <w:r w:rsidR="00F5245E">
              <w:rPr>
                <w:b/>
                <w:bCs/>
                <w:sz w:val="20"/>
                <w:szCs w:val="20"/>
                <w:lang w:val="en-US"/>
              </w:rPr>
              <w:t>1</w:t>
            </w:r>
            <w:r w:rsidR="008C5147" w:rsidRPr="00ED1979">
              <w:rPr>
                <w:b/>
                <w:bCs/>
                <w:sz w:val="20"/>
                <w:szCs w:val="20"/>
                <w:lang w:val="en-US"/>
              </w:rPr>
              <w:t>/0</w:t>
            </w:r>
            <w:r w:rsidR="00F5245E">
              <w:rPr>
                <w:b/>
                <w:bCs/>
                <w:sz w:val="20"/>
                <w:szCs w:val="20"/>
                <w:lang w:val="en-US"/>
              </w:rPr>
              <w:t>4</w:t>
            </w:r>
            <w:r w:rsidR="0018413F">
              <w:rPr>
                <w:b/>
                <w:bCs/>
                <w:sz w:val="20"/>
                <w:szCs w:val="20"/>
                <w:lang w:val="en-US"/>
              </w:rPr>
              <w:t>/22</w:t>
            </w:r>
            <w:r w:rsidR="008C5147" w:rsidRPr="00ED1979">
              <w:rPr>
                <w:b/>
                <w:bCs/>
                <w:sz w:val="20"/>
                <w:szCs w:val="20"/>
                <w:lang w:val="en-US"/>
              </w:rPr>
              <w:t>, 2</w:t>
            </w:r>
            <w:r w:rsidR="0018413F">
              <w:rPr>
                <w:b/>
                <w:bCs/>
                <w:sz w:val="20"/>
                <w:szCs w:val="20"/>
                <w:lang w:val="en-US"/>
              </w:rPr>
              <w:t>5</w:t>
            </w:r>
            <w:r w:rsidR="008C5147" w:rsidRPr="00ED1979">
              <w:rPr>
                <w:b/>
                <w:bCs/>
                <w:sz w:val="20"/>
                <w:szCs w:val="20"/>
                <w:lang w:val="en-US"/>
              </w:rPr>
              <w:t>/0</w:t>
            </w:r>
            <w:r w:rsidR="00F5245E">
              <w:rPr>
                <w:b/>
                <w:bCs/>
                <w:sz w:val="20"/>
                <w:szCs w:val="20"/>
                <w:lang w:val="en-US"/>
              </w:rPr>
              <w:t>4</w:t>
            </w:r>
            <w:r w:rsidR="0018413F">
              <w:rPr>
                <w:b/>
                <w:bCs/>
                <w:sz w:val="20"/>
                <w:szCs w:val="20"/>
                <w:lang w:val="en-US"/>
              </w:rPr>
              <w:t>/22</w:t>
            </w:r>
            <w:r w:rsidR="008C5147" w:rsidRPr="00ED1979">
              <w:rPr>
                <w:b/>
                <w:bCs/>
                <w:sz w:val="20"/>
                <w:szCs w:val="20"/>
                <w:lang w:val="en-US"/>
              </w:rPr>
              <w:t>, 2</w:t>
            </w:r>
            <w:r w:rsidR="00841569">
              <w:rPr>
                <w:b/>
                <w:bCs/>
                <w:sz w:val="20"/>
                <w:szCs w:val="20"/>
                <w:lang w:val="en-US"/>
              </w:rPr>
              <w:t>6</w:t>
            </w:r>
            <w:r w:rsidR="008C5147" w:rsidRPr="00ED1979">
              <w:rPr>
                <w:b/>
                <w:bCs/>
                <w:sz w:val="20"/>
                <w:szCs w:val="20"/>
                <w:lang w:val="en-US"/>
              </w:rPr>
              <w:t>/0</w:t>
            </w:r>
            <w:r w:rsidR="00F5245E">
              <w:rPr>
                <w:b/>
                <w:bCs/>
                <w:sz w:val="20"/>
                <w:szCs w:val="20"/>
                <w:lang w:val="en-US"/>
              </w:rPr>
              <w:t>4</w:t>
            </w:r>
            <w:r w:rsidR="0018413F">
              <w:rPr>
                <w:b/>
                <w:bCs/>
                <w:sz w:val="20"/>
                <w:szCs w:val="20"/>
                <w:lang w:val="en-US"/>
              </w:rPr>
              <w:t>/22</w:t>
            </w:r>
            <w:r w:rsidR="008C5147" w:rsidRPr="00ED1979">
              <w:rPr>
                <w:b/>
                <w:bCs/>
                <w:sz w:val="20"/>
                <w:szCs w:val="20"/>
                <w:lang w:val="en-US"/>
              </w:rPr>
              <w:t>, 2</w:t>
            </w:r>
            <w:r w:rsidR="00841569">
              <w:rPr>
                <w:b/>
                <w:bCs/>
                <w:sz w:val="20"/>
                <w:szCs w:val="20"/>
                <w:lang w:val="en-US"/>
              </w:rPr>
              <w:t>7</w:t>
            </w:r>
            <w:r w:rsidR="008C5147" w:rsidRPr="00ED1979">
              <w:rPr>
                <w:b/>
                <w:bCs/>
                <w:sz w:val="20"/>
                <w:szCs w:val="20"/>
                <w:lang w:val="en-US"/>
              </w:rPr>
              <w:t>/0</w:t>
            </w:r>
            <w:r w:rsidR="00F5245E">
              <w:rPr>
                <w:b/>
                <w:bCs/>
                <w:sz w:val="20"/>
                <w:szCs w:val="20"/>
                <w:lang w:val="en-US"/>
              </w:rPr>
              <w:t>4</w:t>
            </w:r>
            <w:r w:rsidR="0018413F">
              <w:rPr>
                <w:b/>
                <w:bCs/>
                <w:sz w:val="20"/>
                <w:szCs w:val="20"/>
                <w:lang w:val="en-US"/>
              </w:rPr>
              <w:t>/22</w:t>
            </w:r>
            <w:r w:rsidR="00B61D17">
              <w:rPr>
                <w:b/>
                <w:bCs/>
                <w:sz w:val="20"/>
                <w:szCs w:val="20"/>
                <w:lang w:val="en-US"/>
              </w:rPr>
              <w:t>, 28/04/22</w:t>
            </w:r>
            <w:r w:rsidRPr="000C0766">
              <w:rPr>
                <w:b/>
                <w:color w:val="000000"/>
                <w:sz w:val="20"/>
                <w:szCs w:val="20"/>
                <w:lang w:val="en-US"/>
              </w:rPr>
              <w:t xml:space="preserve"> </w:t>
            </w:r>
            <w:r w:rsidRPr="00914FD4">
              <w:rPr>
                <w:sz w:val="20"/>
                <w:szCs w:val="20"/>
                <w:lang w:val="en-US"/>
              </w:rPr>
              <w:t xml:space="preserve">(the </w:t>
            </w:r>
            <w:r w:rsidRPr="00914FD4">
              <w:rPr>
                <w:b/>
                <w:sz w:val="20"/>
                <w:szCs w:val="20"/>
                <w:lang w:val="en-US"/>
              </w:rPr>
              <w:t>“Valuation Date”</w:t>
            </w:r>
            <w:r w:rsidRPr="00914FD4">
              <w:rPr>
                <w:sz w:val="20"/>
                <w:szCs w:val="20"/>
                <w:lang w:val="en-US"/>
              </w:rPr>
              <w:t>)</w:t>
            </w:r>
            <w:r>
              <w:rPr>
                <w:sz w:val="20"/>
                <w:szCs w:val="20"/>
                <w:lang w:val="en-US"/>
              </w:rPr>
              <w:t>, calculated as the following formula:</w:t>
            </w:r>
          </w:p>
          <w:p w:rsidR="00FA2262" w:rsidRDefault="00FA2262" w:rsidP="00FA2262">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p w:rsidR="00FA2262" w:rsidRPr="00B532A6" w:rsidRDefault="00FA2262" w:rsidP="00FA2262">
            <w:pPr>
              <w:jc w:val="both"/>
              <w:cnfStyle w:val="000000100000" w:firstRow="0" w:lastRow="0" w:firstColumn="0" w:lastColumn="0" w:oddVBand="0" w:evenVBand="0" w:oddHBand="1" w:evenHBand="0" w:firstRowFirstColumn="0" w:firstRowLastColumn="0" w:lastRowFirstColumn="0" w:lastRowLastColumn="0"/>
              <w:rPr>
                <w:sz w:val="20"/>
              </w:rPr>
            </w:pPr>
            <m:oMathPara>
              <m:oMathParaPr>
                <m:jc m:val="left"/>
              </m:oMathParaPr>
              <m:oMath>
                <m:r>
                  <m:rPr>
                    <m:sty m:val="bi"/>
                  </m:rPr>
                  <w:rPr>
                    <w:rFonts w:ascii="Cambria Math" w:hAnsi="Cambria Math"/>
                    <w:sz w:val="20"/>
                  </w:rPr>
                  <m:t>FRV</m:t>
                </m:r>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x</m:t>
                    </m:r>
                  </m:den>
                </m:f>
                <m:r>
                  <w:rPr>
                    <w:rFonts w:ascii="Cambria Math" w:hAnsi="Cambria Math" w:hint="eastAsia"/>
                    <w:sz w:val="20"/>
                  </w:rPr>
                  <m:t>×</m:t>
                </m:r>
                <m:nary>
                  <m:naryPr>
                    <m:chr m:val="∑"/>
                    <m:limLoc m:val="undOvr"/>
                    <m:ctrlPr>
                      <w:rPr>
                        <w:rFonts w:ascii="Cambria Math" w:hAnsi="Cambria Math"/>
                        <w:i/>
                        <w:sz w:val="20"/>
                      </w:rPr>
                    </m:ctrlPr>
                  </m:naryPr>
                  <m:sub>
                    <m:r>
                      <w:rPr>
                        <w:rFonts w:ascii="Cambria Math" w:hAnsi="Cambria Math"/>
                        <w:sz w:val="20"/>
                      </w:rPr>
                      <m:t>j=1</m:t>
                    </m:r>
                  </m:sub>
                  <m:sup>
                    <m:r>
                      <w:rPr>
                        <w:rFonts w:ascii="Cambria Math" w:hAnsi="Cambria Math"/>
                        <w:sz w:val="20"/>
                      </w:rPr>
                      <m:t>x</m:t>
                    </m:r>
                  </m:sup>
                  <m:e>
                    <m:sSub>
                      <m:sSubPr>
                        <m:ctrlPr>
                          <w:rPr>
                            <w:rFonts w:ascii="Cambria Math" w:hAnsi="Cambria Math"/>
                            <w:i/>
                            <w:sz w:val="20"/>
                          </w:rPr>
                        </m:ctrlPr>
                      </m:sSubPr>
                      <m:e>
                        <m:r>
                          <w:rPr>
                            <w:rFonts w:ascii="Cambria Math" w:hAnsi="Cambria Math"/>
                            <w:sz w:val="20"/>
                          </w:rPr>
                          <m:t>Underlying</m:t>
                        </m:r>
                      </m:e>
                      <m:sub>
                        <m:r>
                          <w:rPr>
                            <w:rFonts w:ascii="Cambria Math" w:hAnsi="Cambria Math"/>
                            <w:sz w:val="20"/>
                          </w:rPr>
                          <m:t>j</m:t>
                        </m:r>
                      </m:sub>
                    </m:sSub>
                  </m:e>
                </m:nary>
              </m:oMath>
            </m:oMathPara>
          </w:p>
          <w:p w:rsidR="00FA2262" w:rsidRDefault="00FA2262" w:rsidP="00FA2262">
            <w:pPr>
              <w:jc w:val="both"/>
              <w:cnfStyle w:val="000000100000" w:firstRow="0" w:lastRow="0" w:firstColumn="0" w:lastColumn="0" w:oddVBand="0" w:evenVBand="0" w:oddHBand="1" w:evenHBand="0" w:firstRowFirstColumn="0" w:firstRowLastColumn="0" w:lastRowFirstColumn="0" w:lastRowLastColumn="0"/>
              <w:rPr>
                <w:sz w:val="20"/>
              </w:rPr>
            </w:pPr>
          </w:p>
          <w:p w:rsidR="00FA2262" w:rsidRDefault="00FA2262" w:rsidP="00FA2262">
            <w:pPr>
              <w:pStyle w:val="Body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Where</w:t>
            </w:r>
          </w:p>
          <w:p w:rsidR="00FA2262" w:rsidRDefault="00FA2262" w:rsidP="00FA2262">
            <w:pPr>
              <w:pStyle w:val="Body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 xml:space="preserve">" is the number of Valuation Dates specified as such in the relevant Final Terms </w:t>
            </w:r>
            <w:r>
              <w:rPr>
                <w:rFonts w:ascii="Times New Roman" w:hAnsi="Times New Roman" w:cs="Times New Roman"/>
                <w:color w:val="000000"/>
                <w:sz w:val="20"/>
                <w:szCs w:val="20"/>
              </w:rPr>
              <w:t>(</w:t>
            </w:r>
            <w:r w:rsidRPr="00CB3CD5">
              <w:rPr>
                <w:rFonts w:ascii="Times New Roman" w:hAnsi="Times New Roman" w:cs="Times New Roman"/>
                <w:i/>
                <w:color w:val="000000"/>
                <w:sz w:val="20"/>
                <w:szCs w:val="20"/>
              </w:rPr>
              <w:t>x</w:t>
            </w:r>
            <w:r>
              <w:rPr>
                <w:rFonts w:ascii="Times New Roman" w:hAnsi="Times New Roman" w:cs="Times New Roman"/>
                <w:color w:val="000000"/>
                <w:sz w:val="20"/>
                <w:szCs w:val="20"/>
              </w:rPr>
              <w:t>=</w:t>
            </w:r>
            <w:r w:rsidR="004F4EF9">
              <w:rPr>
                <w:rFonts w:ascii="Times New Roman" w:hAnsi="Times New Roman" w:cs="Times New Roman"/>
                <w:color w:val="000000"/>
                <w:sz w:val="20"/>
                <w:szCs w:val="20"/>
              </w:rPr>
              <w:t>5</w:t>
            </w:r>
            <w:r>
              <w:rPr>
                <w:rFonts w:ascii="Times New Roman" w:hAnsi="Times New Roman" w:cs="Times New Roman"/>
                <w:color w:val="000000"/>
                <w:sz w:val="20"/>
                <w:szCs w:val="20"/>
              </w:rPr>
              <w:t>)</w:t>
            </w:r>
            <w:r>
              <w:rPr>
                <w:rFonts w:ascii="Times New Roman" w:hAnsi="Times New Roman" w:cs="Times New Roman"/>
                <w:sz w:val="20"/>
                <w:szCs w:val="20"/>
              </w:rPr>
              <w:t>,</w:t>
            </w:r>
          </w:p>
          <w:p w:rsidR="00FA2262" w:rsidRPr="003E2890" w:rsidRDefault="00FA2262" w:rsidP="00FA2262">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890">
              <w:rPr>
                <w:color w:val="000000"/>
                <w:sz w:val="20"/>
                <w:szCs w:val="20"/>
                <w:lang w:val="en-US"/>
              </w:rPr>
              <w:t>"</w:t>
            </w:r>
            <w:r w:rsidRPr="003E2890">
              <w:rPr>
                <w:i/>
                <w:color w:val="000000"/>
                <w:sz w:val="20"/>
                <w:szCs w:val="20"/>
                <w:lang w:val="en-US"/>
              </w:rPr>
              <w:t xml:space="preserve">Underlying </w:t>
            </w:r>
            <w:r w:rsidRPr="003E2890">
              <w:rPr>
                <w:i/>
                <w:color w:val="000000"/>
                <w:sz w:val="20"/>
                <w:szCs w:val="20"/>
                <w:vertAlign w:val="subscript"/>
                <w:lang w:val="en-US"/>
              </w:rPr>
              <w:t>j</w:t>
            </w:r>
            <w:r w:rsidRPr="003E2890">
              <w:rPr>
                <w:color w:val="000000"/>
                <w:sz w:val="20"/>
                <w:szCs w:val="20"/>
                <w:lang w:val="en-US"/>
              </w:rPr>
              <w:t xml:space="preserve">" is the </w:t>
            </w:r>
            <w:r>
              <w:rPr>
                <w:sz w:val="20"/>
                <w:szCs w:val="20"/>
                <w:lang w:val="en-US"/>
              </w:rPr>
              <w:t>c</w:t>
            </w:r>
            <w:r w:rsidRPr="00914FD4">
              <w:rPr>
                <w:sz w:val="20"/>
                <w:szCs w:val="20"/>
                <w:lang w:val="en-US"/>
              </w:rPr>
              <w:t xml:space="preserve">losing </w:t>
            </w:r>
            <w:r>
              <w:rPr>
                <w:sz w:val="20"/>
                <w:szCs w:val="20"/>
                <w:lang w:val="en-US"/>
              </w:rPr>
              <w:t>price</w:t>
            </w:r>
            <w:r w:rsidDel="00D46FB5">
              <w:rPr>
                <w:color w:val="000000"/>
                <w:sz w:val="20"/>
                <w:szCs w:val="20"/>
                <w:lang w:val="en-US"/>
              </w:rPr>
              <w:t xml:space="preserve"> </w:t>
            </w:r>
            <w:r w:rsidRPr="003E2890">
              <w:rPr>
                <w:color w:val="000000"/>
                <w:sz w:val="20"/>
                <w:szCs w:val="20"/>
                <w:lang w:val="en-US"/>
              </w:rPr>
              <w:t>of the Underlying on the Valuation Date "j"</w:t>
            </w:r>
            <w:r>
              <w:rPr>
                <w:color w:val="000000"/>
                <w:sz w:val="20"/>
                <w:szCs w:val="20"/>
                <w:lang w:val="en-US"/>
              </w:rPr>
              <w:t xml:space="preserve"> </w:t>
            </w:r>
            <w:r w:rsidRPr="00A755AB">
              <w:rPr>
                <w:color w:val="000000"/>
                <w:sz w:val="20"/>
                <w:szCs w:val="20"/>
                <w:lang w:val="en-US"/>
              </w:rPr>
              <w:t>(</w:t>
            </w:r>
            <w:r w:rsidRPr="00303627">
              <w:rPr>
                <w:i/>
                <w:color w:val="000000"/>
                <w:sz w:val="20"/>
                <w:szCs w:val="20"/>
                <w:lang w:val="en-US"/>
              </w:rPr>
              <w:t>j</w:t>
            </w:r>
            <w:r>
              <w:rPr>
                <w:color w:val="000000"/>
                <w:sz w:val="20"/>
                <w:szCs w:val="20"/>
                <w:lang w:val="en-US"/>
              </w:rPr>
              <w:t>=</w:t>
            </w:r>
            <w:r w:rsidR="004F4EF9">
              <w:rPr>
                <w:color w:val="000000"/>
                <w:sz w:val="20"/>
                <w:szCs w:val="20"/>
                <w:lang w:val="en-US"/>
              </w:rPr>
              <w:t>5</w:t>
            </w:r>
            <w:r w:rsidRPr="00A755AB">
              <w:rPr>
                <w:color w:val="000000"/>
                <w:sz w:val="20"/>
                <w:szCs w:val="20"/>
                <w:lang w:val="en-US"/>
              </w:rPr>
              <w:t>)</w:t>
            </w:r>
            <w:r>
              <w:rPr>
                <w:color w:val="000000"/>
                <w:sz w:val="20"/>
                <w:szCs w:val="20"/>
                <w:lang w:val="en-US"/>
              </w:rPr>
              <w:t>.</w:t>
            </w:r>
          </w:p>
          <w:p w:rsidR="00FA2262" w:rsidRPr="00B532A6" w:rsidRDefault="00FA2262" w:rsidP="00FA2262">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FA2262" w:rsidRPr="003D5F1A" w:rsidTr="003E2890">
        <w:trPr>
          <w:cnfStyle w:val="000000010000" w:firstRow="0" w:lastRow="0" w:firstColumn="0" w:lastColumn="0" w:oddVBand="0" w:evenVBand="0" w:oddHBand="0" w:evenHBand="1" w:firstRowFirstColumn="0" w:firstRowLastColumn="0" w:lastRowFirstColumn="0" w:lastRowLastColumn="0"/>
          <w:trHeight w:val="4623"/>
        </w:trPr>
        <w:tc>
          <w:tcPr>
            <w:cnfStyle w:val="001000000000" w:firstRow="0" w:lastRow="0" w:firstColumn="1" w:lastColumn="0" w:oddVBand="0" w:evenVBand="0" w:oddHBand="0" w:evenHBand="0" w:firstRowFirstColumn="0" w:firstRowLastColumn="0" w:lastRowFirstColumn="0" w:lastRowLastColumn="0"/>
            <w:tcW w:w="3335" w:type="dxa"/>
          </w:tcPr>
          <w:p w:rsidR="00FA2262" w:rsidRPr="00914FD4" w:rsidRDefault="00FA2262" w:rsidP="00FA2262">
            <w:pPr>
              <w:rPr>
                <w:b/>
                <w:iCs/>
                <w:sz w:val="20"/>
                <w:szCs w:val="20"/>
                <w:lang w:val="en-US"/>
              </w:rPr>
            </w:pPr>
            <w:r>
              <w:rPr>
                <w:b/>
                <w:bCs/>
                <w:sz w:val="20"/>
                <w:szCs w:val="20"/>
                <w:lang w:val="en-US"/>
              </w:rPr>
              <w:lastRenderedPageBreak/>
              <w:t>Early Redemption Event</w:t>
            </w:r>
          </w:p>
        </w:tc>
        <w:tc>
          <w:tcPr>
            <w:tcW w:w="6853" w:type="dxa"/>
          </w:tcPr>
          <w:p w:rsidR="00FA2262" w:rsidRDefault="00FA2262" w:rsidP="00FA2262">
            <w:pPr>
              <w:cnfStyle w:val="000000010000" w:firstRow="0" w:lastRow="0" w:firstColumn="0" w:lastColumn="0" w:oddVBand="0" w:evenVBand="0" w:oddHBand="0" w:evenHBand="1" w:firstRowFirstColumn="0" w:firstRowLastColumn="0" w:lastRowFirstColumn="0" w:lastRowLastColumn="0"/>
              <w:rPr>
                <w:color w:val="000000"/>
                <w:sz w:val="20"/>
                <w:szCs w:val="20"/>
                <w:lang w:val="en-US"/>
              </w:rPr>
            </w:pPr>
            <w:r>
              <w:rPr>
                <w:color w:val="000000"/>
                <w:sz w:val="20"/>
                <w:szCs w:val="20"/>
                <w:lang w:val="en-US"/>
              </w:rPr>
              <w:t xml:space="preserve">Early Redemption Event occurring if in a relevant Early Redemption Valuation Period, the Reference Values of the Underlying </w:t>
            </w:r>
            <w:r>
              <w:rPr>
                <w:b/>
                <w:color w:val="000000"/>
                <w:sz w:val="20"/>
                <w:szCs w:val="20"/>
                <w:lang w:val="en-US"/>
              </w:rPr>
              <w:t>is equal to or higher</w:t>
            </w:r>
            <w:r>
              <w:rPr>
                <w:color w:val="000000"/>
                <w:sz w:val="20"/>
                <w:szCs w:val="20"/>
                <w:lang w:val="en-US"/>
              </w:rPr>
              <w:t xml:space="preserve"> than the relevant Early Redemption Levels. In that case, the Security holders are entitled to receive on the </w:t>
            </w:r>
            <w:r>
              <w:rPr>
                <w:b/>
                <w:bCs/>
                <w:sz w:val="18"/>
                <w:szCs w:val="18"/>
                <w:lang w:val="en-US"/>
              </w:rPr>
              <w:t xml:space="preserve">Early Redemption Payment Date, </w:t>
            </w:r>
            <w:r>
              <w:rPr>
                <w:color w:val="000000"/>
                <w:sz w:val="20"/>
                <w:szCs w:val="20"/>
                <w:lang w:val="en-US"/>
              </w:rPr>
              <w:t>the payment of the relevant Early Redemption Amount:</w:t>
            </w:r>
          </w:p>
          <w:p w:rsidR="00FA2262" w:rsidRDefault="00FA2262" w:rsidP="00FA2262">
            <w:pPr>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tbl>
            <w:tblPr>
              <w:tblpPr w:leftFromText="180" w:rightFromText="180" w:vertAnchor="text" w:horzAnchor="margin" w:tblpY="177"/>
              <w:tblOverlap w:val="never"/>
              <w:tblW w:w="5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8"/>
              <w:gridCol w:w="1465"/>
              <w:gridCol w:w="1337"/>
              <w:gridCol w:w="1116"/>
              <w:gridCol w:w="18"/>
            </w:tblGrid>
            <w:tr w:rsidR="00FA2262" w:rsidRPr="003D5F1A" w:rsidTr="004F41C6">
              <w:trPr>
                <w:trHeight w:val="720"/>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A2262" w:rsidRDefault="00FA2262" w:rsidP="00FA2262">
                  <w:pPr>
                    <w:jc w:val="center"/>
                    <w:rPr>
                      <w:rFonts w:ascii="Calibri" w:eastAsia="Calibri" w:hAnsi="Calibri"/>
                      <w:b/>
                      <w:bCs/>
                      <w:sz w:val="18"/>
                      <w:szCs w:val="18"/>
                      <w:lang w:val="en-US"/>
                    </w:rPr>
                  </w:pPr>
                  <w:r>
                    <w:rPr>
                      <w:b/>
                      <w:bCs/>
                      <w:sz w:val="18"/>
                      <w:szCs w:val="18"/>
                      <w:lang w:val="en-US"/>
                    </w:rPr>
                    <w:t>Early Redemption</w:t>
                  </w:r>
                </w:p>
                <w:p w:rsidR="00FA2262" w:rsidRDefault="00FA2262" w:rsidP="00FA2262">
                  <w:pPr>
                    <w:jc w:val="center"/>
                    <w:rPr>
                      <w:rFonts w:ascii="Calibri" w:eastAsia="Calibri" w:hAnsi="Calibri"/>
                      <w:b/>
                      <w:bCs/>
                      <w:sz w:val="18"/>
                      <w:szCs w:val="18"/>
                      <w:lang w:val="en-US"/>
                    </w:rPr>
                  </w:pPr>
                  <w:r>
                    <w:rPr>
                      <w:b/>
                      <w:bCs/>
                      <w:sz w:val="18"/>
                      <w:szCs w:val="18"/>
                      <w:lang w:val="en-US"/>
                    </w:rPr>
                    <w:t>Valuation Periods</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A2262" w:rsidRDefault="00FA2262" w:rsidP="00FA2262">
                  <w:pPr>
                    <w:jc w:val="center"/>
                    <w:rPr>
                      <w:b/>
                      <w:bCs/>
                      <w:sz w:val="18"/>
                      <w:szCs w:val="18"/>
                      <w:lang w:val="en-US"/>
                    </w:rPr>
                  </w:pPr>
                  <w:r>
                    <w:rPr>
                      <w:b/>
                      <w:bCs/>
                      <w:sz w:val="18"/>
                      <w:szCs w:val="18"/>
                      <w:lang w:val="en-US"/>
                    </w:rPr>
                    <w:t>Early Redemption Level</w:t>
                  </w:r>
                </w:p>
              </w:tc>
              <w:tc>
                <w:tcPr>
                  <w:tcW w:w="1337" w:type="dxa"/>
                  <w:tcBorders>
                    <w:top w:val="single" w:sz="4" w:space="0" w:color="auto"/>
                    <w:left w:val="single" w:sz="4" w:space="0" w:color="auto"/>
                    <w:bottom w:val="single" w:sz="4" w:space="0" w:color="auto"/>
                    <w:right w:val="single" w:sz="4" w:space="0" w:color="auto"/>
                  </w:tcBorders>
                  <w:hideMark/>
                </w:tcPr>
                <w:p w:rsidR="00FA2262" w:rsidRDefault="00FA2262" w:rsidP="00FA2262">
                  <w:pPr>
                    <w:jc w:val="center"/>
                    <w:rPr>
                      <w:b/>
                      <w:bCs/>
                      <w:sz w:val="18"/>
                      <w:szCs w:val="18"/>
                      <w:lang w:val="en-US"/>
                    </w:rPr>
                  </w:pPr>
                  <w:r>
                    <w:rPr>
                      <w:b/>
                      <w:bCs/>
                      <w:sz w:val="18"/>
                      <w:szCs w:val="18"/>
                      <w:lang w:val="en-US"/>
                    </w:rPr>
                    <w:t>Early Redemption Amount</w:t>
                  </w:r>
                </w:p>
              </w:tc>
              <w:tc>
                <w:tcPr>
                  <w:tcW w:w="113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A2262" w:rsidRDefault="00FA2262" w:rsidP="00FA2262">
                  <w:pPr>
                    <w:jc w:val="center"/>
                    <w:rPr>
                      <w:b/>
                      <w:bCs/>
                      <w:sz w:val="18"/>
                      <w:szCs w:val="18"/>
                      <w:lang w:val="en-US"/>
                    </w:rPr>
                  </w:pPr>
                  <w:r>
                    <w:rPr>
                      <w:b/>
                      <w:bCs/>
                      <w:sz w:val="18"/>
                      <w:szCs w:val="18"/>
                      <w:lang w:val="en-US"/>
                    </w:rPr>
                    <w:t>Early Redemption Payment Date</w:t>
                  </w:r>
                </w:p>
              </w:tc>
            </w:tr>
            <w:tr w:rsidR="00E70E9E" w:rsidRPr="003D5F1A" w:rsidTr="00D5545E">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70E9E" w:rsidRPr="00D56F27" w:rsidRDefault="00755225" w:rsidP="00E70E9E">
                  <w:pPr>
                    <w:jc w:val="center"/>
                    <w:rPr>
                      <w:sz w:val="18"/>
                      <w:szCs w:val="18"/>
                      <w:lang w:val="en-GB"/>
                    </w:rPr>
                  </w:pPr>
                  <w:r>
                    <w:rPr>
                      <w:sz w:val="18"/>
                      <w:szCs w:val="18"/>
                      <w:lang w:val="en-US"/>
                    </w:rPr>
                    <w:t>23,24,25,</w:t>
                  </w:r>
                  <w:r w:rsidR="000B5B26">
                    <w:rPr>
                      <w:sz w:val="18"/>
                      <w:szCs w:val="18"/>
                      <w:lang w:val="en-US"/>
                    </w:rPr>
                    <w:t xml:space="preserve">28,29 </w:t>
                  </w:r>
                  <w:r>
                    <w:rPr>
                      <w:sz w:val="18"/>
                      <w:szCs w:val="18"/>
                      <w:lang w:val="en-US"/>
                    </w:rPr>
                    <w:t>October 2019</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E70E9E" w:rsidRPr="000C0766" w:rsidRDefault="00E70E9E" w:rsidP="00E70E9E">
                  <w:pPr>
                    <w:jc w:val="center"/>
                    <w:rPr>
                      <w:rFonts w:ascii="Calibri" w:eastAsia="Calibri" w:hAnsi="Calibri"/>
                      <w:color w:val="000000"/>
                      <w:sz w:val="18"/>
                      <w:szCs w:val="18"/>
                      <w:lang w:val="en-GB"/>
                    </w:rPr>
                  </w:pPr>
                  <w:r w:rsidRPr="000C0766">
                    <w:rPr>
                      <w:color w:val="000000"/>
                      <w:sz w:val="18"/>
                      <w:szCs w:val="18"/>
                      <w:lang w:val="en-GB"/>
                    </w:rPr>
                    <w:t>100% of </w:t>
                  </w:r>
                  <w:r w:rsidRPr="000C0766">
                    <w:rPr>
                      <w:b/>
                      <w:bCs/>
                      <w:sz w:val="18"/>
                      <w:szCs w:val="18"/>
                      <w:lang w:val="en-GB"/>
                    </w:rPr>
                    <w:t>IRV</w:t>
                  </w:r>
                </w:p>
              </w:tc>
              <w:tc>
                <w:tcPr>
                  <w:tcW w:w="1337" w:type="dxa"/>
                  <w:shd w:val="clear" w:color="auto" w:fill="auto"/>
                  <w:vAlign w:val="center"/>
                  <w:hideMark/>
                </w:tcPr>
                <w:p w:rsidR="00E70E9E" w:rsidRPr="00162BD5" w:rsidRDefault="0018413F" w:rsidP="00872549">
                  <w:pPr>
                    <w:jc w:val="center"/>
                    <w:rPr>
                      <w:sz w:val="18"/>
                      <w:szCs w:val="18"/>
                      <w:lang w:val="en-US"/>
                    </w:rPr>
                  </w:pPr>
                  <w:r>
                    <w:rPr>
                      <w:bCs/>
                      <w:sz w:val="20"/>
                      <w:szCs w:val="20"/>
                      <w:lang w:val="en-US"/>
                    </w:rPr>
                    <w:t>100</w:t>
                  </w:r>
                  <w:r w:rsidR="00A428D9">
                    <w:rPr>
                      <w:bCs/>
                      <w:sz w:val="20"/>
                      <w:szCs w:val="20"/>
                      <w:lang w:val="en-US"/>
                    </w:rPr>
                    <w:t>.00</w:t>
                  </w:r>
                  <w:r>
                    <w:rPr>
                      <w:bCs/>
                      <w:sz w:val="20"/>
                      <w:szCs w:val="20"/>
                      <w:lang w:val="en-US"/>
                    </w:rPr>
                    <w:t>0</w:t>
                  </w:r>
                  <w:r w:rsidR="00E70E9E" w:rsidRPr="00A51EDC">
                    <w:rPr>
                      <w:bCs/>
                      <w:sz w:val="20"/>
                      <w:szCs w:val="20"/>
                      <w:lang w:val="en-US"/>
                    </w:rPr>
                    <w:t>,00 EUR</w:t>
                  </w:r>
                </w:p>
              </w:tc>
              <w:tc>
                <w:tcPr>
                  <w:tcW w:w="1116" w:type="dxa"/>
                  <w:tcMar>
                    <w:top w:w="0" w:type="dxa"/>
                    <w:left w:w="108" w:type="dxa"/>
                    <w:bottom w:w="0" w:type="dxa"/>
                    <w:right w:w="108" w:type="dxa"/>
                  </w:tcMar>
                  <w:vAlign w:val="center"/>
                  <w:hideMark/>
                </w:tcPr>
                <w:p w:rsidR="00E70E9E" w:rsidRDefault="00755225" w:rsidP="00E70E9E">
                  <w:pPr>
                    <w:jc w:val="center"/>
                    <w:rPr>
                      <w:color w:val="000000"/>
                      <w:sz w:val="20"/>
                      <w:szCs w:val="20"/>
                      <w:lang w:val="en-US"/>
                    </w:rPr>
                  </w:pPr>
                  <w:r>
                    <w:rPr>
                      <w:b/>
                      <w:sz w:val="20"/>
                      <w:szCs w:val="20"/>
                      <w:lang w:val="en-US"/>
                    </w:rPr>
                    <w:t xml:space="preserve">4 </w:t>
                  </w:r>
                  <w:proofErr w:type="spellStart"/>
                  <w:r>
                    <w:rPr>
                      <w:b/>
                      <w:sz w:val="20"/>
                      <w:szCs w:val="20"/>
                      <w:lang w:val="en-US"/>
                    </w:rPr>
                    <w:t>november</w:t>
                  </w:r>
                  <w:proofErr w:type="spellEnd"/>
                  <w:r>
                    <w:rPr>
                      <w:b/>
                      <w:sz w:val="20"/>
                      <w:szCs w:val="20"/>
                      <w:lang w:val="en-US"/>
                    </w:rPr>
                    <w:t xml:space="preserve"> 2019</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D56F27" w:rsidRDefault="00A428D9" w:rsidP="00A428D9">
                  <w:pPr>
                    <w:jc w:val="center"/>
                    <w:rPr>
                      <w:sz w:val="18"/>
                      <w:szCs w:val="18"/>
                      <w:lang w:val="en-GB"/>
                    </w:rPr>
                  </w:pPr>
                  <w:r>
                    <w:rPr>
                      <w:sz w:val="18"/>
                      <w:szCs w:val="18"/>
                      <w:lang w:val="en-US"/>
                    </w:rPr>
                    <w:t>20,21,22,25,26 November 2019</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0C0766" w:rsidRDefault="00A428D9" w:rsidP="00A428D9">
                  <w:pPr>
                    <w:jc w:val="center"/>
                    <w:rPr>
                      <w:rFonts w:ascii="Calibri" w:eastAsia="Calibri" w:hAnsi="Calibri"/>
                      <w:color w:val="000000"/>
                      <w:sz w:val="18"/>
                      <w:szCs w:val="18"/>
                      <w:lang w:val="en-GB"/>
                    </w:rPr>
                  </w:pPr>
                  <w:r w:rsidRPr="000C0766">
                    <w:rPr>
                      <w:color w:val="000000"/>
                      <w:sz w:val="18"/>
                      <w:szCs w:val="18"/>
                      <w:lang w:val="en-GB"/>
                    </w:rPr>
                    <w:t>100% of </w:t>
                  </w:r>
                  <w:r w:rsidRPr="000C0766">
                    <w:rPr>
                      <w:b/>
                      <w:bCs/>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Default="00A428D9" w:rsidP="00A428D9">
                  <w:pPr>
                    <w:jc w:val="center"/>
                    <w:rPr>
                      <w:color w:val="000000"/>
                      <w:sz w:val="20"/>
                      <w:szCs w:val="20"/>
                      <w:lang w:val="en-US"/>
                    </w:rPr>
                  </w:pPr>
                  <w:r>
                    <w:rPr>
                      <w:b/>
                      <w:sz w:val="20"/>
                      <w:szCs w:val="20"/>
                      <w:lang w:val="en-US"/>
                    </w:rPr>
                    <w:t>2 December 2019</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January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 xml:space="preserve">2 </w:t>
                  </w:r>
                  <w:proofErr w:type="spellStart"/>
                  <w:r w:rsidRPr="00A428D9">
                    <w:rPr>
                      <w:color w:val="FF0000"/>
                      <w:sz w:val="18"/>
                      <w:szCs w:val="18"/>
                      <w:lang w:val="en-US"/>
                    </w:rPr>
                    <w:t>febbruary</w:t>
                  </w:r>
                  <w:proofErr w:type="spellEnd"/>
                  <w:r w:rsidRPr="00A428D9">
                    <w:rPr>
                      <w:color w:val="FF0000"/>
                      <w:sz w:val="18"/>
                      <w:szCs w:val="18"/>
                      <w:lang w:val="en-US"/>
                    </w:rPr>
                    <w:t xml:space="preserve">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march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April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May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June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July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August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September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 xml:space="preserve">2 October 20 </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November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GB"/>
                    </w:rPr>
                  </w:pPr>
                  <w:r w:rsidRPr="00A428D9">
                    <w:rPr>
                      <w:color w:val="FF0000"/>
                      <w:sz w:val="18"/>
                      <w:szCs w:val="18"/>
                      <w:lang w:val="en-US"/>
                    </w:rPr>
                    <w:t>2 December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lastRenderedPageBreak/>
                    <w:t>2 January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 xml:space="preserve">2 </w:t>
                  </w:r>
                  <w:proofErr w:type="spellStart"/>
                  <w:r w:rsidRPr="00A428D9">
                    <w:rPr>
                      <w:color w:val="FF0000"/>
                      <w:sz w:val="18"/>
                      <w:szCs w:val="18"/>
                      <w:lang w:val="en-US"/>
                    </w:rPr>
                    <w:t>febbruary</w:t>
                  </w:r>
                  <w:proofErr w:type="spellEnd"/>
                  <w:r w:rsidRPr="00A428D9">
                    <w:rPr>
                      <w:color w:val="FF0000"/>
                      <w:sz w:val="18"/>
                      <w:szCs w:val="18"/>
                      <w:lang w:val="en-US"/>
                    </w:rPr>
                    <w:t xml:space="preserve">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march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April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May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June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July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8C5661">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August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2F38F8">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BB5A8F">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September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F11A52">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BB5A8F">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October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F11A52">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BB5A8F">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November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F11A52">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BB5A8F">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GB"/>
                    </w:rPr>
                  </w:pPr>
                  <w:r w:rsidRPr="00A428D9">
                    <w:rPr>
                      <w:color w:val="FF0000"/>
                      <w:sz w:val="18"/>
                      <w:szCs w:val="18"/>
                      <w:lang w:val="en-US"/>
                    </w:rPr>
                    <w:t>2 December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F11A52">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BB5A8F">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January 22</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F11A52">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BB5A8F">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 xml:space="preserve">2 </w:t>
                  </w:r>
                  <w:proofErr w:type="spellStart"/>
                  <w:r w:rsidRPr="00A428D9">
                    <w:rPr>
                      <w:color w:val="FF0000"/>
                      <w:sz w:val="18"/>
                      <w:szCs w:val="18"/>
                      <w:lang w:val="en-US"/>
                    </w:rPr>
                    <w:t>febbruary</w:t>
                  </w:r>
                  <w:proofErr w:type="spellEnd"/>
                  <w:r w:rsidRPr="00A428D9">
                    <w:rPr>
                      <w:color w:val="FF0000"/>
                      <w:sz w:val="18"/>
                      <w:szCs w:val="18"/>
                      <w:lang w:val="en-US"/>
                    </w:rPr>
                    <w:t xml:space="preserve"> 22</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F11A52">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BB5A8F">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march 22</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F11A52">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r w:rsidR="00A428D9" w:rsidRPr="003D5F1A" w:rsidTr="00BB5A8F">
              <w:trPr>
                <w:gridAfter w:val="1"/>
                <w:wAfter w:w="18" w:type="dxa"/>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428D9" w:rsidRPr="00A428D9" w:rsidRDefault="00A428D9" w:rsidP="00A428D9">
                  <w:pPr>
                    <w:jc w:val="center"/>
                    <w:rPr>
                      <w:color w:val="FF0000"/>
                      <w:sz w:val="18"/>
                      <w:szCs w:val="18"/>
                      <w:lang w:val="en-US"/>
                    </w:rPr>
                  </w:pPr>
                  <w:r w:rsidRPr="00A428D9">
                    <w:rPr>
                      <w:color w:val="FF0000"/>
                      <w:sz w:val="18"/>
                      <w:szCs w:val="18"/>
                      <w:lang w:val="en-US"/>
                    </w:rPr>
                    <w:t>2 April 22</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428D9" w:rsidRPr="00A428D9" w:rsidRDefault="00A428D9" w:rsidP="00A428D9">
                  <w:pPr>
                    <w:jc w:val="center"/>
                    <w:rPr>
                      <w:rFonts w:ascii="Calibri" w:eastAsia="Calibri" w:hAnsi="Calibri"/>
                      <w:color w:val="FF0000"/>
                      <w:sz w:val="18"/>
                      <w:szCs w:val="18"/>
                      <w:lang w:val="en-GB"/>
                    </w:rPr>
                  </w:pPr>
                  <w:r w:rsidRPr="00A428D9">
                    <w:rPr>
                      <w:color w:val="FF0000"/>
                      <w:sz w:val="18"/>
                      <w:szCs w:val="18"/>
                      <w:lang w:val="en-GB"/>
                    </w:rPr>
                    <w:t>100% of </w:t>
                  </w:r>
                  <w:r w:rsidRPr="00A428D9">
                    <w:rPr>
                      <w:b/>
                      <w:bCs/>
                      <w:color w:val="FF0000"/>
                      <w:sz w:val="18"/>
                      <w:szCs w:val="18"/>
                      <w:lang w:val="en-GB"/>
                    </w:rPr>
                    <w:t>IRV</w:t>
                  </w:r>
                </w:p>
              </w:tc>
              <w:tc>
                <w:tcPr>
                  <w:tcW w:w="1337" w:type="dxa"/>
                  <w:shd w:val="clear" w:color="auto" w:fill="auto"/>
                </w:tcPr>
                <w:p w:rsidR="00A428D9" w:rsidRPr="003D5F1A" w:rsidRDefault="00A428D9" w:rsidP="00A428D9">
                  <w:pPr>
                    <w:jc w:val="center"/>
                    <w:rPr>
                      <w:lang w:val="en-US"/>
                    </w:rPr>
                  </w:pPr>
                  <w:r w:rsidRPr="00F11A52">
                    <w:rPr>
                      <w:bCs/>
                      <w:sz w:val="20"/>
                      <w:szCs w:val="20"/>
                      <w:lang w:val="en-US"/>
                    </w:rPr>
                    <w:t>100.000,00 EUR</w:t>
                  </w:r>
                </w:p>
              </w:tc>
              <w:tc>
                <w:tcPr>
                  <w:tcW w:w="1116" w:type="dxa"/>
                  <w:tcMar>
                    <w:top w:w="0" w:type="dxa"/>
                    <w:left w:w="108" w:type="dxa"/>
                    <w:bottom w:w="0" w:type="dxa"/>
                    <w:right w:w="108" w:type="dxa"/>
                  </w:tcMar>
                  <w:vAlign w:val="center"/>
                </w:tcPr>
                <w:p w:rsidR="00A428D9" w:rsidRPr="00A428D9" w:rsidRDefault="00A428D9" w:rsidP="00A428D9">
                  <w:pPr>
                    <w:jc w:val="center"/>
                    <w:rPr>
                      <w:color w:val="FF0000"/>
                      <w:sz w:val="20"/>
                      <w:szCs w:val="20"/>
                      <w:lang w:val="en-US"/>
                    </w:rPr>
                  </w:pPr>
                  <w:r w:rsidRPr="00A428D9">
                    <w:rPr>
                      <w:b/>
                      <w:color w:val="FF0000"/>
                      <w:sz w:val="20"/>
                      <w:szCs w:val="20"/>
                      <w:lang w:val="en-US"/>
                    </w:rPr>
                    <w:t>TBD</w:t>
                  </w:r>
                </w:p>
              </w:tc>
            </w:tr>
          </w:tbl>
          <w:p w:rsidR="00FA2262" w:rsidRDefault="00FA2262" w:rsidP="00FA2262">
            <w:pPr>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FA2262" w:rsidRDefault="00FA2262" w:rsidP="00FA2262">
            <w:pPr>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98180B" w:rsidRDefault="0098180B"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98180B" w:rsidRDefault="0098180B"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98180B" w:rsidRDefault="0098180B"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98180B" w:rsidRDefault="0098180B"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98180B" w:rsidRDefault="0098180B"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98180B" w:rsidRDefault="0098180B"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18413F" w:rsidRDefault="0018413F"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A428D9" w:rsidRDefault="00A428D9" w:rsidP="00FA2262">
            <w:pPr>
              <w:jc w:val="both"/>
              <w:cnfStyle w:val="000000010000" w:firstRow="0" w:lastRow="0" w:firstColumn="0" w:lastColumn="0" w:oddVBand="0" w:evenVBand="0" w:oddHBand="0" w:evenHBand="1" w:firstRowFirstColumn="0" w:firstRowLastColumn="0" w:lastRowFirstColumn="0" w:lastRowLastColumn="0"/>
              <w:rPr>
                <w:color w:val="000000"/>
                <w:sz w:val="20"/>
                <w:szCs w:val="20"/>
                <w:lang w:val="en-US"/>
              </w:rPr>
            </w:pPr>
          </w:p>
          <w:p w:rsidR="00FA2262" w:rsidRDefault="00FA2262" w:rsidP="00FA2262">
            <w:pPr>
              <w:jc w:val="both"/>
              <w:cnfStyle w:val="000000010000" w:firstRow="0" w:lastRow="0" w:firstColumn="0" w:lastColumn="0" w:oddVBand="0" w:evenVBand="0" w:oddHBand="0" w:evenHBand="1" w:firstRowFirstColumn="0" w:firstRowLastColumn="0" w:lastRowFirstColumn="0" w:lastRowLastColumn="0"/>
              <w:rPr>
                <w:sz w:val="20"/>
                <w:szCs w:val="20"/>
                <w:lang w:val="en-US"/>
              </w:rPr>
            </w:pPr>
            <w:r w:rsidRPr="005A379C">
              <w:rPr>
                <w:color w:val="000000"/>
                <w:sz w:val="20"/>
                <w:szCs w:val="20"/>
                <w:lang w:val="en-US"/>
              </w:rPr>
              <w:t>The Reference Values are e</w:t>
            </w:r>
            <w:r w:rsidRPr="005A379C">
              <w:rPr>
                <w:sz w:val="20"/>
                <w:szCs w:val="20"/>
                <w:lang w:val="en-US"/>
              </w:rPr>
              <w:t>qual to</w:t>
            </w:r>
            <w:r w:rsidRPr="003E2890">
              <w:rPr>
                <w:color w:val="000000"/>
                <w:sz w:val="20"/>
                <w:szCs w:val="20"/>
                <w:lang w:val="en-US"/>
              </w:rPr>
              <w:t xml:space="preserve"> the arithmetic mean of </w:t>
            </w:r>
            <w:r w:rsidRPr="005A379C">
              <w:rPr>
                <w:sz w:val="20"/>
                <w:szCs w:val="20"/>
                <w:lang w:val="en-US"/>
              </w:rPr>
              <w:t xml:space="preserve">the </w:t>
            </w:r>
            <w:r>
              <w:rPr>
                <w:sz w:val="20"/>
                <w:szCs w:val="20"/>
                <w:lang w:val="en-US"/>
              </w:rPr>
              <w:t>c</w:t>
            </w:r>
            <w:r w:rsidRPr="00914FD4">
              <w:rPr>
                <w:sz w:val="20"/>
                <w:szCs w:val="20"/>
                <w:lang w:val="en-US"/>
              </w:rPr>
              <w:t xml:space="preserve">losing </w:t>
            </w:r>
            <w:r>
              <w:rPr>
                <w:sz w:val="20"/>
                <w:szCs w:val="20"/>
                <w:lang w:val="en-US"/>
              </w:rPr>
              <w:t>price</w:t>
            </w:r>
            <w:r w:rsidRPr="005A379C">
              <w:rPr>
                <w:sz w:val="20"/>
                <w:szCs w:val="20"/>
                <w:lang w:val="en-US"/>
              </w:rPr>
              <w:t xml:space="preserve"> of the Underlying on the relevant </w:t>
            </w:r>
            <w:r w:rsidRPr="003E2890">
              <w:rPr>
                <w:b/>
                <w:bCs/>
                <w:sz w:val="20"/>
                <w:szCs w:val="20"/>
                <w:lang w:val="en-US"/>
              </w:rPr>
              <w:t>Early Redemption Valuation Periods</w:t>
            </w:r>
            <w:r>
              <w:rPr>
                <w:b/>
                <w:bCs/>
                <w:sz w:val="20"/>
                <w:szCs w:val="20"/>
                <w:lang w:val="en-US"/>
              </w:rPr>
              <w:t xml:space="preserve">, </w:t>
            </w:r>
            <w:r>
              <w:rPr>
                <w:sz w:val="20"/>
                <w:szCs w:val="20"/>
                <w:lang w:val="en-US"/>
              </w:rPr>
              <w:t>calculated as the following formula:</w:t>
            </w:r>
          </w:p>
          <w:p w:rsidR="00FA2262" w:rsidRPr="005A379C" w:rsidRDefault="00FA2262" w:rsidP="00FA2262">
            <w:pPr>
              <w:cnfStyle w:val="000000010000" w:firstRow="0" w:lastRow="0" w:firstColumn="0" w:lastColumn="0" w:oddVBand="0" w:evenVBand="0" w:oddHBand="0" w:evenHBand="1" w:firstRowFirstColumn="0" w:firstRowLastColumn="0" w:lastRowFirstColumn="0" w:lastRowLastColumn="0"/>
              <w:rPr>
                <w:sz w:val="20"/>
                <w:szCs w:val="20"/>
                <w:lang w:val="en-US"/>
              </w:rPr>
            </w:pPr>
          </w:p>
          <w:p w:rsidR="00FA2262" w:rsidRPr="004F41C6" w:rsidRDefault="00FA2262" w:rsidP="00FA2262">
            <w:pPr>
              <w:jc w:val="both"/>
              <w:cnfStyle w:val="000000010000" w:firstRow="0" w:lastRow="0" w:firstColumn="0" w:lastColumn="0" w:oddVBand="0" w:evenVBand="0" w:oddHBand="0" w:evenHBand="1" w:firstRowFirstColumn="0" w:firstRowLastColumn="0" w:lastRowFirstColumn="0" w:lastRowLastColumn="0"/>
              <w:rPr>
                <w:sz w:val="20"/>
                <w:szCs w:val="20"/>
                <w:lang w:val="en-US"/>
              </w:rPr>
            </w:pPr>
            <m:oMathPara>
              <m:oMathParaPr>
                <m:jc m:val="left"/>
              </m:oMathParaPr>
              <m:oMath>
                <m:r>
                  <w:rPr>
                    <w:rFonts w:ascii="Cambria Math" w:hAnsi="Cambria Math"/>
                    <w:sz w:val="20"/>
                    <w:szCs w:val="20"/>
                  </w:rPr>
                  <m:t>RV</m:t>
                </m:r>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lang w:val="en-US"/>
                      </w:rPr>
                      <m:t>1</m:t>
                    </m:r>
                  </m:num>
                  <m:den>
                    <m:r>
                      <w:rPr>
                        <w:rFonts w:ascii="Cambria Math" w:hAnsi="Cambria Math"/>
                        <w:sz w:val="20"/>
                        <w:szCs w:val="20"/>
                      </w:rPr>
                      <m:t>x</m:t>
                    </m:r>
                  </m:den>
                </m:f>
                <m:r>
                  <w:rPr>
                    <w:rFonts w:ascii="Cambria Math" w:hAnsi="Cambria Math"/>
                    <w:sz w:val="20"/>
                    <w:szCs w:val="20"/>
                    <w:lang w:val="en-US"/>
                  </w:rPr>
                  <m:t xml:space="preserve"> × </m:t>
                </m:r>
                <m:nary>
                  <m:naryPr>
                    <m:chr m:val="∑"/>
                    <m:limLoc m:val="undOvr"/>
                    <m:ctrlPr>
                      <w:rPr>
                        <w:rFonts w:ascii="Cambria Math" w:hAnsi="Cambria Math"/>
                        <w:i/>
                        <w:sz w:val="20"/>
                        <w:szCs w:val="20"/>
                      </w:rPr>
                    </m:ctrlPr>
                  </m:naryPr>
                  <m:sub>
                    <m:r>
                      <w:rPr>
                        <w:rFonts w:ascii="Cambria Math" w:hAnsi="Cambria Math"/>
                        <w:sz w:val="20"/>
                        <w:szCs w:val="20"/>
                      </w:rPr>
                      <m:t>z</m:t>
                    </m:r>
                    <m:r>
                      <w:rPr>
                        <w:rFonts w:ascii="Cambria Math" w:hAnsi="Cambria Math"/>
                        <w:sz w:val="20"/>
                        <w:szCs w:val="20"/>
                        <w:lang w:val="en-US"/>
                      </w:rPr>
                      <m:t>=1</m:t>
                    </m:r>
                  </m:sub>
                  <m:sup>
                    <m:r>
                      <w:rPr>
                        <w:rFonts w:ascii="Cambria Math" w:hAnsi="Cambria Math"/>
                        <w:sz w:val="20"/>
                        <w:szCs w:val="20"/>
                      </w:rPr>
                      <m:t>x</m:t>
                    </m:r>
                  </m:sup>
                  <m:e>
                    <m:r>
                      <w:rPr>
                        <w:rFonts w:ascii="Cambria Math" w:hAnsi="Cambria Math"/>
                        <w:sz w:val="20"/>
                        <w:szCs w:val="20"/>
                      </w:rPr>
                      <m:t>Underlying</m:t>
                    </m:r>
                    <m:r>
                      <w:rPr>
                        <w:rFonts w:ascii="Cambria Math" w:hAnsi="Cambria Math"/>
                        <w:position w:val="-8"/>
                        <w:sz w:val="20"/>
                        <w:szCs w:val="20"/>
                      </w:rPr>
                      <m:t>z</m:t>
                    </m:r>
                  </m:e>
                </m:nary>
              </m:oMath>
            </m:oMathPara>
          </w:p>
          <w:p w:rsidR="00FA2262" w:rsidRPr="004F41C6" w:rsidRDefault="00FA2262" w:rsidP="00FA2262">
            <w:pPr>
              <w:jc w:val="both"/>
              <w:cnfStyle w:val="000000010000" w:firstRow="0" w:lastRow="0" w:firstColumn="0" w:lastColumn="0" w:oddVBand="0" w:evenVBand="0" w:oddHBand="0" w:evenHBand="1" w:firstRowFirstColumn="0" w:firstRowLastColumn="0" w:lastRowFirstColumn="0" w:lastRowLastColumn="0"/>
              <w:rPr>
                <w:sz w:val="20"/>
                <w:szCs w:val="20"/>
                <w:lang w:val="en-US"/>
              </w:rPr>
            </w:pPr>
          </w:p>
          <w:p w:rsidR="00FA2262" w:rsidRPr="005A379C" w:rsidRDefault="00FA2262" w:rsidP="00FA2262">
            <w:pPr>
              <w:jc w:val="both"/>
              <w:cnfStyle w:val="000000010000" w:firstRow="0" w:lastRow="0" w:firstColumn="0" w:lastColumn="0" w:oddVBand="0" w:evenVBand="0" w:oddHBand="0" w:evenHBand="1" w:firstRowFirstColumn="0" w:firstRowLastColumn="0" w:lastRowFirstColumn="0" w:lastRowLastColumn="0"/>
              <w:rPr>
                <w:sz w:val="20"/>
                <w:szCs w:val="20"/>
                <w:lang w:val="en-US"/>
              </w:rPr>
            </w:pPr>
          </w:p>
          <w:p w:rsidR="00FA2262" w:rsidRPr="005A379C" w:rsidRDefault="00FA2262" w:rsidP="00FA2262">
            <w:pPr>
              <w:pStyle w:val="Body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5A379C">
              <w:rPr>
                <w:rFonts w:ascii="Times New Roman" w:hAnsi="Times New Roman" w:cs="Times New Roman"/>
                <w:sz w:val="20"/>
                <w:szCs w:val="20"/>
              </w:rPr>
              <w:t>Where</w:t>
            </w:r>
          </w:p>
          <w:p w:rsidR="00FA2262" w:rsidRPr="005A379C" w:rsidRDefault="00FA2262" w:rsidP="00FA2262">
            <w:pPr>
              <w:pStyle w:val="Body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5A379C">
              <w:rPr>
                <w:rFonts w:ascii="Times New Roman" w:hAnsi="Times New Roman" w:cs="Times New Roman"/>
                <w:sz w:val="20"/>
                <w:szCs w:val="20"/>
              </w:rPr>
              <w:t>"</w:t>
            </w:r>
            <w:r w:rsidRPr="005A379C">
              <w:rPr>
                <w:rFonts w:ascii="Times New Roman" w:hAnsi="Times New Roman" w:cs="Times New Roman"/>
                <w:b/>
                <w:bCs/>
                <w:sz w:val="20"/>
                <w:szCs w:val="20"/>
              </w:rPr>
              <w:t>RV</w:t>
            </w:r>
            <w:r w:rsidRPr="005A379C">
              <w:rPr>
                <w:rFonts w:ascii="Times New Roman" w:hAnsi="Times New Roman" w:cs="Times New Roman"/>
                <w:sz w:val="20"/>
                <w:szCs w:val="20"/>
              </w:rPr>
              <w:t>" is the Reference Value of the Underlying, and</w:t>
            </w:r>
          </w:p>
          <w:p w:rsidR="00FA2262" w:rsidRPr="005A379C" w:rsidRDefault="00FA2262" w:rsidP="00FA2262">
            <w:pPr>
              <w:pStyle w:val="Body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5A379C">
              <w:rPr>
                <w:rFonts w:ascii="Times New Roman" w:hAnsi="Times New Roman" w:cs="Times New Roman"/>
                <w:sz w:val="20"/>
                <w:szCs w:val="20"/>
              </w:rPr>
              <w:t>"</w:t>
            </w:r>
            <w:r w:rsidRPr="005A379C">
              <w:rPr>
                <w:rFonts w:ascii="Times New Roman" w:hAnsi="Times New Roman" w:cs="Times New Roman"/>
                <w:i/>
                <w:sz w:val="20"/>
                <w:szCs w:val="20"/>
              </w:rPr>
              <w:t>x</w:t>
            </w:r>
            <w:r w:rsidRPr="005A379C">
              <w:rPr>
                <w:rFonts w:ascii="Times New Roman" w:hAnsi="Times New Roman" w:cs="Times New Roman"/>
                <w:sz w:val="20"/>
                <w:szCs w:val="20"/>
              </w:rPr>
              <w:t xml:space="preserve">" is the number of the dates of such valuation period, specified as such </w:t>
            </w:r>
            <w:r w:rsidRPr="005A379C">
              <w:rPr>
                <w:rFonts w:ascii="Times New Roman" w:hAnsi="Times New Roman" w:cs="Times New Roman"/>
                <w:color w:val="000000"/>
                <w:sz w:val="20"/>
                <w:szCs w:val="20"/>
              </w:rPr>
              <w:t>in the relevant Final Terms</w:t>
            </w:r>
            <w:r>
              <w:rPr>
                <w:rFonts w:ascii="Times New Roman" w:hAnsi="Times New Roman" w:cs="Times New Roman"/>
                <w:color w:val="000000"/>
                <w:sz w:val="20"/>
                <w:szCs w:val="20"/>
              </w:rPr>
              <w:t xml:space="preserve"> (</w:t>
            </w:r>
            <w:r w:rsidRPr="003E2890">
              <w:rPr>
                <w:rFonts w:ascii="Times New Roman" w:hAnsi="Times New Roman" w:cs="Times New Roman"/>
                <w:i/>
                <w:color w:val="000000"/>
                <w:sz w:val="20"/>
                <w:szCs w:val="20"/>
              </w:rPr>
              <w:t>x</w:t>
            </w:r>
            <w:r>
              <w:rPr>
                <w:rFonts w:ascii="Times New Roman" w:hAnsi="Times New Roman" w:cs="Times New Roman"/>
                <w:color w:val="000000"/>
                <w:sz w:val="20"/>
                <w:szCs w:val="20"/>
              </w:rPr>
              <w:t>=</w:t>
            </w:r>
            <w:r w:rsidR="004F4EF9">
              <w:rPr>
                <w:rFonts w:ascii="Times New Roman" w:hAnsi="Times New Roman" w:cs="Times New Roman"/>
                <w:color w:val="000000"/>
                <w:sz w:val="20"/>
                <w:szCs w:val="20"/>
              </w:rPr>
              <w:t>5</w:t>
            </w:r>
            <w:r>
              <w:rPr>
                <w:rFonts w:ascii="Times New Roman" w:hAnsi="Times New Roman" w:cs="Times New Roman"/>
                <w:color w:val="000000"/>
                <w:sz w:val="20"/>
                <w:szCs w:val="20"/>
              </w:rPr>
              <w:t>)</w:t>
            </w:r>
            <w:r w:rsidRPr="005A379C">
              <w:rPr>
                <w:rFonts w:ascii="Times New Roman" w:hAnsi="Times New Roman" w:cs="Times New Roman"/>
                <w:color w:val="000000"/>
                <w:sz w:val="20"/>
                <w:szCs w:val="20"/>
              </w:rPr>
              <w:t>,</w:t>
            </w:r>
          </w:p>
          <w:p w:rsidR="00FA2262" w:rsidRPr="00ED1979" w:rsidRDefault="00FA2262" w:rsidP="00FA2262">
            <w:pPr>
              <w:cnfStyle w:val="000000010000" w:firstRow="0" w:lastRow="0" w:firstColumn="0" w:lastColumn="0" w:oddVBand="0" w:evenVBand="0" w:oddHBand="0" w:evenHBand="1" w:firstRowFirstColumn="0" w:firstRowLastColumn="0" w:lastRowFirstColumn="0" w:lastRowLastColumn="0"/>
              <w:rPr>
                <w:color w:val="000000"/>
                <w:sz w:val="20"/>
                <w:szCs w:val="20"/>
                <w:lang w:val="en-US"/>
              </w:rPr>
            </w:pPr>
            <w:r w:rsidRPr="002568E7">
              <w:rPr>
                <w:color w:val="000000"/>
                <w:sz w:val="20"/>
                <w:szCs w:val="20"/>
                <w:lang w:val="en-US"/>
              </w:rPr>
              <w:t>"</w:t>
            </w:r>
            <w:proofErr w:type="spellStart"/>
            <w:r w:rsidRPr="003E2890">
              <w:rPr>
                <w:i/>
                <w:color w:val="000000"/>
                <w:sz w:val="20"/>
                <w:szCs w:val="20"/>
                <w:lang w:val="en-US"/>
              </w:rPr>
              <w:t>Underlying</w:t>
            </w:r>
            <w:r w:rsidRPr="003E2890">
              <w:rPr>
                <w:i/>
                <w:color w:val="000000"/>
                <w:sz w:val="20"/>
                <w:szCs w:val="20"/>
                <w:vertAlign w:val="subscript"/>
                <w:lang w:val="en-US"/>
              </w:rPr>
              <w:t>z</w:t>
            </w:r>
            <w:proofErr w:type="spellEnd"/>
            <w:r w:rsidRPr="003E2890">
              <w:rPr>
                <w:color w:val="000000"/>
                <w:sz w:val="20"/>
                <w:szCs w:val="20"/>
                <w:lang w:val="en-US"/>
              </w:rPr>
              <w:t xml:space="preserve">", is the </w:t>
            </w:r>
            <w:r>
              <w:rPr>
                <w:sz w:val="20"/>
                <w:szCs w:val="20"/>
                <w:lang w:val="en-US"/>
              </w:rPr>
              <w:t>c</w:t>
            </w:r>
            <w:r w:rsidRPr="00914FD4">
              <w:rPr>
                <w:sz w:val="20"/>
                <w:szCs w:val="20"/>
                <w:lang w:val="en-US"/>
              </w:rPr>
              <w:t xml:space="preserve">losing </w:t>
            </w:r>
            <w:r>
              <w:rPr>
                <w:sz w:val="20"/>
                <w:szCs w:val="20"/>
                <w:lang w:val="en-US"/>
              </w:rPr>
              <w:t>price</w:t>
            </w:r>
            <w:r w:rsidDel="00D46FB5">
              <w:rPr>
                <w:color w:val="000000"/>
                <w:sz w:val="20"/>
                <w:szCs w:val="20"/>
                <w:lang w:val="en-US"/>
              </w:rPr>
              <w:t xml:space="preserve"> </w:t>
            </w:r>
            <w:r w:rsidRPr="002568E7">
              <w:rPr>
                <w:color w:val="000000"/>
                <w:sz w:val="20"/>
                <w:szCs w:val="20"/>
                <w:lang w:val="en-US"/>
              </w:rPr>
              <w:t>of the Underlying calculated on the Exchange Business Day "</w:t>
            </w:r>
            <w:r w:rsidRPr="003E2890">
              <w:rPr>
                <w:i/>
                <w:color w:val="000000"/>
                <w:sz w:val="20"/>
                <w:szCs w:val="20"/>
                <w:lang w:val="en-US"/>
              </w:rPr>
              <w:t>z</w:t>
            </w:r>
            <w:r w:rsidRPr="003E2890">
              <w:rPr>
                <w:color w:val="000000"/>
                <w:sz w:val="20"/>
                <w:szCs w:val="20"/>
                <w:lang w:val="en-US"/>
              </w:rPr>
              <w:t>"</w:t>
            </w:r>
            <w:r w:rsidRPr="003E2890">
              <w:rPr>
                <w:sz w:val="20"/>
                <w:szCs w:val="20"/>
                <w:lang w:val="en-US"/>
              </w:rPr>
              <w:t xml:space="preserve"> of such valuation period</w:t>
            </w:r>
            <w:r>
              <w:rPr>
                <w:sz w:val="20"/>
                <w:szCs w:val="20"/>
                <w:lang w:val="en-US"/>
              </w:rPr>
              <w:t xml:space="preserve"> </w:t>
            </w:r>
            <w:r w:rsidRPr="00A755AB">
              <w:rPr>
                <w:color w:val="000000"/>
                <w:sz w:val="20"/>
                <w:szCs w:val="20"/>
                <w:lang w:val="en-US"/>
              </w:rPr>
              <w:t>(</w:t>
            </w:r>
            <w:r w:rsidRPr="00ED1979">
              <w:rPr>
                <w:i/>
                <w:color w:val="000000"/>
                <w:sz w:val="20"/>
                <w:szCs w:val="20"/>
                <w:lang w:val="en-US"/>
              </w:rPr>
              <w:t>z</w:t>
            </w:r>
            <w:r>
              <w:rPr>
                <w:i/>
                <w:color w:val="000000"/>
                <w:sz w:val="20"/>
                <w:szCs w:val="20"/>
                <w:lang w:val="en-US"/>
              </w:rPr>
              <w:t xml:space="preserve"> </w:t>
            </w:r>
            <w:r>
              <w:rPr>
                <w:color w:val="000000"/>
                <w:sz w:val="20"/>
                <w:szCs w:val="20"/>
                <w:lang w:val="en-US"/>
              </w:rPr>
              <w:t xml:space="preserve">= </w:t>
            </w:r>
            <w:r w:rsidR="004F4EF9">
              <w:rPr>
                <w:color w:val="000000"/>
                <w:sz w:val="20"/>
                <w:szCs w:val="20"/>
                <w:lang w:val="en-US"/>
              </w:rPr>
              <w:t>5</w:t>
            </w:r>
            <w:r w:rsidRPr="00A755AB">
              <w:rPr>
                <w:color w:val="000000"/>
                <w:sz w:val="20"/>
                <w:szCs w:val="20"/>
                <w:lang w:val="en-US"/>
              </w:rPr>
              <w:t>)</w:t>
            </w:r>
            <w:r>
              <w:rPr>
                <w:color w:val="000000"/>
                <w:sz w:val="20"/>
                <w:szCs w:val="20"/>
                <w:lang w:val="en-US"/>
              </w:rPr>
              <w:t>.</w:t>
            </w:r>
          </w:p>
        </w:tc>
      </w:tr>
      <w:tr w:rsidR="00FA2262" w:rsidRPr="000B5B26" w:rsidTr="00283607">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3335" w:type="dxa"/>
          </w:tcPr>
          <w:p w:rsidR="00FA2262" w:rsidRPr="00914FD4" w:rsidRDefault="000B5B26" w:rsidP="00FA2262">
            <w:pPr>
              <w:rPr>
                <w:b/>
                <w:iCs/>
                <w:sz w:val="20"/>
                <w:szCs w:val="20"/>
                <w:lang w:val="en-US"/>
              </w:rPr>
            </w:pPr>
            <w:r>
              <w:rPr>
                <w:b/>
                <w:bCs/>
                <w:sz w:val="20"/>
                <w:szCs w:val="20"/>
                <w:lang w:val="en-US"/>
              </w:rPr>
              <w:lastRenderedPageBreak/>
              <w:t>Digital Amount</w:t>
            </w:r>
          </w:p>
        </w:tc>
        <w:tc>
          <w:tcPr>
            <w:tcW w:w="6853" w:type="dxa"/>
          </w:tcPr>
          <w:p w:rsidR="000B5B26" w:rsidRDefault="000B5B26" w:rsidP="000B5B26">
            <w:pPr>
              <w:keepLines/>
              <w:widowControl w:val="0"/>
              <w:spacing w:before="120" w:after="12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Digital Event occurring if, in the Digital Valuation Period, the </w:t>
            </w:r>
            <w:r w:rsidRPr="00131CBE">
              <w:rPr>
                <w:sz w:val="20"/>
                <w:szCs w:val="20"/>
                <w:lang w:val="en-US"/>
              </w:rPr>
              <w:t xml:space="preserve">Closing Level of the </w:t>
            </w:r>
            <w:r w:rsidRPr="00131CBE">
              <w:rPr>
                <w:b/>
                <w:sz w:val="20"/>
                <w:szCs w:val="20"/>
                <w:lang w:val="en-US"/>
              </w:rPr>
              <w:t>Underlying</w:t>
            </w:r>
            <w:r w:rsidRPr="00131CBE">
              <w:rPr>
                <w:sz w:val="20"/>
                <w:szCs w:val="20"/>
                <w:lang w:val="en-US"/>
              </w:rPr>
              <w:t xml:space="preserve"> </w:t>
            </w:r>
            <w:r>
              <w:rPr>
                <w:sz w:val="20"/>
                <w:szCs w:val="20"/>
                <w:lang w:val="en-US"/>
              </w:rPr>
              <w:t xml:space="preserve">is </w:t>
            </w:r>
            <w:r>
              <w:rPr>
                <w:b/>
                <w:sz w:val="20"/>
                <w:szCs w:val="20"/>
                <w:lang w:val="en-US"/>
              </w:rPr>
              <w:t>equal to or higher than</w:t>
            </w:r>
            <w:r>
              <w:rPr>
                <w:sz w:val="20"/>
                <w:szCs w:val="20"/>
                <w:lang w:val="en-US"/>
              </w:rPr>
              <w:t xml:space="preserve"> the relevant Digital Level. In that case, the Security holders are entitled to receive the payment of the relevant Digital Amount.</w:t>
            </w:r>
          </w:p>
          <w:tbl>
            <w:tblPr>
              <w:tblpPr w:leftFromText="180" w:rightFromText="180" w:vertAnchor="text" w:horzAnchor="margin" w:tblpY="177"/>
              <w:tblOverlap w:val="never"/>
              <w:tblW w:w="6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8"/>
              <w:gridCol w:w="1465"/>
              <w:gridCol w:w="1337"/>
              <w:gridCol w:w="1740"/>
            </w:tblGrid>
            <w:tr w:rsidR="000B5B26" w:rsidRPr="00B61D17" w:rsidTr="00755225">
              <w:trPr>
                <w:trHeight w:val="720"/>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B5B26" w:rsidRDefault="000B5B26" w:rsidP="000B5B26">
                  <w:pPr>
                    <w:jc w:val="center"/>
                    <w:rPr>
                      <w:rFonts w:ascii="Calibri" w:eastAsia="Calibri" w:hAnsi="Calibri"/>
                      <w:b/>
                      <w:bCs/>
                      <w:sz w:val="18"/>
                      <w:szCs w:val="18"/>
                      <w:lang w:val="en-US"/>
                    </w:rPr>
                  </w:pPr>
                  <w:r>
                    <w:rPr>
                      <w:b/>
                      <w:sz w:val="20"/>
                      <w:szCs w:val="20"/>
                      <w:lang w:val="en-US"/>
                    </w:rPr>
                    <w:t>Digital Valuation Periods</w:t>
                  </w:r>
                  <w:r>
                    <w:rPr>
                      <w:lang w:val="en-US"/>
                    </w:rPr>
                    <w:t xml:space="preserve"> </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B5B26" w:rsidRDefault="000B5B26" w:rsidP="000B5B26">
                  <w:pPr>
                    <w:jc w:val="center"/>
                    <w:rPr>
                      <w:b/>
                      <w:bCs/>
                      <w:sz w:val="18"/>
                      <w:szCs w:val="18"/>
                      <w:lang w:val="en-US"/>
                    </w:rPr>
                  </w:pPr>
                  <w:r>
                    <w:rPr>
                      <w:b/>
                      <w:bCs/>
                      <w:sz w:val="18"/>
                      <w:szCs w:val="18"/>
                      <w:lang w:val="en-US"/>
                    </w:rPr>
                    <w:t>Digital  Level</w:t>
                  </w:r>
                </w:p>
              </w:tc>
              <w:tc>
                <w:tcPr>
                  <w:tcW w:w="1337" w:type="dxa"/>
                  <w:tcBorders>
                    <w:top w:val="single" w:sz="4" w:space="0" w:color="auto"/>
                    <w:left w:val="single" w:sz="4" w:space="0" w:color="auto"/>
                    <w:bottom w:val="single" w:sz="4" w:space="0" w:color="auto"/>
                    <w:right w:val="single" w:sz="4" w:space="0" w:color="auto"/>
                  </w:tcBorders>
                  <w:hideMark/>
                </w:tcPr>
                <w:p w:rsidR="000B5B26" w:rsidRDefault="000B5B26" w:rsidP="000B5B26">
                  <w:pPr>
                    <w:jc w:val="center"/>
                    <w:rPr>
                      <w:b/>
                      <w:bCs/>
                      <w:sz w:val="18"/>
                      <w:szCs w:val="18"/>
                      <w:lang w:val="en-US"/>
                    </w:rPr>
                  </w:pPr>
                  <w:r>
                    <w:rPr>
                      <w:b/>
                      <w:bCs/>
                      <w:sz w:val="18"/>
                      <w:szCs w:val="18"/>
                      <w:lang w:val="en-US"/>
                    </w:rPr>
                    <w:t>Digital Amount</w:t>
                  </w:r>
                </w:p>
              </w:tc>
              <w:tc>
                <w:tcPr>
                  <w:tcW w:w="17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B5B26" w:rsidRDefault="000B5B26" w:rsidP="000B5B26">
                  <w:pPr>
                    <w:jc w:val="center"/>
                    <w:rPr>
                      <w:b/>
                      <w:bCs/>
                      <w:sz w:val="18"/>
                      <w:szCs w:val="18"/>
                      <w:lang w:val="en-US"/>
                    </w:rPr>
                  </w:pPr>
                  <w:r>
                    <w:rPr>
                      <w:b/>
                      <w:bCs/>
                      <w:sz w:val="18"/>
                      <w:szCs w:val="18"/>
                      <w:lang w:val="en-US"/>
                    </w:rPr>
                    <w:t>Digital Payment Date</w:t>
                  </w:r>
                </w:p>
              </w:tc>
            </w:tr>
            <w:tr w:rsidR="000B5B26"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5B26" w:rsidRDefault="00755225" w:rsidP="000B5B26">
                  <w:pPr>
                    <w:jc w:val="center"/>
                    <w:rPr>
                      <w:sz w:val="18"/>
                      <w:szCs w:val="18"/>
                      <w:lang w:val="en-US"/>
                    </w:rPr>
                  </w:pPr>
                  <w:r>
                    <w:rPr>
                      <w:sz w:val="18"/>
                      <w:szCs w:val="18"/>
                      <w:lang w:val="en-US"/>
                    </w:rPr>
                    <w:t>22,23,24,27,28 May 2019</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5B26" w:rsidRDefault="000B5B26" w:rsidP="000B5B26">
                  <w:r w:rsidRPr="000919D8">
                    <w:rPr>
                      <w:color w:val="000000"/>
                      <w:sz w:val="18"/>
                      <w:szCs w:val="18"/>
                      <w:lang w:val="en-GB"/>
                    </w:rPr>
                    <w:t>70% of </w:t>
                  </w:r>
                  <w:r w:rsidRPr="000919D8">
                    <w:rPr>
                      <w:b/>
                      <w:bCs/>
                      <w:sz w:val="18"/>
                      <w:szCs w:val="18"/>
                      <w:lang w:val="en-GB"/>
                    </w:rPr>
                    <w:t>IRV</w:t>
                  </w:r>
                </w:p>
              </w:tc>
              <w:tc>
                <w:tcPr>
                  <w:tcW w:w="1337" w:type="dxa"/>
                  <w:shd w:val="clear" w:color="auto" w:fill="auto"/>
                  <w:vAlign w:val="center"/>
                </w:tcPr>
                <w:p w:rsidR="000B5B26" w:rsidRDefault="004809DD" w:rsidP="000B5B26">
                  <w:pPr>
                    <w:jc w:val="center"/>
                    <w:rPr>
                      <w:bCs/>
                      <w:sz w:val="20"/>
                      <w:szCs w:val="20"/>
                      <w:lang w:val="en-US"/>
                    </w:rPr>
                  </w:pPr>
                  <w:r>
                    <w:rPr>
                      <w:bCs/>
                      <w:sz w:val="20"/>
                      <w:szCs w:val="20"/>
                      <w:lang w:val="en-US"/>
                    </w:rPr>
                    <w:t>64</w:t>
                  </w:r>
                  <w:r w:rsidR="00A428D9">
                    <w:rPr>
                      <w:bCs/>
                      <w:sz w:val="20"/>
                      <w:szCs w:val="20"/>
                      <w:lang w:val="en-US"/>
                    </w:rPr>
                    <w:t>0</w:t>
                  </w:r>
                  <w:r w:rsidR="000B5B26">
                    <w:rPr>
                      <w:bCs/>
                      <w:sz w:val="20"/>
                      <w:szCs w:val="20"/>
                      <w:lang w:val="en-US"/>
                    </w:rPr>
                    <w:t xml:space="preserve"> EUR</w:t>
                  </w:r>
                </w:p>
              </w:tc>
              <w:tc>
                <w:tcPr>
                  <w:tcW w:w="1740" w:type="dxa"/>
                  <w:tcMar>
                    <w:top w:w="0" w:type="dxa"/>
                    <w:left w:w="108" w:type="dxa"/>
                    <w:bottom w:w="0" w:type="dxa"/>
                    <w:right w:w="108" w:type="dxa"/>
                  </w:tcMar>
                </w:tcPr>
                <w:p w:rsidR="000B5B26" w:rsidRDefault="00755225" w:rsidP="000B5B26">
                  <w:pPr>
                    <w:jc w:val="center"/>
                  </w:pPr>
                  <w:r>
                    <w:rPr>
                      <w:b/>
                      <w:sz w:val="20"/>
                      <w:szCs w:val="20"/>
                      <w:lang w:val="en-US"/>
                    </w:rPr>
                    <w:t>3 June 2019</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Default="004809DD" w:rsidP="004809DD">
                  <w:pPr>
                    <w:jc w:val="center"/>
                    <w:rPr>
                      <w:sz w:val="18"/>
                      <w:szCs w:val="18"/>
                      <w:lang w:val="en-US"/>
                    </w:rPr>
                  </w:pPr>
                  <w:r>
                    <w:rPr>
                      <w:sz w:val="18"/>
                      <w:szCs w:val="18"/>
                      <w:lang w:val="en-US"/>
                    </w:rPr>
                    <w:t>20,21,24,25,26,2 June 2019</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Default="004809DD" w:rsidP="004809DD">
                  <w:r w:rsidRPr="000919D8">
                    <w:rPr>
                      <w:color w:val="000000"/>
                      <w:sz w:val="18"/>
                      <w:szCs w:val="18"/>
                      <w:lang w:val="en-GB"/>
                    </w:rPr>
                    <w:t>70% of </w:t>
                  </w:r>
                  <w:r w:rsidRPr="000919D8">
                    <w:rPr>
                      <w:b/>
                      <w:bCs/>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tcPr>
                <w:p w:rsidR="004809DD" w:rsidRDefault="004809DD" w:rsidP="004809DD">
                  <w:pPr>
                    <w:jc w:val="center"/>
                  </w:pPr>
                  <w:r>
                    <w:rPr>
                      <w:b/>
                      <w:sz w:val="20"/>
                      <w:szCs w:val="20"/>
                      <w:lang w:val="en-US"/>
                    </w:rPr>
                    <w:t>2 July 2019</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Default="004809DD" w:rsidP="004809DD">
                  <w:pPr>
                    <w:jc w:val="center"/>
                    <w:rPr>
                      <w:sz w:val="18"/>
                      <w:szCs w:val="18"/>
                      <w:lang w:val="en-US"/>
                    </w:rPr>
                  </w:pPr>
                  <w:r>
                    <w:rPr>
                      <w:sz w:val="18"/>
                      <w:szCs w:val="18"/>
                      <w:lang w:val="en-US"/>
                    </w:rPr>
                    <w:t xml:space="preserve">23,24,25,26,29 July 2019 </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Default="004809DD" w:rsidP="004809DD">
                  <w:r w:rsidRPr="000919D8">
                    <w:rPr>
                      <w:color w:val="000000"/>
                      <w:sz w:val="18"/>
                      <w:szCs w:val="18"/>
                      <w:lang w:val="en-GB"/>
                    </w:rPr>
                    <w:t>70% of </w:t>
                  </w:r>
                  <w:r w:rsidRPr="000919D8">
                    <w:rPr>
                      <w:b/>
                      <w:bCs/>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tcPr>
                <w:p w:rsidR="004809DD" w:rsidRDefault="004809DD" w:rsidP="004809DD">
                  <w:pPr>
                    <w:jc w:val="center"/>
                  </w:pPr>
                  <w:r>
                    <w:rPr>
                      <w:b/>
                      <w:sz w:val="20"/>
                      <w:szCs w:val="20"/>
                      <w:lang w:val="en-US"/>
                    </w:rPr>
                    <w:t>2 August 2019</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Default="004809DD" w:rsidP="004809DD">
                  <w:pPr>
                    <w:jc w:val="center"/>
                    <w:rPr>
                      <w:sz w:val="18"/>
                      <w:szCs w:val="18"/>
                      <w:lang w:val="en-US"/>
                    </w:rPr>
                  </w:pPr>
                  <w:r>
                    <w:rPr>
                      <w:sz w:val="18"/>
                      <w:szCs w:val="18"/>
                      <w:lang w:val="en-US"/>
                    </w:rPr>
                    <w:t>21,22,23,26,27 August 2019</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Default="004809DD" w:rsidP="004809DD">
                  <w:r w:rsidRPr="000919D8">
                    <w:rPr>
                      <w:color w:val="000000"/>
                      <w:sz w:val="18"/>
                      <w:szCs w:val="18"/>
                      <w:lang w:val="en-GB"/>
                    </w:rPr>
                    <w:t>70% of </w:t>
                  </w:r>
                  <w:r w:rsidRPr="000919D8">
                    <w:rPr>
                      <w:b/>
                      <w:bCs/>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tcPr>
                <w:p w:rsidR="004809DD" w:rsidRDefault="004809DD" w:rsidP="004809DD">
                  <w:pPr>
                    <w:jc w:val="center"/>
                  </w:pPr>
                  <w:r>
                    <w:rPr>
                      <w:b/>
                      <w:sz w:val="20"/>
                      <w:szCs w:val="20"/>
                      <w:lang w:val="en-US"/>
                    </w:rPr>
                    <w:t>2 September 2019</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Default="004809DD" w:rsidP="004809DD">
                  <w:pPr>
                    <w:jc w:val="center"/>
                    <w:rPr>
                      <w:sz w:val="18"/>
                      <w:szCs w:val="18"/>
                      <w:lang w:val="en-US"/>
                    </w:rPr>
                  </w:pPr>
                  <w:r>
                    <w:rPr>
                      <w:sz w:val="18"/>
                      <w:szCs w:val="18"/>
                      <w:lang w:val="en-US"/>
                    </w:rPr>
                    <w:t>20,23,24,25,26 September 2019</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Default="004809DD" w:rsidP="004809DD">
                  <w:r w:rsidRPr="000919D8">
                    <w:rPr>
                      <w:color w:val="000000"/>
                      <w:sz w:val="18"/>
                      <w:szCs w:val="18"/>
                      <w:lang w:val="en-GB"/>
                    </w:rPr>
                    <w:t>70% of </w:t>
                  </w:r>
                  <w:r w:rsidRPr="000919D8">
                    <w:rPr>
                      <w:b/>
                      <w:bCs/>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tcPr>
                <w:p w:rsidR="004809DD" w:rsidRDefault="004809DD" w:rsidP="004809DD">
                  <w:pPr>
                    <w:jc w:val="center"/>
                  </w:pPr>
                  <w:r>
                    <w:rPr>
                      <w:b/>
                      <w:sz w:val="20"/>
                      <w:szCs w:val="20"/>
                      <w:lang w:val="en-US"/>
                    </w:rPr>
                    <w:t xml:space="preserve">2 </w:t>
                  </w:r>
                  <w:proofErr w:type="spellStart"/>
                  <w:r>
                    <w:rPr>
                      <w:b/>
                      <w:sz w:val="20"/>
                      <w:szCs w:val="20"/>
                      <w:lang w:val="en-US"/>
                    </w:rPr>
                    <w:t>october</w:t>
                  </w:r>
                  <w:proofErr w:type="spellEnd"/>
                  <w:r>
                    <w:rPr>
                      <w:b/>
                      <w:sz w:val="20"/>
                      <w:szCs w:val="20"/>
                      <w:lang w:val="en-US"/>
                    </w:rPr>
                    <w:t xml:space="preserve"> 2019</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809DD" w:rsidRPr="00D56F27" w:rsidRDefault="004809DD" w:rsidP="004809DD">
                  <w:pPr>
                    <w:jc w:val="center"/>
                    <w:rPr>
                      <w:sz w:val="18"/>
                      <w:szCs w:val="18"/>
                      <w:lang w:val="en-GB"/>
                    </w:rPr>
                  </w:pPr>
                  <w:r>
                    <w:rPr>
                      <w:sz w:val="18"/>
                      <w:szCs w:val="18"/>
                      <w:lang w:val="en-US"/>
                    </w:rPr>
                    <w:t>23,24,25,28,29 October 2019</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809DD" w:rsidRDefault="004809DD" w:rsidP="004809DD">
                  <w:r w:rsidRPr="000919D8">
                    <w:rPr>
                      <w:color w:val="000000"/>
                      <w:sz w:val="18"/>
                      <w:szCs w:val="18"/>
                      <w:lang w:val="en-GB"/>
                    </w:rPr>
                    <w:t>70% of </w:t>
                  </w:r>
                  <w:r w:rsidRPr="000919D8">
                    <w:rPr>
                      <w:b/>
                      <w:bCs/>
                      <w:sz w:val="18"/>
                      <w:szCs w:val="18"/>
                      <w:lang w:val="en-GB"/>
                    </w:rPr>
                    <w:t>IRV</w:t>
                  </w:r>
                </w:p>
              </w:tc>
              <w:tc>
                <w:tcPr>
                  <w:tcW w:w="1337" w:type="dxa"/>
                  <w:shd w:val="clear" w:color="auto" w:fill="auto"/>
                  <w:hideMark/>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hideMark/>
                </w:tcPr>
                <w:p w:rsidR="004809DD" w:rsidRDefault="004809DD" w:rsidP="004809DD">
                  <w:pPr>
                    <w:jc w:val="center"/>
                    <w:rPr>
                      <w:color w:val="000000"/>
                      <w:sz w:val="20"/>
                      <w:szCs w:val="20"/>
                      <w:lang w:val="en-US"/>
                    </w:rPr>
                  </w:pPr>
                  <w:r>
                    <w:rPr>
                      <w:b/>
                      <w:sz w:val="20"/>
                      <w:szCs w:val="20"/>
                      <w:lang w:val="en-US"/>
                    </w:rPr>
                    <w:t xml:space="preserve">4 </w:t>
                  </w:r>
                  <w:proofErr w:type="spellStart"/>
                  <w:r>
                    <w:rPr>
                      <w:b/>
                      <w:sz w:val="20"/>
                      <w:szCs w:val="20"/>
                      <w:lang w:val="en-US"/>
                    </w:rPr>
                    <w:t>november</w:t>
                  </w:r>
                  <w:proofErr w:type="spellEnd"/>
                  <w:r>
                    <w:rPr>
                      <w:b/>
                      <w:sz w:val="20"/>
                      <w:szCs w:val="20"/>
                      <w:lang w:val="en-US"/>
                    </w:rPr>
                    <w:t xml:space="preserve"> 2019</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D56F27" w:rsidRDefault="004809DD" w:rsidP="004809DD">
                  <w:pPr>
                    <w:jc w:val="center"/>
                    <w:rPr>
                      <w:sz w:val="18"/>
                      <w:szCs w:val="18"/>
                      <w:lang w:val="en-GB"/>
                    </w:rPr>
                  </w:pPr>
                  <w:r>
                    <w:rPr>
                      <w:sz w:val="18"/>
                      <w:szCs w:val="18"/>
                      <w:lang w:val="en-US"/>
                    </w:rPr>
                    <w:t>20,21,22,25,26 November 2019</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Default="004809DD" w:rsidP="004809DD">
                  <w:r w:rsidRPr="000919D8">
                    <w:rPr>
                      <w:color w:val="000000"/>
                      <w:sz w:val="18"/>
                      <w:szCs w:val="18"/>
                      <w:lang w:val="en-GB"/>
                    </w:rPr>
                    <w:t>70% of </w:t>
                  </w:r>
                  <w:r w:rsidRPr="000919D8">
                    <w:rPr>
                      <w:b/>
                      <w:bCs/>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Default="004809DD" w:rsidP="004809DD">
                  <w:pPr>
                    <w:jc w:val="center"/>
                    <w:rPr>
                      <w:color w:val="000000"/>
                      <w:sz w:val="20"/>
                      <w:szCs w:val="20"/>
                      <w:lang w:val="en-US"/>
                    </w:rPr>
                  </w:pPr>
                  <w:r>
                    <w:rPr>
                      <w:b/>
                      <w:sz w:val="20"/>
                      <w:szCs w:val="20"/>
                      <w:lang w:val="en-US"/>
                    </w:rPr>
                    <w:t>2 December 2019</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January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 xml:space="preserve">2 </w:t>
                  </w:r>
                  <w:proofErr w:type="spellStart"/>
                  <w:r w:rsidRPr="00A428D9">
                    <w:rPr>
                      <w:color w:val="FF0000"/>
                      <w:sz w:val="18"/>
                      <w:szCs w:val="18"/>
                      <w:lang w:val="en-US"/>
                    </w:rPr>
                    <w:t>febbruary</w:t>
                  </w:r>
                  <w:proofErr w:type="spellEnd"/>
                  <w:r w:rsidRPr="00A428D9">
                    <w:rPr>
                      <w:color w:val="FF0000"/>
                      <w:sz w:val="18"/>
                      <w:szCs w:val="18"/>
                      <w:lang w:val="en-US"/>
                    </w:rPr>
                    <w:t xml:space="preserve">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march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April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May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June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July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August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September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 xml:space="preserve">2 October 20 </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November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GB"/>
                    </w:rPr>
                  </w:pPr>
                  <w:r w:rsidRPr="00A428D9">
                    <w:rPr>
                      <w:color w:val="FF0000"/>
                      <w:sz w:val="18"/>
                      <w:szCs w:val="18"/>
                      <w:lang w:val="en-US"/>
                    </w:rPr>
                    <w:t>2 December 20</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January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 xml:space="preserve">2 </w:t>
                  </w:r>
                  <w:proofErr w:type="spellStart"/>
                  <w:r w:rsidRPr="00A428D9">
                    <w:rPr>
                      <w:color w:val="FF0000"/>
                      <w:sz w:val="18"/>
                      <w:szCs w:val="18"/>
                      <w:lang w:val="en-US"/>
                    </w:rPr>
                    <w:t>febbruary</w:t>
                  </w:r>
                  <w:proofErr w:type="spellEnd"/>
                  <w:r w:rsidRPr="00A428D9">
                    <w:rPr>
                      <w:color w:val="FF0000"/>
                      <w:sz w:val="18"/>
                      <w:szCs w:val="18"/>
                      <w:lang w:val="en-US"/>
                    </w:rPr>
                    <w:t xml:space="preserve">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march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April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May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June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July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August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September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October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November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GB"/>
                    </w:rPr>
                  </w:pPr>
                  <w:r w:rsidRPr="00A428D9">
                    <w:rPr>
                      <w:color w:val="FF0000"/>
                      <w:sz w:val="18"/>
                      <w:szCs w:val="18"/>
                      <w:lang w:val="en-US"/>
                    </w:rPr>
                    <w:t>2 December 21</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January 22</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 xml:space="preserve">2 </w:t>
                  </w:r>
                  <w:proofErr w:type="spellStart"/>
                  <w:r w:rsidRPr="00A428D9">
                    <w:rPr>
                      <w:color w:val="FF0000"/>
                      <w:sz w:val="18"/>
                      <w:szCs w:val="18"/>
                      <w:lang w:val="en-US"/>
                    </w:rPr>
                    <w:t>febbruary</w:t>
                  </w:r>
                  <w:proofErr w:type="spellEnd"/>
                  <w:r w:rsidRPr="00A428D9">
                    <w:rPr>
                      <w:color w:val="FF0000"/>
                      <w:sz w:val="18"/>
                      <w:szCs w:val="18"/>
                      <w:lang w:val="en-US"/>
                    </w:rPr>
                    <w:t xml:space="preserve"> 22</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march 22</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r w:rsidR="004809DD" w:rsidRPr="00B61D17" w:rsidTr="00755225">
              <w:trPr>
                <w:trHeight w:val="261"/>
              </w:trPr>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jc w:val="center"/>
                    <w:rPr>
                      <w:color w:val="FF0000"/>
                      <w:sz w:val="18"/>
                      <w:szCs w:val="18"/>
                      <w:lang w:val="en-US"/>
                    </w:rPr>
                  </w:pPr>
                  <w:r w:rsidRPr="00A428D9">
                    <w:rPr>
                      <w:color w:val="FF0000"/>
                      <w:sz w:val="18"/>
                      <w:szCs w:val="18"/>
                      <w:lang w:val="en-US"/>
                    </w:rPr>
                    <w:t>2 April 22</w:t>
                  </w:r>
                </w:p>
              </w:tc>
              <w:tc>
                <w:tcPr>
                  <w:tcW w:w="14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809DD" w:rsidRPr="00A428D9" w:rsidRDefault="004809DD" w:rsidP="004809DD">
                  <w:pPr>
                    <w:rPr>
                      <w:color w:val="FF0000"/>
                    </w:rPr>
                  </w:pPr>
                  <w:r w:rsidRPr="00A428D9">
                    <w:rPr>
                      <w:color w:val="FF0000"/>
                      <w:sz w:val="18"/>
                      <w:szCs w:val="18"/>
                      <w:lang w:val="en-GB"/>
                    </w:rPr>
                    <w:t>70% of </w:t>
                  </w:r>
                  <w:r w:rsidRPr="00A428D9">
                    <w:rPr>
                      <w:b/>
                      <w:bCs/>
                      <w:color w:val="FF0000"/>
                      <w:sz w:val="18"/>
                      <w:szCs w:val="18"/>
                      <w:lang w:val="en-GB"/>
                    </w:rPr>
                    <w:t>IRV</w:t>
                  </w:r>
                </w:p>
              </w:tc>
              <w:tc>
                <w:tcPr>
                  <w:tcW w:w="1337" w:type="dxa"/>
                  <w:shd w:val="clear" w:color="auto" w:fill="auto"/>
                </w:tcPr>
                <w:p w:rsidR="004809DD" w:rsidRDefault="004809DD" w:rsidP="004809DD">
                  <w:pPr>
                    <w:jc w:val="center"/>
                  </w:pPr>
                  <w:r w:rsidRPr="002403D4">
                    <w:rPr>
                      <w:bCs/>
                      <w:sz w:val="20"/>
                      <w:szCs w:val="20"/>
                      <w:lang w:val="en-US"/>
                    </w:rPr>
                    <w:t>640 EUR</w:t>
                  </w:r>
                </w:p>
              </w:tc>
              <w:tc>
                <w:tcPr>
                  <w:tcW w:w="1740" w:type="dxa"/>
                  <w:tcMar>
                    <w:top w:w="0" w:type="dxa"/>
                    <w:left w:w="108" w:type="dxa"/>
                    <w:bottom w:w="0" w:type="dxa"/>
                    <w:right w:w="108" w:type="dxa"/>
                  </w:tcMar>
                  <w:vAlign w:val="center"/>
                </w:tcPr>
                <w:p w:rsidR="004809DD" w:rsidRPr="00A428D9" w:rsidRDefault="004809DD" w:rsidP="004809DD">
                  <w:pPr>
                    <w:jc w:val="center"/>
                    <w:rPr>
                      <w:color w:val="FF0000"/>
                      <w:sz w:val="20"/>
                      <w:szCs w:val="20"/>
                      <w:lang w:val="en-US"/>
                    </w:rPr>
                  </w:pPr>
                  <w:r w:rsidRPr="00A428D9">
                    <w:rPr>
                      <w:b/>
                      <w:color w:val="FF0000"/>
                      <w:sz w:val="20"/>
                      <w:szCs w:val="20"/>
                      <w:lang w:val="en-US"/>
                    </w:rPr>
                    <w:t>TBD</w:t>
                  </w:r>
                </w:p>
              </w:tc>
            </w:tr>
          </w:tbl>
          <w:p w:rsidR="000B5B26" w:rsidRDefault="000B5B26" w:rsidP="000B5B26">
            <w:pPr>
              <w:keepLines/>
              <w:widowControl w:val="0"/>
              <w:spacing w:before="120" w:after="120"/>
              <w:jc w:val="both"/>
              <w:cnfStyle w:val="000000100000" w:firstRow="0" w:lastRow="0" w:firstColumn="0" w:lastColumn="0" w:oddVBand="0" w:evenVBand="0" w:oddHBand="1" w:evenHBand="0" w:firstRowFirstColumn="0" w:firstRowLastColumn="0" w:lastRowFirstColumn="0" w:lastRowLastColumn="0"/>
              <w:rPr>
                <w:sz w:val="20"/>
                <w:szCs w:val="20"/>
                <w:lang w:val="en-US"/>
              </w:rPr>
            </w:pPr>
          </w:p>
          <w:p w:rsidR="000B5B26" w:rsidRDefault="000B5B26" w:rsidP="000B5B26">
            <w:pPr>
              <w:keepLines/>
              <w:widowControl w:val="0"/>
              <w:spacing w:before="120" w:after="120"/>
              <w:jc w:val="both"/>
              <w:cnfStyle w:val="000000100000" w:firstRow="0" w:lastRow="0" w:firstColumn="0" w:lastColumn="0" w:oddVBand="0" w:evenVBand="0" w:oddHBand="1" w:evenHBand="0" w:firstRowFirstColumn="0" w:firstRowLastColumn="0" w:lastRowFirstColumn="0" w:lastRowLastColumn="0"/>
              <w:rPr>
                <w:sz w:val="20"/>
                <w:szCs w:val="20"/>
                <w:lang w:val="en-US"/>
              </w:rPr>
            </w:pPr>
          </w:p>
          <w:p w:rsidR="000B5B26" w:rsidRDefault="000B5B26" w:rsidP="000B5B26">
            <w:pPr>
              <w:keepLines/>
              <w:widowControl w:val="0"/>
              <w:spacing w:before="120" w:after="120"/>
              <w:jc w:val="both"/>
              <w:cnfStyle w:val="000000100000" w:firstRow="0" w:lastRow="0" w:firstColumn="0" w:lastColumn="0" w:oddVBand="0" w:evenVBand="0" w:oddHBand="1" w:evenHBand="0" w:firstRowFirstColumn="0" w:firstRowLastColumn="0" w:lastRowFirstColumn="0" w:lastRowLastColumn="0"/>
              <w:rPr>
                <w:sz w:val="20"/>
                <w:szCs w:val="20"/>
                <w:lang w:val="en-US"/>
              </w:rPr>
            </w:pPr>
          </w:p>
          <w:p w:rsidR="00FA2262" w:rsidRPr="00914FD4" w:rsidRDefault="00FA2262" w:rsidP="00FA2262">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FA2262" w:rsidRPr="00283607" w:rsidTr="003F2F0D">
        <w:trPr>
          <w:cnfStyle w:val="000000010000" w:firstRow="0" w:lastRow="0" w:firstColumn="0" w:lastColumn="0" w:oddVBand="0" w:evenVBand="0" w:oddHBand="0" w:evenHBand="1"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335" w:type="dxa"/>
          </w:tcPr>
          <w:p w:rsidR="00FA2262" w:rsidRPr="00ED1350" w:rsidRDefault="00FA2262" w:rsidP="00FA2262">
            <w:pPr>
              <w:rPr>
                <w:b/>
                <w:iCs/>
                <w:sz w:val="20"/>
                <w:szCs w:val="20"/>
                <w:lang w:val="en-US"/>
              </w:rPr>
            </w:pPr>
            <w:r w:rsidRPr="00ED1350">
              <w:rPr>
                <w:b/>
                <w:iCs/>
                <w:sz w:val="20"/>
                <w:szCs w:val="20"/>
                <w:lang w:val="en-US"/>
              </w:rPr>
              <w:lastRenderedPageBreak/>
              <w:t>Initial Percentage</w:t>
            </w:r>
          </w:p>
        </w:tc>
        <w:tc>
          <w:tcPr>
            <w:tcW w:w="6853" w:type="dxa"/>
          </w:tcPr>
          <w:p w:rsidR="00FA2262" w:rsidRPr="00ED1350" w:rsidRDefault="000B5B26" w:rsidP="00FA2262">
            <w:pPr>
              <w:cnfStyle w:val="000000010000" w:firstRow="0" w:lastRow="0" w:firstColumn="0" w:lastColumn="0" w:oddVBand="0" w:evenVBand="0" w:oddHBand="0" w:evenHBand="1" w:firstRowFirstColumn="0" w:firstRowLastColumn="0" w:lastRowFirstColumn="0" w:lastRowLastColumn="0"/>
              <w:rPr>
                <w:sz w:val="20"/>
                <w:szCs w:val="20"/>
                <w:lang w:val="en-US"/>
              </w:rPr>
            </w:pPr>
            <w:r>
              <w:rPr>
                <w:rFonts w:eastAsia="Arial Unicode MS"/>
                <w:sz w:val="20"/>
                <w:szCs w:val="20"/>
                <w:lang w:val="en-US" w:eastAsia="en-US"/>
              </w:rPr>
              <w:t>100</w:t>
            </w:r>
            <w:r w:rsidR="003D5F1A">
              <w:rPr>
                <w:rFonts w:eastAsia="Arial Unicode MS"/>
                <w:sz w:val="20"/>
                <w:szCs w:val="20"/>
                <w:lang w:val="en-US" w:eastAsia="en-US"/>
              </w:rPr>
              <w:t>.66</w:t>
            </w:r>
            <w:r w:rsidR="00FA2262" w:rsidRPr="003E2890">
              <w:rPr>
                <w:rFonts w:eastAsia="Arial Unicode MS"/>
                <w:sz w:val="20"/>
                <w:szCs w:val="20"/>
                <w:lang w:val="en-US" w:eastAsia="en-US"/>
              </w:rPr>
              <w:t>%</w:t>
            </w:r>
            <w:r w:rsidR="00FA2262" w:rsidRPr="00ED1350">
              <w:rPr>
                <w:sz w:val="20"/>
                <w:szCs w:val="20"/>
                <w:lang w:val="en-US"/>
              </w:rPr>
              <w:t xml:space="preserve"> </w:t>
            </w:r>
          </w:p>
        </w:tc>
      </w:tr>
      <w:tr w:rsidR="00FA2262" w:rsidRPr="003D5F1A" w:rsidTr="003F2F0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335" w:type="dxa"/>
          </w:tcPr>
          <w:p w:rsidR="00FA2262" w:rsidRPr="00126FA3" w:rsidRDefault="00FA2262" w:rsidP="00FA2262">
            <w:pPr>
              <w:rPr>
                <w:b/>
                <w:iCs/>
                <w:sz w:val="20"/>
                <w:szCs w:val="20"/>
                <w:lang w:val="en-US"/>
              </w:rPr>
            </w:pPr>
            <w:r w:rsidRPr="00A23EF1">
              <w:rPr>
                <w:b/>
                <w:iCs/>
                <w:sz w:val="20"/>
                <w:szCs w:val="20"/>
                <w:lang w:val="en-US"/>
              </w:rPr>
              <w:t>Barrier Event</w:t>
            </w:r>
            <w:r w:rsidRPr="00126FA3">
              <w:rPr>
                <w:b/>
                <w:iCs/>
                <w:sz w:val="20"/>
                <w:szCs w:val="20"/>
                <w:lang w:val="en-US"/>
              </w:rPr>
              <w:t xml:space="preserve"> </w:t>
            </w:r>
            <w:r w:rsidRPr="00A23EF1">
              <w:rPr>
                <w:b/>
                <w:iCs/>
                <w:sz w:val="20"/>
                <w:szCs w:val="20"/>
                <w:lang w:val="en-US"/>
              </w:rPr>
              <w:t xml:space="preserve">and </w:t>
            </w:r>
            <w:r w:rsidRPr="00126FA3">
              <w:rPr>
                <w:b/>
                <w:iCs/>
                <w:sz w:val="20"/>
                <w:szCs w:val="20"/>
                <w:lang w:val="en-US"/>
              </w:rPr>
              <w:t>Barrier Event Determination Period</w:t>
            </w:r>
          </w:p>
        </w:tc>
        <w:tc>
          <w:tcPr>
            <w:tcW w:w="6853" w:type="dxa"/>
          </w:tcPr>
          <w:p w:rsidR="00FA2262" w:rsidRPr="00126FA3" w:rsidRDefault="00FA2262" w:rsidP="00FA2262">
            <w:pPr>
              <w:jc w:val="both"/>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sz w:val="20"/>
                <w:szCs w:val="20"/>
                <w:lang w:val="en-US"/>
              </w:rPr>
              <w:t xml:space="preserve">A Barrier Event occurs if on </w:t>
            </w:r>
            <w:r w:rsidRPr="00126FA3">
              <w:rPr>
                <w:b/>
                <w:iCs/>
                <w:sz w:val="20"/>
                <w:szCs w:val="20"/>
                <w:lang w:val="en-US"/>
              </w:rPr>
              <w:t>Barrier Event Determination Period</w:t>
            </w:r>
            <w:r>
              <w:rPr>
                <w:b/>
                <w:iCs/>
                <w:sz w:val="20"/>
                <w:szCs w:val="20"/>
                <w:lang w:val="en-US"/>
              </w:rPr>
              <w:t>,</w:t>
            </w:r>
            <w:r w:rsidRPr="000C0766">
              <w:rPr>
                <w:b/>
                <w:color w:val="000000"/>
                <w:sz w:val="20"/>
                <w:szCs w:val="20"/>
                <w:lang w:val="en-US"/>
              </w:rPr>
              <w:t xml:space="preserve"> </w:t>
            </w:r>
            <w:r w:rsidRPr="00E512CB">
              <w:rPr>
                <w:b/>
                <w:sz w:val="20"/>
                <w:szCs w:val="20"/>
                <w:lang w:val="en-US"/>
              </w:rPr>
              <w:t>equal to the Valuation Date</w:t>
            </w:r>
            <w:r w:rsidRPr="00CC2F1C">
              <w:rPr>
                <w:sz w:val="20"/>
                <w:szCs w:val="20"/>
                <w:lang w:val="en-US"/>
              </w:rPr>
              <w:t xml:space="preserve"> </w:t>
            </w:r>
            <w:r w:rsidR="00147B20" w:rsidRPr="00ED1979">
              <w:rPr>
                <w:b/>
                <w:bCs/>
                <w:sz w:val="20"/>
                <w:szCs w:val="20"/>
                <w:lang w:val="en-US"/>
              </w:rPr>
              <w:t>2</w:t>
            </w:r>
            <w:r w:rsidR="000B5B26">
              <w:rPr>
                <w:b/>
                <w:bCs/>
                <w:sz w:val="20"/>
                <w:szCs w:val="20"/>
                <w:lang w:val="en-US"/>
              </w:rPr>
              <w:t>8</w:t>
            </w:r>
            <w:r w:rsidR="00147B20" w:rsidRPr="00ED1979">
              <w:rPr>
                <w:b/>
                <w:bCs/>
                <w:sz w:val="20"/>
                <w:szCs w:val="20"/>
                <w:lang w:val="en-US"/>
              </w:rPr>
              <w:t>/</w:t>
            </w:r>
            <w:r w:rsidR="004F4EF9">
              <w:rPr>
                <w:b/>
                <w:bCs/>
                <w:sz w:val="20"/>
                <w:szCs w:val="20"/>
                <w:lang w:val="en-US"/>
              </w:rPr>
              <w:t>0</w:t>
            </w:r>
            <w:r w:rsidR="00263060">
              <w:rPr>
                <w:b/>
                <w:bCs/>
                <w:sz w:val="20"/>
                <w:szCs w:val="20"/>
                <w:lang w:val="en-US"/>
              </w:rPr>
              <w:t>4</w:t>
            </w:r>
            <w:r w:rsidR="00147B20" w:rsidRPr="00ED1979">
              <w:rPr>
                <w:b/>
                <w:bCs/>
                <w:sz w:val="20"/>
                <w:szCs w:val="20"/>
                <w:lang w:val="en-US"/>
              </w:rPr>
              <w:t>/</w:t>
            </w:r>
            <w:r w:rsidRPr="00147B20">
              <w:rPr>
                <w:b/>
                <w:color w:val="000000"/>
                <w:sz w:val="20"/>
                <w:szCs w:val="20"/>
                <w:lang w:val="en-US"/>
              </w:rPr>
              <w:t>202</w:t>
            </w:r>
            <w:r w:rsidR="003D5F1A">
              <w:rPr>
                <w:b/>
                <w:color w:val="000000"/>
                <w:sz w:val="20"/>
                <w:szCs w:val="20"/>
                <w:lang w:val="en-US"/>
              </w:rPr>
              <w:t>2</w:t>
            </w:r>
            <w:bookmarkStart w:id="2" w:name="_GoBack"/>
            <w:bookmarkEnd w:id="2"/>
            <w:r>
              <w:rPr>
                <w:b/>
                <w:color w:val="000000"/>
                <w:sz w:val="20"/>
                <w:szCs w:val="20"/>
                <w:lang w:val="en-US"/>
              </w:rPr>
              <w:t xml:space="preserve">, </w:t>
            </w:r>
            <w:r>
              <w:rPr>
                <w:sz w:val="20"/>
                <w:szCs w:val="20"/>
                <w:lang w:val="en-US"/>
              </w:rPr>
              <w:t>the FRV is LOWER than the Barrier Level.</w:t>
            </w:r>
          </w:p>
        </w:tc>
      </w:tr>
      <w:tr w:rsidR="00FA2262" w:rsidRPr="00283607" w:rsidTr="003F2F0D">
        <w:trPr>
          <w:cnfStyle w:val="000000010000" w:firstRow="0" w:lastRow="0" w:firstColumn="0" w:lastColumn="0" w:oddVBand="0" w:evenVBand="0" w:oddHBand="0" w:evenHBand="1"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335" w:type="dxa"/>
          </w:tcPr>
          <w:p w:rsidR="00FA2262" w:rsidRPr="00ED1350" w:rsidRDefault="00FA2262" w:rsidP="00FA2262">
            <w:pPr>
              <w:rPr>
                <w:b/>
                <w:iCs/>
                <w:sz w:val="20"/>
                <w:szCs w:val="20"/>
              </w:rPr>
            </w:pPr>
            <w:proofErr w:type="spellStart"/>
            <w:r w:rsidRPr="00ED1350">
              <w:rPr>
                <w:b/>
                <w:iCs/>
                <w:sz w:val="20"/>
                <w:szCs w:val="20"/>
              </w:rPr>
              <w:t>Barrier</w:t>
            </w:r>
            <w:proofErr w:type="spellEnd"/>
            <w:r w:rsidRPr="00ED1350">
              <w:rPr>
                <w:b/>
                <w:iCs/>
                <w:sz w:val="20"/>
                <w:szCs w:val="20"/>
              </w:rPr>
              <w:t xml:space="preserve"> Level</w:t>
            </w:r>
          </w:p>
        </w:tc>
        <w:tc>
          <w:tcPr>
            <w:tcW w:w="6853" w:type="dxa"/>
          </w:tcPr>
          <w:p w:rsidR="00FA2262" w:rsidRPr="00ED1350" w:rsidRDefault="000B5B26" w:rsidP="00FA2262">
            <w:pPr>
              <w:cnfStyle w:val="000000010000" w:firstRow="0" w:lastRow="0" w:firstColumn="0" w:lastColumn="0" w:oddVBand="0" w:evenVBand="0" w:oddHBand="0" w:evenHBand="1" w:firstRowFirstColumn="0" w:firstRowLastColumn="0" w:lastRowFirstColumn="0" w:lastRowLastColumn="0"/>
              <w:rPr>
                <w:sz w:val="20"/>
                <w:szCs w:val="20"/>
                <w:lang w:val="en-US"/>
              </w:rPr>
            </w:pPr>
            <w:r>
              <w:rPr>
                <w:sz w:val="20"/>
                <w:szCs w:val="20"/>
                <w:lang w:val="en-US"/>
              </w:rPr>
              <w:t>7</w:t>
            </w:r>
            <w:r w:rsidR="00263060">
              <w:rPr>
                <w:sz w:val="20"/>
                <w:szCs w:val="20"/>
                <w:lang w:val="en-US"/>
              </w:rPr>
              <w:t>0</w:t>
            </w:r>
            <w:r w:rsidR="00FA2262" w:rsidRPr="00ED1350">
              <w:rPr>
                <w:sz w:val="20"/>
                <w:szCs w:val="20"/>
                <w:lang w:val="en-US"/>
              </w:rPr>
              <w:t xml:space="preserve">% * IRV </w:t>
            </w:r>
          </w:p>
        </w:tc>
      </w:tr>
      <w:tr w:rsidR="00FA2262" w:rsidRPr="003D5F1A" w:rsidTr="003F2F0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FA2262" w:rsidRPr="00914FD4" w:rsidRDefault="00FA2262" w:rsidP="00FA2262">
            <w:pPr>
              <w:rPr>
                <w:b/>
                <w:iCs/>
                <w:sz w:val="20"/>
                <w:szCs w:val="20"/>
                <w:lang w:val="en-US"/>
              </w:rPr>
            </w:pPr>
            <w:r w:rsidRPr="00914FD4">
              <w:rPr>
                <w:b/>
                <w:iCs/>
                <w:sz w:val="20"/>
                <w:szCs w:val="20"/>
                <w:lang w:val="en-US"/>
              </w:rPr>
              <w:t>Cash Settlement Amount</w:t>
            </w:r>
          </w:p>
        </w:tc>
        <w:tc>
          <w:tcPr>
            <w:tcW w:w="6853" w:type="dxa"/>
          </w:tcPr>
          <w:p w:rsidR="00FA2262" w:rsidRPr="00914FD4" w:rsidRDefault="00FA2262" w:rsidP="00FA2262">
            <w:pPr>
              <w:jc w:val="both"/>
              <w:cnfStyle w:val="000000100000" w:firstRow="0" w:lastRow="0" w:firstColumn="0" w:lastColumn="0" w:oddVBand="0" w:evenVBand="0" w:oddHBand="1" w:evenHBand="0" w:firstRowFirstColumn="0" w:firstRowLastColumn="0" w:lastRowFirstColumn="0" w:lastRowLastColumn="0"/>
              <w:rPr>
                <w:i/>
                <w:iCs/>
                <w:sz w:val="20"/>
                <w:szCs w:val="20"/>
                <w:lang w:val="en-US" w:eastAsia="en-US"/>
              </w:rPr>
            </w:pPr>
          </w:p>
          <w:p w:rsidR="00FA2262" w:rsidRDefault="00FA2262" w:rsidP="00FA2262">
            <w:pPr>
              <w:jc w:val="both"/>
              <w:cnfStyle w:val="000000100000" w:firstRow="0" w:lastRow="0" w:firstColumn="0" w:lastColumn="0" w:oddVBand="0" w:evenVBand="0" w:oddHBand="1" w:evenHBand="0" w:firstRowFirstColumn="0" w:firstRowLastColumn="0" w:lastRowFirstColumn="0" w:lastRowLastColumn="0"/>
              <w:rPr>
                <w:b/>
                <w:bCs/>
                <w:i/>
                <w:iCs/>
                <w:sz w:val="20"/>
                <w:szCs w:val="20"/>
                <w:lang w:val="en-US"/>
              </w:rPr>
            </w:pPr>
            <w:r>
              <w:rPr>
                <w:b/>
                <w:bCs/>
                <w:i/>
                <w:iCs/>
                <w:sz w:val="20"/>
                <w:szCs w:val="20"/>
                <w:lang w:val="en-US"/>
              </w:rPr>
              <w:t>No barrier event:</w:t>
            </w:r>
          </w:p>
          <w:p w:rsidR="00FA2262" w:rsidRDefault="00FA2262" w:rsidP="00FA2262">
            <w:pPr>
              <w:jc w:val="both"/>
              <w:cnfStyle w:val="000000100000" w:firstRow="0" w:lastRow="0" w:firstColumn="0" w:lastColumn="0" w:oddVBand="0" w:evenVBand="0" w:oddHBand="1" w:evenHBand="0" w:firstRowFirstColumn="0" w:firstRowLastColumn="0" w:lastRowFirstColumn="0" w:lastRowLastColumn="0"/>
              <w:rPr>
                <w:i/>
                <w:iCs/>
                <w:sz w:val="20"/>
                <w:szCs w:val="20"/>
                <w:lang w:val="en-US"/>
              </w:rPr>
            </w:pPr>
            <w:r>
              <w:rPr>
                <w:i/>
                <w:iCs/>
                <w:sz w:val="20"/>
                <w:szCs w:val="20"/>
                <w:lang w:val="en-US"/>
              </w:rPr>
              <w:t>(Initial Percentage x Initial Reference Value x Multiplier) x Minimum Exercise Amount</w:t>
            </w:r>
          </w:p>
          <w:p w:rsidR="00FA2262" w:rsidRDefault="00FA2262" w:rsidP="00FA2262">
            <w:pPr>
              <w:jc w:val="both"/>
              <w:cnfStyle w:val="000000100000" w:firstRow="0" w:lastRow="0" w:firstColumn="0" w:lastColumn="0" w:oddVBand="0" w:evenVBand="0" w:oddHBand="1" w:evenHBand="0" w:firstRowFirstColumn="0" w:firstRowLastColumn="0" w:lastRowFirstColumn="0" w:lastRowLastColumn="0"/>
              <w:rPr>
                <w:i/>
                <w:iCs/>
                <w:sz w:val="20"/>
                <w:szCs w:val="20"/>
                <w:lang w:val="en-US"/>
              </w:rPr>
            </w:pPr>
          </w:p>
          <w:p w:rsidR="00FA2262" w:rsidRDefault="00FA2262" w:rsidP="00FA2262">
            <w:pPr>
              <w:jc w:val="both"/>
              <w:cnfStyle w:val="000000100000" w:firstRow="0" w:lastRow="0" w:firstColumn="0" w:lastColumn="0" w:oddVBand="0" w:evenVBand="0" w:oddHBand="1" w:evenHBand="0" w:firstRowFirstColumn="0" w:firstRowLastColumn="0" w:lastRowFirstColumn="0" w:lastRowLastColumn="0"/>
              <w:rPr>
                <w:b/>
                <w:bCs/>
                <w:i/>
                <w:iCs/>
                <w:sz w:val="20"/>
                <w:szCs w:val="20"/>
                <w:lang w:val="en-US"/>
              </w:rPr>
            </w:pPr>
            <w:r>
              <w:rPr>
                <w:b/>
                <w:bCs/>
                <w:i/>
                <w:iCs/>
                <w:sz w:val="20"/>
                <w:szCs w:val="20"/>
                <w:lang w:val="en-US"/>
              </w:rPr>
              <w:t xml:space="preserve">Barrier event  </w:t>
            </w:r>
          </w:p>
          <w:p w:rsidR="00FA2262" w:rsidRPr="00914FD4" w:rsidRDefault="00FA2262" w:rsidP="00FA2262">
            <w:pPr>
              <w:jc w:val="both"/>
              <w:cnfStyle w:val="000000100000" w:firstRow="0" w:lastRow="0" w:firstColumn="0" w:lastColumn="0" w:oddVBand="0" w:evenVBand="0" w:oddHBand="1" w:evenHBand="0" w:firstRowFirstColumn="0" w:firstRowLastColumn="0" w:lastRowFirstColumn="0" w:lastRowLastColumn="0"/>
              <w:rPr>
                <w:i/>
                <w:iCs/>
                <w:sz w:val="20"/>
                <w:szCs w:val="20"/>
                <w:lang w:val="en-US" w:eastAsia="en-US"/>
              </w:rPr>
            </w:pPr>
            <w:r>
              <w:rPr>
                <w:i/>
                <w:iCs/>
                <w:sz w:val="20"/>
                <w:szCs w:val="20"/>
                <w:lang w:val="en-US"/>
              </w:rPr>
              <w:t>Final Reference Value x Multiplier x Minimum Exercise Amount</w:t>
            </w:r>
          </w:p>
        </w:tc>
      </w:tr>
      <w:tr w:rsidR="00FA2262" w:rsidRPr="00914FD4" w:rsidTr="00151466">
        <w:trPr>
          <w:cnfStyle w:val="000000010000" w:firstRow="0" w:lastRow="0" w:firstColumn="0" w:lastColumn="0" w:oddVBand="0" w:evenVBand="0" w:oddHBand="0" w:evenHBand="1"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35" w:type="dxa"/>
          </w:tcPr>
          <w:p w:rsidR="00FA2262" w:rsidRPr="00914FD4" w:rsidRDefault="00FA2262" w:rsidP="00FA2262">
            <w:pPr>
              <w:jc w:val="both"/>
              <w:rPr>
                <w:b/>
                <w:iCs/>
                <w:sz w:val="20"/>
                <w:szCs w:val="20"/>
              </w:rPr>
            </w:pPr>
            <w:r w:rsidRPr="00914FD4">
              <w:rPr>
                <w:b/>
                <w:iCs/>
                <w:sz w:val="20"/>
                <w:szCs w:val="20"/>
              </w:rPr>
              <w:t xml:space="preserve">Minimum </w:t>
            </w:r>
            <w:proofErr w:type="spellStart"/>
            <w:r w:rsidRPr="00914FD4">
              <w:rPr>
                <w:b/>
                <w:iCs/>
                <w:sz w:val="20"/>
                <w:szCs w:val="20"/>
              </w:rPr>
              <w:t>Exercise</w:t>
            </w:r>
            <w:proofErr w:type="spellEnd"/>
            <w:r w:rsidRPr="00914FD4">
              <w:rPr>
                <w:b/>
                <w:iCs/>
                <w:sz w:val="20"/>
                <w:szCs w:val="20"/>
              </w:rPr>
              <w:t xml:space="preserve"> </w:t>
            </w:r>
            <w:proofErr w:type="spellStart"/>
            <w:r w:rsidRPr="00914FD4">
              <w:rPr>
                <w:b/>
                <w:iCs/>
                <w:sz w:val="20"/>
                <w:szCs w:val="20"/>
              </w:rPr>
              <w:t>Amount</w:t>
            </w:r>
            <w:proofErr w:type="spellEnd"/>
          </w:p>
        </w:tc>
        <w:tc>
          <w:tcPr>
            <w:tcW w:w="6853" w:type="dxa"/>
          </w:tcPr>
          <w:p w:rsidR="00FA2262" w:rsidRPr="00914FD4" w:rsidRDefault="00FA2262" w:rsidP="00FA226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sz w:val="20"/>
                <w:szCs w:val="20"/>
                <w:lang w:val="en-US"/>
              </w:rPr>
            </w:pPr>
            <w:r w:rsidRPr="00914FD4">
              <w:rPr>
                <w:sz w:val="20"/>
                <w:szCs w:val="20"/>
                <w:lang w:val="en-US"/>
              </w:rPr>
              <w:t>1 Certificate</w:t>
            </w:r>
          </w:p>
        </w:tc>
      </w:tr>
      <w:tr w:rsidR="00FA2262" w:rsidRPr="003D5F1A" w:rsidTr="003F2F0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FA2262" w:rsidRPr="00914FD4" w:rsidRDefault="00FA2262" w:rsidP="00FA2262">
            <w:pPr>
              <w:jc w:val="both"/>
              <w:rPr>
                <w:b/>
                <w:iCs/>
                <w:sz w:val="20"/>
                <w:szCs w:val="20"/>
              </w:rPr>
            </w:pPr>
            <w:r w:rsidRPr="00914FD4">
              <w:rPr>
                <w:b/>
                <w:iCs/>
                <w:sz w:val="20"/>
                <w:szCs w:val="20"/>
              </w:rPr>
              <w:t>Multiplier</w:t>
            </w:r>
          </w:p>
        </w:tc>
        <w:tc>
          <w:tcPr>
            <w:tcW w:w="6853" w:type="dxa"/>
          </w:tcPr>
          <w:p w:rsidR="00FA2262" w:rsidRPr="00914FD4" w:rsidRDefault="00FA2262" w:rsidP="00FA22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914FD4">
              <w:rPr>
                <w:sz w:val="20"/>
                <w:szCs w:val="20"/>
                <w:lang w:val="en-US"/>
              </w:rPr>
              <w:t>Issue price divided by IRV</w:t>
            </w:r>
          </w:p>
        </w:tc>
      </w:tr>
      <w:tr w:rsidR="00FA2262" w:rsidRPr="00914FD4" w:rsidTr="003F2F0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FA2262" w:rsidRPr="00914FD4" w:rsidRDefault="00FA2262" w:rsidP="00FA2262">
            <w:pPr>
              <w:jc w:val="both"/>
              <w:rPr>
                <w:b/>
                <w:iCs/>
                <w:sz w:val="20"/>
                <w:szCs w:val="20"/>
              </w:rPr>
            </w:pPr>
            <w:proofErr w:type="spellStart"/>
            <w:r w:rsidRPr="00914FD4">
              <w:rPr>
                <w:b/>
                <w:iCs/>
                <w:sz w:val="20"/>
                <w:szCs w:val="20"/>
              </w:rPr>
              <w:t>Issue</w:t>
            </w:r>
            <w:proofErr w:type="spellEnd"/>
            <w:r w:rsidRPr="00914FD4">
              <w:rPr>
                <w:b/>
                <w:iCs/>
                <w:sz w:val="20"/>
                <w:szCs w:val="20"/>
              </w:rPr>
              <w:t xml:space="preserve"> Price</w:t>
            </w:r>
          </w:p>
        </w:tc>
        <w:tc>
          <w:tcPr>
            <w:tcW w:w="6853" w:type="dxa"/>
          </w:tcPr>
          <w:p w:rsidR="00FA2262" w:rsidRPr="00914FD4" w:rsidRDefault="00FA2262" w:rsidP="00FA2262">
            <w:pPr>
              <w:jc w:val="both"/>
              <w:cnfStyle w:val="000000010000" w:firstRow="0" w:lastRow="0" w:firstColumn="0" w:lastColumn="0" w:oddVBand="0" w:evenVBand="0" w:oddHBand="0" w:evenHBand="1" w:firstRowFirstColumn="0" w:firstRowLastColumn="0" w:lastRowFirstColumn="0" w:lastRowLastColumn="0"/>
              <w:rPr>
                <w:sz w:val="20"/>
                <w:szCs w:val="20"/>
                <w:lang w:val="en-US"/>
              </w:rPr>
            </w:pPr>
            <w:r w:rsidRPr="00914FD4">
              <w:rPr>
                <w:sz w:val="20"/>
                <w:szCs w:val="20"/>
                <w:lang w:val="en-US"/>
              </w:rPr>
              <w:t>EUR 1</w:t>
            </w:r>
            <w:r w:rsidR="00A428D9">
              <w:rPr>
                <w:sz w:val="20"/>
                <w:szCs w:val="20"/>
                <w:lang w:val="en-US"/>
              </w:rPr>
              <w:t>00</w:t>
            </w:r>
            <w:r>
              <w:rPr>
                <w:sz w:val="20"/>
                <w:szCs w:val="20"/>
                <w:lang w:val="en-US"/>
              </w:rPr>
              <w:t>,</w:t>
            </w:r>
            <w:r w:rsidRPr="00914FD4">
              <w:rPr>
                <w:sz w:val="20"/>
                <w:szCs w:val="20"/>
                <w:lang w:val="en-US"/>
              </w:rPr>
              <w:t xml:space="preserve">000  </w:t>
            </w:r>
          </w:p>
        </w:tc>
      </w:tr>
      <w:tr w:rsidR="00FA2262" w:rsidRPr="00914FD4" w:rsidTr="003F2F0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FA2262" w:rsidRPr="00914FD4" w:rsidRDefault="00FA2262" w:rsidP="00FA2262">
            <w:pPr>
              <w:rPr>
                <w:b/>
                <w:iCs/>
                <w:sz w:val="20"/>
                <w:szCs w:val="20"/>
                <w:lang w:val="en-US"/>
              </w:rPr>
            </w:pPr>
            <w:r w:rsidRPr="00914FD4">
              <w:rPr>
                <w:b/>
                <w:iCs/>
                <w:sz w:val="20"/>
                <w:szCs w:val="20"/>
                <w:lang w:val="en-US"/>
              </w:rPr>
              <w:t>Listing</w:t>
            </w:r>
          </w:p>
        </w:tc>
        <w:tc>
          <w:tcPr>
            <w:tcW w:w="6853" w:type="dxa"/>
          </w:tcPr>
          <w:p w:rsidR="00FA2262" w:rsidRPr="00914FD4" w:rsidRDefault="00FA2262" w:rsidP="00FA2262">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914FD4">
              <w:rPr>
                <w:sz w:val="20"/>
                <w:szCs w:val="20"/>
                <w:lang w:val="en-US"/>
              </w:rPr>
              <w:t xml:space="preserve"> </w:t>
            </w:r>
            <w:proofErr w:type="spellStart"/>
            <w:r w:rsidR="00263060" w:rsidRPr="00263060">
              <w:rPr>
                <w:sz w:val="20"/>
                <w:szCs w:val="20"/>
                <w:lang w:val="en-US"/>
              </w:rPr>
              <w:t>SeDeX</w:t>
            </w:r>
            <w:proofErr w:type="spellEnd"/>
            <w:r w:rsidR="00263060" w:rsidRPr="00263060">
              <w:rPr>
                <w:sz w:val="20"/>
                <w:szCs w:val="20"/>
                <w:lang w:val="en-US"/>
              </w:rPr>
              <w:t xml:space="preserve"> </w:t>
            </w:r>
            <w:r w:rsidRPr="00914FD4">
              <w:rPr>
                <w:sz w:val="20"/>
                <w:szCs w:val="20"/>
                <w:lang w:val="en-US"/>
              </w:rPr>
              <w:t>+ LUSE</w:t>
            </w:r>
          </w:p>
        </w:tc>
      </w:tr>
      <w:tr w:rsidR="00FA2262" w:rsidRPr="003D5F1A" w:rsidTr="003F2F0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Borders>
              <w:top w:val="single" w:sz="4" w:space="0" w:color="808080"/>
              <w:left w:val="nil"/>
              <w:bottom w:val="single" w:sz="4" w:space="0" w:color="808080"/>
              <w:right w:val="nil"/>
            </w:tcBorders>
            <w:hideMark/>
          </w:tcPr>
          <w:p w:rsidR="00FA2262" w:rsidRPr="00914FD4" w:rsidRDefault="00FA2262" w:rsidP="00FA2262">
            <w:pPr>
              <w:rPr>
                <w:b/>
                <w:iCs/>
                <w:sz w:val="20"/>
                <w:szCs w:val="20"/>
                <w:lang w:val="en-US"/>
              </w:rPr>
            </w:pPr>
            <w:r w:rsidRPr="00914FD4">
              <w:rPr>
                <w:rFonts w:eastAsia="Arial Unicode MS"/>
                <w:b/>
                <w:sz w:val="20"/>
                <w:szCs w:val="20"/>
                <w:lang w:val="en-US"/>
              </w:rPr>
              <w:t>Conditions to which the offer is subject</w:t>
            </w:r>
          </w:p>
        </w:tc>
        <w:tc>
          <w:tcPr>
            <w:tcW w:w="6853" w:type="dxa"/>
            <w:tcBorders>
              <w:top w:val="single" w:sz="4" w:space="0" w:color="808080"/>
              <w:left w:val="nil"/>
              <w:bottom w:val="single" w:sz="4" w:space="0" w:color="808080"/>
              <w:right w:val="nil"/>
            </w:tcBorders>
            <w:hideMark/>
          </w:tcPr>
          <w:p w:rsidR="00FA2262" w:rsidRPr="00914FD4" w:rsidRDefault="00FA2262" w:rsidP="00FA2262">
            <w:pPr>
              <w:jc w:val="both"/>
              <w:cnfStyle w:val="000000010000" w:firstRow="0" w:lastRow="0" w:firstColumn="0" w:lastColumn="0" w:oddVBand="0" w:evenVBand="0" w:oddHBand="0" w:evenHBand="1" w:firstRowFirstColumn="0" w:firstRowLastColumn="0" w:lastRowFirstColumn="0" w:lastRowLastColumn="0"/>
              <w:rPr>
                <w:i/>
                <w:iCs/>
                <w:sz w:val="20"/>
                <w:szCs w:val="20"/>
                <w:lang w:val="en-US" w:eastAsia="en-US"/>
              </w:rPr>
            </w:pPr>
            <w:r w:rsidRPr="00914FD4">
              <w:rPr>
                <w:i/>
                <w:iCs/>
                <w:sz w:val="20"/>
                <w:szCs w:val="20"/>
                <w:lang w:val="en-US"/>
              </w:rPr>
              <w:t>Offer of the Securities is conditional on their issue and on the release by a Trading Venue, before the Issue Date, of the relevant authori</w:t>
            </w:r>
            <w:r>
              <w:rPr>
                <w:i/>
                <w:iCs/>
                <w:sz w:val="20"/>
                <w:szCs w:val="20"/>
                <w:lang w:val="en-US"/>
              </w:rPr>
              <w:t>z</w:t>
            </w:r>
            <w:r w:rsidRPr="00914FD4">
              <w:rPr>
                <w:i/>
                <w:iCs/>
                <w:sz w:val="20"/>
                <w:szCs w:val="20"/>
                <w:lang w:val="en-US"/>
              </w:rPr>
              <w:t>ation to the admission to trading of the Securities.</w:t>
            </w:r>
          </w:p>
        </w:tc>
      </w:tr>
      <w:tr w:rsidR="00FA2262" w:rsidRPr="00914FD4" w:rsidTr="003F2F0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FA2262" w:rsidRPr="00914FD4" w:rsidRDefault="00FA2262" w:rsidP="00FA2262">
            <w:pPr>
              <w:rPr>
                <w:b/>
                <w:iCs/>
                <w:sz w:val="20"/>
                <w:szCs w:val="20"/>
                <w:lang w:val="en-US"/>
              </w:rPr>
            </w:pPr>
            <w:r w:rsidRPr="00914FD4">
              <w:rPr>
                <w:b/>
                <w:iCs/>
                <w:sz w:val="20"/>
                <w:szCs w:val="20"/>
                <w:lang w:val="en-US"/>
              </w:rPr>
              <w:t>Calculation Agent</w:t>
            </w:r>
          </w:p>
        </w:tc>
        <w:tc>
          <w:tcPr>
            <w:tcW w:w="6853" w:type="dxa"/>
          </w:tcPr>
          <w:p w:rsidR="00FA2262" w:rsidRPr="00914FD4" w:rsidRDefault="00FA2262" w:rsidP="00FA2262">
            <w:pPr>
              <w:jc w:val="both"/>
              <w:cnfStyle w:val="000000100000" w:firstRow="0" w:lastRow="0" w:firstColumn="0" w:lastColumn="0" w:oddVBand="0" w:evenVBand="0" w:oddHBand="1" w:evenHBand="0" w:firstRowFirstColumn="0" w:firstRowLastColumn="0" w:lastRowFirstColumn="0" w:lastRowLastColumn="0"/>
              <w:rPr>
                <w:sz w:val="20"/>
                <w:szCs w:val="20"/>
              </w:rPr>
            </w:pPr>
            <w:r w:rsidRPr="00914FD4">
              <w:rPr>
                <w:sz w:val="20"/>
                <w:szCs w:val="20"/>
              </w:rPr>
              <w:t>Banca IMI S.p.A.</w:t>
            </w:r>
          </w:p>
        </w:tc>
      </w:tr>
      <w:tr w:rsidR="00A428D9" w:rsidRPr="003D5F1A" w:rsidTr="003F2F0D">
        <w:tblPrEx>
          <w:tblCellMar>
            <w:top w:w="28" w:type="dxa"/>
            <w:bottom w:w="28" w:type="dxa"/>
          </w:tblCellMar>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35" w:type="dxa"/>
          </w:tcPr>
          <w:p w:rsidR="00A428D9" w:rsidRDefault="00A428D9" w:rsidP="00A428D9">
            <w:pPr>
              <w:jc w:val="both"/>
              <w:rPr>
                <w:b/>
                <w:iCs/>
                <w:sz w:val="20"/>
                <w:szCs w:val="20"/>
              </w:rPr>
            </w:pPr>
            <w:r>
              <w:rPr>
                <w:b/>
                <w:iCs/>
                <w:sz w:val="20"/>
                <w:szCs w:val="20"/>
              </w:rPr>
              <w:t xml:space="preserve">Distribution </w:t>
            </w:r>
            <w:proofErr w:type="spellStart"/>
            <w:r>
              <w:rPr>
                <w:b/>
                <w:iCs/>
                <w:sz w:val="20"/>
                <w:szCs w:val="20"/>
              </w:rPr>
              <w:t>fee</w:t>
            </w:r>
            <w:proofErr w:type="spellEnd"/>
          </w:p>
        </w:tc>
        <w:tc>
          <w:tcPr>
            <w:tcW w:w="6853" w:type="dxa"/>
          </w:tcPr>
          <w:p w:rsidR="00A428D9" w:rsidRDefault="00A428D9" w:rsidP="00A428D9">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sz w:val="20"/>
                <w:szCs w:val="20"/>
                <w:lang w:val="en-US"/>
              </w:rPr>
            </w:pPr>
            <w:r>
              <w:rPr>
                <w:sz w:val="20"/>
                <w:szCs w:val="20"/>
                <w:lang w:val="en-US"/>
              </w:rPr>
              <w:t>The Issuer will pay to the Managers a distribution fee: (</w:t>
            </w:r>
            <w:proofErr w:type="spellStart"/>
            <w:r>
              <w:rPr>
                <w:sz w:val="20"/>
                <w:szCs w:val="20"/>
                <w:lang w:val="en-US"/>
              </w:rPr>
              <w:t>i</w:t>
            </w:r>
            <w:proofErr w:type="spellEnd"/>
            <w:r>
              <w:rPr>
                <w:sz w:val="20"/>
                <w:szCs w:val="20"/>
                <w:lang w:val="en-US"/>
              </w:rPr>
              <w:t xml:space="preserve">) equal to 1% of the amount placed up to an amount of certificates placed of EUR TBD  </w:t>
            </w:r>
            <w:proofErr w:type="spellStart"/>
            <w:r>
              <w:rPr>
                <w:sz w:val="20"/>
                <w:szCs w:val="20"/>
                <w:lang w:val="en-US"/>
              </w:rPr>
              <w:t>mln</w:t>
            </w:r>
            <w:proofErr w:type="spellEnd"/>
            <w:r>
              <w:rPr>
                <w:sz w:val="20"/>
                <w:szCs w:val="20"/>
                <w:lang w:val="en-US"/>
              </w:rPr>
              <w:t xml:space="preserve"> and (ii) equal to a percentage of the amount of the certificates placed in excess so that the aggregate distribution fee paid by the Issuer to the Managers will be not higher than 3.5% of the aggregate amount placed.</w:t>
            </w:r>
          </w:p>
        </w:tc>
      </w:tr>
      <w:tr w:rsidR="00FA2262" w:rsidRPr="00A428D9" w:rsidTr="000B5B2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335" w:type="dxa"/>
          </w:tcPr>
          <w:p w:rsidR="00FA2262" w:rsidRPr="00914FD4" w:rsidRDefault="00FA2262" w:rsidP="00FA2262">
            <w:pPr>
              <w:rPr>
                <w:b/>
                <w:iCs/>
                <w:sz w:val="20"/>
                <w:szCs w:val="20"/>
                <w:lang w:val="en-US"/>
              </w:rPr>
            </w:pPr>
            <w:r w:rsidRPr="00A428D9">
              <w:rPr>
                <w:rFonts w:ascii="TimesNewRomanPS-BoldMT" w:hAnsi="TimesNewRomanPS-BoldMT" w:cs="TimesNewRomanPS-BoldMT"/>
                <w:b/>
                <w:bCs/>
                <w:sz w:val="19"/>
                <w:szCs w:val="19"/>
                <w:lang w:val="en-US" w:eastAsia="en-US"/>
              </w:rPr>
              <w:t>Business Day Convention</w:t>
            </w:r>
          </w:p>
        </w:tc>
        <w:tc>
          <w:tcPr>
            <w:tcW w:w="6853" w:type="dxa"/>
          </w:tcPr>
          <w:p w:rsidR="00FA2262" w:rsidRPr="00914FD4" w:rsidRDefault="00412B32" w:rsidP="00FA2262">
            <w:pPr>
              <w:ind w:left="252" w:hanging="252"/>
              <w:cnfStyle w:val="000000100000" w:firstRow="0" w:lastRow="0" w:firstColumn="0" w:lastColumn="0" w:oddVBand="0" w:evenVBand="0" w:oddHBand="1" w:evenHBand="0" w:firstRowFirstColumn="0" w:firstRowLastColumn="0" w:lastRowFirstColumn="0" w:lastRowLastColumn="0"/>
              <w:rPr>
                <w:sz w:val="20"/>
                <w:szCs w:val="20"/>
                <w:lang w:val="en-US"/>
              </w:rPr>
            </w:pPr>
            <w:r w:rsidRPr="00F40D1B">
              <w:rPr>
                <w:sz w:val="20"/>
                <w:szCs w:val="20"/>
                <w:lang w:val="en-US"/>
              </w:rPr>
              <w:t>Following Unadjusted</w:t>
            </w:r>
          </w:p>
        </w:tc>
      </w:tr>
      <w:tr w:rsidR="00A428D9" w:rsidRPr="003D5F1A" w:rsidTr="000B5B2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335" w:type="dxa"/>
          </w:tcPr>
          <w:p w:rsidR="00A428D9" w:rsidRDefault="00A428D9" w:rsidP="00A428D9">
            <w:pPr>
              <w:jc w:val="both"/>
              <w:rPr>
                <w:b/>
                <w:iCs/>
                <w:sz w:val="20"/>
                <w:szCs w:val="20"/>
                <w:highlight w:val="yellow"/>
                <w:lang w:val="en-US"/>
              </w:rPr>
            </w:pPr>
            <w:r>
              <w:rPr>
                <w:b/>
                <w:iCs/>
                <w:sz w:val="20"/>
                <w:szCs w:val="20"/>
                <w:lang w:val="en-US"/>
              </w:rPr>
              <w:t>Cost relating to the managing of the unsold securities:</w:t>
            </w:r>
          </w:p>
        </w:tc>
        <w:tc>
          <w:tcPr>
            <w:tcW w:w="6853" w:type="dxa"/>
          </w:tcPr>
          <w:p w:rsidR="00A428D9" w:rsidRDefault="00A428D9" w:rsidP="00A428D9">
            <w:pPr>
              <w:jc w:val="both"/>
              <w:cnfStyle w:val="000000010000" w:firstRow="0" w:lastRow="0" w:firstColumn="0" w:lastColumn="0" w:oddVBand="0" w:evenVBand="0" w:oddHBand="0" w:evenHBand="1" w:firstRowFirstColumn="0" w:firstRowLastColumn="0" w:lastRowFirstColumn="0" w:lastRowLastColumn="0"/>
              <w:rPr>
                <w:bCs/>
                <w:sz w:val="20"/>
                <w:szCs w:val="20"/>
                <w:lang w:val="en-US"/>
              </w:rPr>
            </w:pPr>
            <w:r>
              <w:rPr>
                <w:rFonts w:eastAsia="Calibri"/>
                <w:sz w:val="20"/>
                <w:szCs w:val="20"/>
                <w:lang w:val="en-US" w:eastAsia="en-US"/>
              </w:rPr>
              <w:t xml:space="preserve">To be borne by </w:t>
            </w:r>
            <w:r>
              <w:rPr>
                <w:bCs/>
                <w:sz w:val="20"/>
                <w:szCs w:val="20"/>
                <w:lang w:val="en-US"/>
              </w:rPr>
              <w:t>Distributor</w:t>
            </w:r>
          </w:p>
        </w:tc>
      </w:tr>
      <w:tr w:rsidR="00A40539" w:rsidRPr="00FA2262" w:rsidTr="0061520F">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335" w:type="dxa"/>
          </w:tcPr>
          <w:p w:rsidR="00A40539" w:rsidRPr="003E2890" w:rsidRDefault="00A40539" w:rsidP="00FA2262">
            <w:pPr>
              <w:rPr>
                <w:b/>
                <w:iCs/>
                <w:sz w:val="20"/>
                <w:szCs w:val="20"/>
                <w:lang w:val="en-US"/>
              </w:rPr>
            </w:pPr>
            <w:proofErr w:type="spellStart"/>
            <w:r>
              <w:rPr>
                <w:b/>
                <w:bCs/>
                <w:sz w:val="20"/>
                <w:szCs w:val="20"/>
              </w:rPr>
              <w:t>Other</w:t>
            </w:r>
            <w:proofErr w:type="spellEnd"/>
            <w:r>
              <w:rPr>
                <w:b/>
                <w:bCs/>
                <w:sz w:val="20"/>
                <w:szCs w:val="20"/>
              </w:rPr>
              <w:t xml:space="preserve"> </w:t>
            </w:r>
            <w:proofErr w:type="spellStart"/>
            <w:r>
              <w:rPr>
                <w:b/>
                <w:bCs/>
                <w:sz w:val="20"/>
                <w:szCs w:val="20"/>
              </w:rPr>
              <w:t>structuring</w:t>
            </w:r>
            <w:proofErr w:type="spellEnd"/>
            <w:r>
              <w:rPr>
                <w:b/>
                <w:bCs/>
                <w:sz w:val="20"/>
                <w:szCs w:val="20"/>
              </w:rPr>
              <w:t xml:space="preserve"> </w:t>
            </w:r>
            <w:proofErr w:type="spellStart"/>
            <w:r>
              <w:rPr>
                <w:b/>
                <w:bCs/>
                <w:sz w:val="20"/>
                <w:szCs w:val="20"/>
              </w:rPr>
              <w:t>costs</w:t>
            </w:r>
            <w:proofErr w:type="spellEnd"/>
          </w:p>
        </w:tc>
        <w:tc>
          <w:tcPr>
            <w:tcW w:w="6853" w:type="dxa"/>
          </w:tcPr>
          <w:p w:rsidR="00A40539" w:rsidRPr="00914FD4" w:rsidRDefault="00ED1979" w:rsidP="00FA2262">
            <w:pPr>
              <w:ind w:left="252" w:hanging="252"/>
              <w:cnfStyle w:val="000000100000" w:firstRow="0" w:lastRow="0" w:firstColumn="0" w:lastColumn="0" w:oddVBand="0" w:evenVBand="0" w:oddHBand="1" w:evenHBand="0" w:firstRowFirstColumn="0" w:firstRowLastColumn="0" w:lastRowFirstColumn="0" w:lastRowLastColumn="0"/>
              <w:rPr>
                <w:rFonts w:eastAsia="Calibri"/>
                <w:sz w:val="20"/>
                <w:szCs w:val="20"/>
                <w:lang w:val="en-US" w:eastAsia="en-US"/>
              </w:rPr>
            </w:pPr>
            <w:r>
              <w:rPr>
                <w:rFonts w:eastAsia="Calibri"/>
                <w:sz w:val="20"/>
                <w:szCs w:val="20"/>
                <w:lang w:val="en-US" w:eastAsia="en-US"/>
              </w:rPr>
              <w:t>0.07</w:t>
            </w:r>
            <w:r w:rsidR="00A40539">
              <w:rPr>
                <w:rFonts w:eastAsia="Calibri"/>
                <w:sz w:val="20"/>
                <w:szCs w:val="20"/>
                <w:lang w:val="en-US" w:eastAsia="en-US"/>
              </w:rPr>
              <w:t>%</w:t>
            </w:r>
          </w:p>
        </w:tc>
      </w:tr>
      <w:tr w:rsidR="00FA2262" w:rsidRPr="003D5F1A" w:rsidTr="0061520F">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335" w:type="dxa"/>
          </w:tcPr>
          <w:p w:rsidR="00FA2262" w:rsidRPr="003E2890" w:rsidRDefault="00FA2262" w:rsidP="00FA2262">
            <w:pPr>
              <w:rPr>
                <w:b/>
                <w:iCs/>
                <w:sz w:val="20"/>
                <w:szCs w:val="20"/>
                <w:lang w:val="en-US"/>
              </w:rPr>
            </w:pPr>
            <w:r w:rsidRPr="003E2890">
              <w:rPr>
                <w:b/>
                <w:iCs/>
                <w:sz w:val="20"/>
                <w:szCs w:val="20"/>
                <w:lang w:val="en-US"/>
              </w:rPr>
              <w:t xml:space="preserve">Unwinding or Increase  </w:t>
            </w:r>
          </w:p>
        </w:tc>
        <w:tc>
          <w:tcPr>
            <w:tcW w:w="6853" w:type="dxa"/>
          </w:tcPr>
          <w:p w:rsidR="00FA2262" w:rsidRPr="00914FD4" w:rsidDel="005960AB" w:rsidRDefault="00FA2262" w:rsidP="00FA2262">
            <w:pPr>
              <w:ind w:left="252" w:hanging="252"/>
              <w:cnfStyle w:val="000000010000" w:firstRow="0" w:lastRow="0" w:firstColumn="0" w:lastColumn="0" w:oddVBand="0" w:evenVBand="0" w:oddHBand="0" w:evenHBand="1" w:firstRowFirstColumn="0" w:firstRowLastColumn="0" w:lastRowFirstColumn="0" w:lastRowLastColumn="0"/>
              <w:rPr>
                <w:sz w:val="20"/>
                <w:szCs w:val="20"/>
                <w:lang w:val="en-US"/>
              </w:rPr>
            </w:pPr>
            <w:r w:rsidRPr="00914FD4">
              <w:rPr>
                <w:rFonts w:eastAsia="Calibri"/>
                <w:sz w:val="20"/>
                <w:szCs w:val="20"/>
                <w:lang w:val="en-US" w:eastAsia="en-US"/>
              </w:rPr>
              <w:t>To be borne by Issuer</w:t>
            </w:r>
          </w:p>
        </w:tc>
      </w:tr>
      <w:tr w:rsidR="00A428D9" w:rsidRPr="00283607" w:rsidTr="0061520F">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335" w:type="dxa"/>
          </w:tcPr>
          <w:p w:rsidR="00A428D9" w:rsidRPr="003E2890" w:rsidRDefault="00A428D9" w:rsidP="00A428D9">
            <w:pPr>
              <w:rPr>
                <w:b/>
                <w:iCs/>
                <w:sz w:val="20"/>
                <w:szCs w:val="20"/>
                <w:lang w:val="en-US"/>
              </w:rPr>
            </w:pPr>
            <w:r w:rsidRPr="003E2890">
              <w:rPr>
                <w:b/>
                <w:iCs/>
                <w:sz w:val="20"/>
                <w:szCs w:val="20"/>
                <w:lang w:val="en-US"/>
              </w:rPr>
              <w:t>Distributor</w:t>
            </w:r>
          </w:p>
        </w:tc>
        <w:tc>
          <w:tcPr>
            <w:tcW w:w="6853" w:type="dxa"/>
          </w:tcPr>
          <w:p w:rsidR="00A428D9" w:rsidRDefault="00A428D9" w:rsidP="00A428D9">
            <w:pPr>
              <w:spacing w:before="240" w:after="240"/>
              <w:jc w:val="both"/>
              <w:cnfStyle w:val="000000100000" w:firstRow="0" w:lastRow="0" w:firstColumn="0" w:lastColumn="0" w:oddVBand="0" w:evenVBand="0" w:oddHBand="1" w:evenHBand="0" w:firstRowFirstColumn="0" w:firstRowLastColumn="0" w:lastRowFirstColumn="0" w:lastRowLastColumn="0"/>
              <w:rPr>
                <w:i/>
                <w:iCs/>
                <w:sz w:val="20"/>
                <w:szCs w:val="20"/>
                <w:highlight w:val="yellow"/>
                <w:lang w:eastAsia="en-US"/>
              </w:rPr>
            </w:pPr>
            <w:r>
              <w:rPr>
                <w:sz w:val="20"/>
                <w:szCs w:val="20"/>
              </w:rPr>
              <w:t>Intesa Sanpaolo Private Banking per il tramite di succursali</w:t>
            </w:r>
          </w:p>
        </w:tc>
      </w:tr>
    </w:tbl>
    <w:p w:rsidR="001A14D4" w:rsidRPr="00EF0B68" w:rsidRDefault="001A14D4">
      <w:pPr>
        <w:rPr>
          <w:sz w:val="20"/>
          <w:szCs w:val="20"/>
        </w:rPr>
      </w:pPr>
    </w:p>
    <w:sectPr w:rsidR="001A14D4" w:rsidRPr="00EF0B68" w:rsidSect="003A3152">
      <w:headerReference w:type="default" r:id="rId8"/>
      <w:footerReference w:type="default" r:id="rId9"/>
      <w:pgSz w:w="11906" w:h="16838"/>
      <w:pgMar w:top="1417" w:right="1134" w:bottom="1134" w:left="1134" w:header="708" w:footer="708" w:gutter="0"/>
      <w:pgBorders w:offsetFrom="page">
        <w:top w:val="single" w:sz="4" w:space="24" w:color="FF6600"/>
        <w:left w:val="single" w:sz="4" w:space="24" w:color="FF6600"/>
        <w:bottom w:val="single" w:sz="4" w:space="24" w:color="FF6600"/>
        <w:right w:val="single" w:sz="4" w:space="24" w:color="FF66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C5A" w:rsidRDefault="00E60C5A">
      <w:r>
        <w:separator/>
      </w:r>
    </w:p>
  </w:endnote>
  <w:endnote w:type="continuationSeparator" w:id="0">
    <w:p w:rsidR="00E60C5A" w:rsidRDefault="00E60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B26" w:rsidRPr="00B45A7F" w:rsidRDefault="000B5B26" w:rsidP="001131F4">
    <w:pPr>
      <w:pStyle w:val="BodyText"/>
      <w:spacing w:after="40"/>
      <w:ind w:right="120"/>
      <w:rPr>
        <w:sz w:val="20"/>
        <w:lang w:val="en-US"/>
      </w:rPr>
    </w:pPr>
    <w:r w:rsidRPr="00B45A7F">
      <w:rPr>
        <w:sz w:val="20"/>
        <w:lang w:val="en-US"/>
      </w:rPr>
      <w:t>Disclaimer</w:t>
    </w:r>
  </w:p>
  <w:p w:rsidR="000B5B26" w:rsidRPr="000117CF" w:rsidRDefault="000B5B26" w:rsidP="0061520F">
    <w:pPr>
      <w:pStyle w:val="Footer"/>
      <w:jc w:val="both"/>
      <w:rPr>
        <w:sz w:val="16"/>
        <w:szCs w:val="16"/>
        <w:lang w:val="en-US"/>
      </w:rPr>
    </w:pPr>
    <w:r w:rsidRPr="003F6715">
      <w:rPr>
        <w:sz w:val="16"/>
        <w:szCs w:val="16"/>
        <w:lang w:val="en-US"/>
      </w:rPr>
      <w:t>This document is sent by Banca IMI for informational purposes only and is aimed exclusively to qualified investors. This term sheet does not constitute legal documentation of the Issuer. The definitive terms for the transaction described herein, if same should occur, will be set forth in a definitive agreement between the parties. The terms and conditions reflected herein are indicative. This document is for the intended recipient only and may not be transmitted or distributed to any other party.  In particular, it is forbidden any distribution or circulation to any non-qualified investors.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C5A" w:rsidRDefault="00E60C5A">
      <w:r>
        <w:separator/>
      </w:r>
    </w:p>
  </w:footnote>
  <w:footnote w:type="continuationSeparator" w:id="0">
    <w:p w:rsidR="00E60C5A" w:rsidRDefault="00E60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B26" w:rsidRPr="0068617F" w:rsidRDefault="000B5B26" w:rsidP="00C3677C">
    <w:pPr>
      <w:pStyle w:val="Header"/>
      <w:jc w:val="right"/>
      <w:rPr>
        <w:b/>
        <w:lang w:val="en-US"/>
      </w:rPr>
    </w:pPr>
    <w:r>
      <w:rPr>
        <w:noProof/>
        <w:lang w:eastAsia="it-IT"/>
      </w:rPr>
      <w:drawing>
        <wp:inline distT="0" distB="0" distL="0" distR="0" wp14:anchorId="4867554D" wp14:editId="3F40549F">
          <wp:extent cx="1678940" cy="303530"/>
          <wp:effectExtent l="0" t="0" r="0" b="1270"/>
          <wp:docPr id="2" name="Picture 2" descr="Banca_IM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ca_IM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8940" cy="303530"/>
                  </a:xfrm>
                  <a:prstGeom prst="rect">
                    <a:avLst/>
                  </a:prstGeom>
                  <a:noFill/>
                </pic:spPr>
              </pic:pic>
            </a:graphicData>
          </a:graphic>
        </wp:inline>
      </w:drawing>
    </w:r>
    <w:r w:rsidRPr="0068617F">
      <w:rPr>
        <w:b/>
        <w:lang w:val="en-US"/>
      </w:rPr>
      <w:t xml:space="preserve">                                           </w:t>
    </w:r>
    <w:r w:rsidRPr="0068617F">
      <w:rPr>
        <w:b/>
        <w:lang w:val="en-US"/>
      </w:rPr>
      <w:tab/>
      <w:t xml:space="preserve">                 </w:t>
    </w:r>
    <w:r w:rsidRPr="0068617F">
      <w:rPr>
        <w:b/>
        <w:lang w:val="en-US"/>
      </w:rPr>
      <w:tab/>
    </w:r>
    <w:r w:rsidRPr="0068617F">
      <w:rPr>
        <w:b/>
        <w:lang w:val="en-US"/>
      </w:rPr>
      <w:tab/>
    </w:r>
  </w:p>
  <w:p w:rsidR="000B5B26" w:rsidRPr="00B870CE" w:rsidRDefault="000B5B26" w:rsidP="0061520F">
    <w:pPr>
      <w:pStyle w:val="Header"/>
      <w:jc w:val="right"/>
      <w:rPr>
        <w:b/>
        <w:lang w:val="en-US"/>
      </w:rPr>
    </w:pPr>
    <w:r w:rsidRPr="0068617F">
      <w:rPr>
        <w:b/>
        <w:lang w:val="en-US"/>
      </w:rPr>
      <w:tab/>
    </w:r>
    <w:r w:rsidRPr="00B870CE">
      <w:rPr>
        <w:b/>
        <w:lang w:val="en-US"/>
      </w:rPr>
      <w:t>Terms &amp; Conditions</w:t>
    </w:r>
  </w:p>
  <w:p w:rsidR="000B5B26" w:rsidRPr="00F7175E" w:rsidRDefault="00691FD8" w:rsidP="0061520F">
    <w:pPr>
      <w:pStyle w:val="Header"/>
      <w:jc w:val="right"/>
      <w:rPr>
        <w:lang w:val="en-US"/>
      </w:rPr>
    </w:pPr>
    <w:r>
      <w:rPr>
        <w:b/>
        <w:lang w:val="en-US"/>
      </w:rPr>
      <w:t>19</w:t>
    </w:r>
    <w:r w:rsidR="000B5B26">
      <w:rPr>
        <w:b/>
        <w:lang w:val="en-US"/>
      </w:rPr>
      <w:t>.03.2019</w:t>
    </w:r>
  </w:p>
  <w:p w:rsidR="000B5B26" w:rsidRPr="0068617F" w:rsidRDefault="000B5B26" w:rsidP="0061520F">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E6B33"/>
    <w:multiLevelType w:val="hybridMultilevel"/>
    <w:tmpl w:val="7ECCCAD8"/>
    <w:lvl w:ilvl="0" w:tplc="FFFFFFFF">
      <w:start w:val="1"/>
      <w:numFmt w:val="lowerRoman"/>
      <w:lvlText w:val="(%1)"/>
      <w:lvlJc w:val="left"/>
      <w:pPr>
        <w:tabs>
          <w:tab w:val="num" w:pos="1080"/>
        </w:tabs>
        <w:ind w:left="1080" w:hanging="720"/>
      </w:pPr>
      <w:rPr>
        <w:rFonts w:cs="Times New Roman" w:hint="default"/>
        <w:b/>
        <w:i w:val="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 w15:restartNumberingAfterBreak="0">
    <w:nsid w:val="436E1D0F"/>
    <w:multiLevelType w:val="multilevel"/>
    <w:tmpl w:val="11E4C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118F3"/>
    <w:multiLevelType w:val="hybridMultilevel"/>
    <w:tmpl w:val="ACDE2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B4E3E"/>
    <w:multiLevelType w:val="multilevel"/>
    <w:tmpl w:val="A30C76F8"/>
    <w:lvl w:ilvl="0">
      <w:start w:val="1"/>
      <w:numFmt w:val="decimal"/>
      <w:pStyle w:val="AOHead2"/>
      <w:lvlText w:val="%1."/>
      <w:lvlJc w:val="left"/>
      <w:pPr>
        <w:tabs>
          <w:tab w:val="num" w:pos="720"/>
        </w:tabs>
        <w:ind w:left="720" w:hanging="720"/>
      </w:pPr>
      <w:rPr>
        <w:rFonts w:hint="default"/>
      </w:rPr>
    </w:lvl>
    <w:lvl w:ilvl="1">
      <w:start w:val="1"/>
      <w:numFmt w:val="decimal"/>
      <w:pStyle w:val="AOHead2"/>
      <w:lvlText w:val="2.%2"/>
      <w:lvlJc w:val="left"/>
      <w:pPr>
        <w:tabs>
          <w:tab w:val="num" w:pos="720"/>
        </w:tabs>
        <w:ind w:left="720" w:hanging="720"/>
      </w:pPr>
      <w:rPr>
        <w:rFonts w:ascii="Times New Roman Bold" w:hAnsi="Times New Roman Bold" w:hint="default"/>
        <w:b/>
      </w:rPr>
    </w:lvl>
    <w:lvl w:ilvl="2">
      <w:start w:val="1"/>
      <w:numFmt w:val="lowerLetter"/>
      <w:pStyle w:val="AOHead2"/>
      <w:lvlText w:val="(%3)"/>
      <w:lvlJc w:val="left"/>
      <w:pPr>
        <w:tabs>
          <w:tab w:val="num" w:pos="1440"/>
        </w:tabs>
        <w:ind w:left="1440" w:hanging="720"/>
      </w:pPr>
      <w:rPr>
        <w:rFonts w:hint="default"/>
      </w:rPr>
    </w:lvl>
    <w:lvl w:ilvl="3">
      <w:start w:val="1"/>
      <w:numFmt w:val="decimal"/>
      <w:lvlText w:val="%4)"/>
      <w:lvlJc w:val="left"/>
      <w:pPr>
        <w:tabs>
          <w:tab w:val="num" w:pos="1800"/>
        </w:tabs>
        <w:ind w:left="1800" w:hanging="360"/>
      </w:pPr>
      <w:rPr>
        <w:rFonts w:hint="default"/>
      </w:rPr>
    </w:lvl>
    <w:lvl w:ilvl="4">
      <w:start w:val="1"/>
      <w:numFmt w:val="upperLetter"/>
      <w:lvlText w:val="(%5)"/>
      <w:lvlJc w:val="left"/>
      <w:pPr>
        <w:tabs>
          <w:tab w:val="num" w:pos="2880"/>
        </w:tabs>
        <w:ind w:left="2880" w:hanging="720"/>
      </w:pPr>
      <w:rPr>
        <w:rFonts w:hint="default"/>
      </w:rPr>
    </w:lvl>
    <w:lvl w:ilvl="5">
      <w:start w:val="1"/>
      <w:numFmt w:val="upperRoman"/>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 w15:restartNumberingAfterBreak="0">
    <w:nsid w:val="7C661DAB"/>
    <w:multiLevelType w:val="multilevel"/>
    <w:tmpl w:val="C8FE5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12"/>
    <w:rsid w:val="0000132D"/>
    <w:rsid w:val="00007860"/>
    <w:rsid w:val="00010586"/>
    <w:rsid w:val="00010C70"/>
    <w:rsid w:val="00010EC1"/>
    <w:rsid w:val="000117CF"/>
    <w:rsid w:val="00012773"/>
    <w:rsid w:val="00020016"/>
    <w:rsid w:val="000212CE"/>
    <w:rsid w:val="000221BE"/>
    <w:rsid w:val="00022279"/>
    <w:rsid w:val="00022619"/>
    <w:rsid w:val="000250E9"/>
    <w:rsid w:val="00027CEA"/>
    <w:rsid w:val="00031DBF"/>
    <w:rsid w:val="0003218E"/>
    <w:rsid w:val="00033482"/>
    <w:rsid w:val="00034B96"/>
    <w:rsid w:val="00037037"/>
    <w:rsid w:val="0004295F"/>
    <w:rsid w:val="00045551"/>
    <w:rsid w:val="0005171A"/>
    <w:rsid w:val="00052A06"/>
    <w:rsid w:val="0005370C"/>
    <w:rsid w:val="00053727"/>
    <w:rsid w:val="000563FE"/>
    <w:rsid w:val="00061C93"/>
    <w:rsid w:val="00063CD4"/>
    <w:rsid w:val="00065A57"/>
    <w:rsid w:val="00066DF2"/>
    <w:rsid w:val="00074836"/>
    <w:rsid w:val="00074FB9"/>
    <w:rsid w:val="00075131"/>
    <w:rsid w:val="00076830"/>
    <w:rsid w:val="00081C93"/>
    <w:rsid w:val="00082BAB"/>
    <w:rsid w:val="00083486"/>
    <w:rsid w:val="000863EC"/>
    <w:rsid w:val="00090D9F"/>
    <w:rsid w:val="00091F28"/>
    <w:rsid w:val="000920CA"/>
    <w:rsid w:val="00092458"/>
    <w:rsid w:val="00093506"/>
    <w:rsid w:val="00093DE7"/>
    <w:rsid w:val="00094FB5"/>
    <w:rsid w:val="0009518A"/>
    <w:rsid w:val="000A1171"/>
    <w:rsid w:val="000A496D"/>
    <w:rsid w:val="000B2E52"/>
    <w:rsid w:val="000B32D3"/>
    <w:rsid w:val="000B506D"/>
    <w:rsid w:val="000B51E6"/>
    <w:rsid w:val="000B5B26"/>
    <w:rsid w:val="000C0742"/>
    <w:rsid w:val="000C272E"/>
    <w:rsid w:val="000C2AE9"/>
    <w:rsid w:val="000C5924"/>
    <w:rsid w:val="000C7B40"/>
    <w:rsid w:val="000C7FEB"/>
    <w:rsid w:val="000D3101"/>
    <w:rsid w:val="000D382E"/>
    <w:rsid w:val="000D4622"/>
    <w:rsid w:val="000D53A9"/>
    <w:rsid w:val="000E02E1"/>
    <w:rsid w:val="000E16B7"/>
    <w:rsid w:val="000E1846"/>
    <w:rsid w:val="000E1A88"/>
    <w:rsid w:val="000E329C"/>
    <w:rsid w:val="000E3A63"/>
    <w:rsid w:val="000E476C"/>
    <w:rsid w:val="000E4C57"/>
    <w:rsid w:val="000F195A"/>
    <w:rsid w:val="000F2805"/>
    <w:rsid w:val="000F2983"/>
    <w:rsid w:val="000F747E"/>
    <w:rsid w:val="000F79C8"/>
    <w:rsid w:val="00101677"/>
    <w:rsid w:val="00102024"/>
    <w:rsid w:val="0010395E"/>
    <w:rsid w:val="00105C17"/>
    <w:rsid w:val="00106C54"/>
    <w:rsid w:val="00107D09"/>
    <w:rsid w:val="001131F4"/>
    <w:rsid w:val="0011378F"/>
    <w:rsid w:val="00113879"/>
    <w:rsid w:val="001149F8"/>
    <w:rsid w:val="001159EF"/>
    <w:rsid w:val="00115C00"/>
    <w:rsid w:val="00116030"/>
    <w:rsid w:val="00117622"/>
    <w:rsid w:val="00117A6D"/>
    <w:rsid w:val="00120319"/>
    <w:rsid w:val="00121EE1"/>
    <w:rsid w:val="00122CD8"/>
    <w:rsid w:val="0012393A"/>
    <w:rsid w:val="00124B15"/>
    <w:rsid w:val="001263BF"/>
    <w:rsid w:val="00126734"/>
    <w:rsid w:val="00126FA3"/>
    <w:rsid w:val="001274DD"/>
    <w:rsid w:val="00130750"/>
    <w:rsid w:val="00133012"/>
    <w:rsid w:val="00141845"/>
    <w:rsid w:val="00142B77"/>
    <w:rsid w:val="0014471C"/>
    <w:rsid w:val="001468A2"/>
    <w:rsid w:val="001474A8"/>
    <w:rsid w:val="00147B20"/>
    <w:rsid w:val="001501B2"/>
    <w:rsid w:val="00151105"/>
    <w:rsid w:val="00151466"/>
    <w:rsid w:val="00152339"/>
    <w:rsid w:val="00152B79"/>
    <w:rsid w:val="00153034"/>
    <w:rsid w:val="001554C3"/>
    <w:rsid w:val="00156C46"/>
    <w:rsid w:val="001575DC"/>
    <w:rsid w:val="0015763D"/>
    <w:rsid w:val="00163205"/>
    <w:rsid w:val="00163CC3"/>
    <w:rsid w:val="00165D3B"/>
    <w:rsid w:val="00172110"/>
    <w:rsid w:val="00181C98"/>
    <w:rsid w:val="001834A8"/>
    <w:rsid w:val="0018413F"/>
    <w:rsid w:val="001843F4"/>
    <w:rsid w:val="0018554E"/>
    <w:rsid w:val="00185E6D"/>
    <w:rsid w:val="0018660D"/>
    <w:rsid w:val="00190073"/>
    <w:rsid w:val="001911D3"/>
    <w:rsid w:val="00193207"/>
    <w:rsid w:val="00193D6F"/>
    <w:rsid w:val="0019642C"/>
    <w:rsid w:val="001969E8"/>
    <w:rsid w:val="001A14D4"/>
    <w:rsid w:val="001A16D1"/>
    <w:rsid w:val="001A36FA"/>
    <w:rsid w:val="001A77DD"/>
    <w:rsid w:val="001A7E4B"/>
    <w:rsid w:val="001B39A0"/>
    <w:rsid w:val="001B7E03"/>
    <w:rsid w:val="001C0A32"/>
    <w:rsid w:val="001C0A6A"/>
    <w:rsid w:val="001C0F20"/>
    <w:rsid w:val="001C1829"/>
    <w:rsid w:val="001C2185"/>
    <w:rsid w:val="001C2633"/>
    <w:rsid w:val="001C334E"/>
    <w:rsid w:val="001C6A85"/>
    <w:rsid w:val="001C7BF3"/>
    <w:rsid w:val="001D353E"/>
    <w:rsid w:val="001D758A"/>
    <w:rsid w:val="001E0737"/>
    <w:rsid w:val="001E18B6"/>
    <w:rsid w:val="001E19D0"/>
    <w:rsid w:val="001E1AD5"/>
    <w:rsid w:val="001E58BE"/>
    <w:rsid w:val="001E5F2E"/>
    <w:rsid w:val="001F213F"/>
    <w:rsid w:val="001F7877"/>
    <w:rsid w:val="0020060D"/>
    <w:rsid w:val="00200E1D"/>
    <w:rsid w:val="00203150"/>
    <w:rsid w:val="0020358F"/>
    <w:rsid w:val="00207776"/>
    <w:rsid w:val="002108DA"/>
    <w:rsid w:val="00211AB5"/>
    <w:rsid w:val="002140B3"/>
    <w:rsid w:val="002143FB"/>
    <w:rsid w:val="002144F8"/>
    <w:rsid w:val="002173A9"/>
    <w:rsid w:val="002212EC"/>
    <w:rsid w:val="0022354A"/>
    <w:rsid w:val="00225695"/>
    <w:rsid w:val="00226185"/>
    <w:rsid w:val="0023387A"/>
    <w:rsid w:val="0023654E"/>
    <w:rsid w:val="002410EB"/>
    <w:rsid w:val="00244A6E"/>
    <w:rsid w:val="00246DAA"/>
    <w:rsid w:val="00251269"/>
    <w:rsid w:val="00252819"/>
    <w:rsid w:val="002537B0"/>
    <w:rsid w:val="00253A8C"/>
    <w:rsid w:val="00254AB5"/>
    <w:rsid w:val="0025507B"/>
    <w:rsid w:val="002568E7"/>
    <w:rsid w:val="002628BF"/>
    <w:rsid w:val="00263060"/>
    <w:rsid w:val="00263A96"/>
    <w:rsid w:val="00265CFC"/>
    <w:rsid w:val="002671DF"/>
    <w:rsid w:val="002678CD"/>
    <w:rsid w:val="00270DD6"/>
    <w:rsid w:val="00273A9F"/>
    <w:rsid w:val="002741B0"/>
    <w:rsid w:val="00276FDC"/>
    <w:rsid w:val="002804FF"/>
    <w:rsid w:val="00280A8A"/>
    <w:rsid w:val="00283607"/>
    <w:rsid w:val="00283E6F"/>
    <w:rsid w:val="00291846"/>
    <w:rsid w:val="00292007"/>
    <w:rsid w:val="00294FF2"/>
    <w:rsid w:val="00297A3D"/>
    <w:rsid w:val="00297FF9"/>
    <w:rsid w:val="002A0656"/>
    <w:rsid w:val="002A0CBE"/>
    <w:rsid w:val="002A24EC"/>
    <w:rsid w:val="002A396D"/>
    <w:rsid w:val="002A58CA"/>
    <w:rsid w:val="002A64C2"/>
    <w:rsid w:val="002A68C0"/>
    <w:rsid w:val="002B08FC"/>
    <w:rsid w:val="002B17E8"/>
    <w:rsid w:val="002B214F"/>
    <w:rsid w:val="002B3BE6"/>
    <w:rsid w:val="002B50B3"/>
    <w:rsid w:val="002B638E"/>
    <w:rsid w:val="002B6721"/>
    <w:rsid w:val="002C0FD6"/>
    <w:rsid w:val="002C36E7"/>
    <w:rsid w:val="002D1222"/>
    <w:rsid w:val="002D220C"/>
    <w:rsid w:val="002D35D6"/>
    <w:rsid w:val="002D4D3B"/>
    <w:rsid w:val="002D4D73"/>
    <w:rsid w:val="002D6878"/>
    <w:rsid w:val="002D755C"/>
    <w:rsid w:val="002D7C57"/>
    <w:rsid w:val="002E0AD4"/>
    <w:rsid w:val="002E3729"/>
    <w:rsid w:val="002E5F84"/>
    <w:rsid w:val="002E6171"/>
    <w:rsid w:val="002F1F24"/>
    <w:rsid w:val="002F24EA"/>
    <w:rsid w:val="002F3CC8"/>
    <w:rsid w:val="002F40FF"/>
    <w:rsid w:val="002F4B67"/>
    <w:rsid w:val="002F4C35"/>
    <w:rsid w:val="002F4E70"/>
    <w:rsid w:val="002F4F8A"/>
    <w:rsid w:val="002F623A"/>
    <w:rsid w:val="002F74F5"/>
    <w:rsid w:val="0030061D"/>
    <w:rsid w:val="003029F7"/>
    <w:rsid w:val="00306F5E"/>
    <w:rsid w:val="00307AAE"/>
    <w:rsid w:val="00310B1F"/>
    <w:rsid w:val="00317178"/>
    <w:rsid w:val="00320226"/>
    <w:rsid w:val="0032264F"/>
    <w:rsid w:val="00323A29"/>
    <w:rsid w:val="00325C9F"/>
    <w:rsid w:val="00326616"/>
    <w:rsid w:val="00330A1B"/>
    <w:rsid w:val="00331D1B"/>
    <w:rsid w:val="003320B7"/>
    <w:rsid w:val="003327BF"/>
    <w:rsid w:val="00337220"/>
    <w:rsid w:val="0034026C"/>
    <w:rsid w:val="00341084"/>
    <w:rsid w:val="00342165"/>
    <w:rsid w:val="0035032B"/>
    <w:rsid w:val="00357D2C"/>
    <w:rsid w:val="0036226E"/>
    <w:rsid w:val="00362E27"/>
    <w:rsid w:val="0036300F"/>
    <w:rsid w:val="003672AE"/>
    <w:rsid w:val="00371D14"/>
    <w:rsid w:val="003722E1"/>
    <w:rsid w:val="00376A85"/>
    <w:rsid w:val="0038045C"/>
    <w:rsid w:val="0038238B"/>
    <w:rsid w:val="0038639C"/>
    <w:rsid w:val="00387C9F"/>
    <w:rsid w:val="00391D40"/>
    <w:rsid w:val="00395E0E"/>
    <w:rsid w:val="003A3152"/>
    <w:rsid w:val="003A424B"/>
    <w:rsid w:val="003B2A3F"/>
    <w:rsid w:val="003B5CF9"/>
    <w:rsid w:val="003B7925"/>
    <w:rsid w:val="003B799B"/>
    <w:rsid w:val="003C206D"/>
    <w:rsid w:val="003C49F2"/>
    <w:rsid w:val="003C5277"/>
    <w:rsid w:val="003C6158"/>
    <w:rsid w:val="003C72E9"/>
    <w:rsid w:val="003D1924"/>
    <w:rsid w:val="003D2811"/>
    <w:rsid w:val="003D5F1A"/>
    <w:rsid w:val="003D660B"/>
    <w:rsid w:val="003E286B"/>
    <w:rsid w:val="003E2890"/>
    <w:rsid w:val="003E2DFD"/>
    <w:rsid w:val="003E315E"/>
    <w:rsid w:val="003E529F"/>
    <w:rsid w:val="003E554A"/>
    <w:rsid w:val="003E563F"/>
    <w:rsid w:val="003E7BBB"/>
    <w:rsid w:val="003F0658"/>
    <w:rsid w:val="003F106D"/>
    <w:rsid w:val="003F1E33"/>
    <w:rsid w:val="003F2796"/>
    <w:rsid w:val="003F2F0D"/>
    <w:rsid w:val="003F4023"/>
    <w:rsid w:val="003F538C"/>
    <w:rsid w:val="003F7218"/>
    <w:rsid w:val="003F7A77"/>
    <w:rsid w:val="0040047A"/>
    <w:rsid w:val="0040402A"/>
    <w:rsid w:val="004057F9"/>
    <w:rsid w:val="004072EF"/>
    <w:rsid w:val="004115C9"/>
    <w:rsid w:val="004116FF"/>
    <w:rsid w:val="00411A76"/>
    <w:rsid w:val="0041251F"/>
    <w:rsid w:val="00412B32"/>
    <w:rsid w:val="0041306E"/>
    <w:rsid w:val="00416C02"/>
    <w:rsid w:val="004171EA"/>
    <w:rsid w:val="00420530"/>
    <w:rsid w:val="00420863"/>
    <w:rsid w:val="00421A30"/>
    <w:rsid w:val="004252F3"/>
    <w:rsid w:val="00426457"/>
    <w:rsid w:val="00426B4D"/>
    <w:rsid w:val="00426C56"/>
    <w:rsid w:val="004304F3"/>
    <w:rsid w:val="004331A6"/>
    <w:rsid w:val="0043352F"/>
    <w:rsid w:val="00436E93"/>
    <w:rsid w:val="0044083E"/>
    <w:rsid w:val="00441349"/>
    <w:rsid w:val="004438C9"/>
    <w:rsid w:val="004471C0"/>
    <w:rsid w:val="0045570F"/>
    <w:rsid w:val="004578BA"/>
    <w:rsid w:val="00461274"/>
    <w:rsid w:val="0046155D"/>
    <w:rsid w:val="0046241D"/>
    <w:rsid w:val="004635EF"/>
    <w:rsid w:val="00465784"/>
    <w:rsid w:val="0046793A"/>
    <w:rsid w:val="00470730"/>
    <w:rsid w:val="00473DE7"/>
    <w:rsid w:val="00475AAF"/>
    <w:rsid w:val="00475BE9"/>
    <w:rsid w:val="00476755"/>
    <w:rsid w:val="00477302"/>
    <w:rsid w:val="00477618"/>
    <w:rsid w:val="004809DD"/>
    <w:rsid w:val="0048633E"/>
    <w:rsid w:val="0048750C"/>
    <w:rsid w:val="00487BEA"/>
    <w:rsid w:val="004901FF"/>
    <w:rsid w:val="00494F2C"/>
    <w:rsid w:val="004967D4"/>
    <w:rsid w:val="004A2689"/>
    <w:rsid w:val="004A2FD6"/>
    <w:rsid w:val="004A32D0"/>
    <w:rsid w:val="004A525E"/>
    <w:rsid w:val="004A7D92"/>
    <w:rsid w:val="004B59A3"/>
    <w:rsid w:val="004C095B"/>
    <w:rsid w:val="004C222D"/>
    <w:rsid w:val="004C5AF1"/>
    <w:rsid w:val="004C6B2B"/>
    <w:rsid w:val="004C7153"/>
    <w:rsid w:val="004C7556"/>
    <w:rsid w:val="004C79E9"/>
    <w:rsid w:val="004D1298"/>
    <w:rsid w:val="004D158A"/>
    <w:rsid w:val="004D6339"/>
    <w:rsid w:val="004D6B50"/>
    <w:rsid w:val="004E1994"/>
    <w:rsid w:val="004E30A4"/>
    <w:rsid w:val="004E45DA"/>
    <w:rsid w:val="004E51F4"/>
    <w:rsid w:val="004E5E19"/>
    <w:rsid w:val="004E7AAE"/>
    <w:rsid w:val="004F22A6"/>
    <w:rsid w:val="004F3FC2"/>
    <w:rsid w:val="004F41C6"/>
    <w:rsid w:val="004F47EA"/>
    <w:rsid w:val="004F4910"/>
    <w:rsid w:val="004F4EF9"/>
    <w:rsid w:val="004F4F22"/>
    <w:rsid w:val="004F520B"/>
    <w:rsid w:val="004F5BC3"/>
    <w:rsid w:val="004F6DFD"/>
    <w:rsid w:val="0050052A"/>
    <w:rsid w:val="00500E0F"/>
    <w:rsid w:val="00502361"/>
    <w:rsid w:val="00502849"/>
    <w:rsid w:val="005077CA"/>
    <w:rsid w:val="00513E52"/>
    <w:rsid w:val="00513EF0"/>
    <w:rsid w:val="00514357"/>
    <w:rsid w:val="0051520B"/>
    <w:rsid w:val="00515910"/>
    <w:rsid w:val="00521AED"/>
    <w:rsid w:val="0052384F"/>
    <w:rsid w:val="00531336"/>
    <w:rsid w:val="0053575F"/>
    <w:rsid w:val="00536A35"/>
    <w:rsid w:val="00543F0E"/>
    <w:rsid w:val="005467BF"/>
    <w:rsid w:val="0055692C"/>
    <w:rsid w:val="00560A0C"/>
    <w:rsid w:val="00561598"/>
    <w:rsid w:val="00563DF0"/>
    <w:rsid w:val="00564DA4"/>
    <w:rsid w:val="005651BC"/>
    <w:rsid w:val="00565263"/>
    <w:rsid w:val="00567026"/>
    <w:rsid w:val="005701C9"/>
    <w:rsid w:val="0057105E"/>
    <w:rsid w:val="00572CB0"/>
    <w:rsid w:val="0057529A"/>
    <w:rsid w:val="005752D9"/>
    <w:rsid w:val="00575F63"/>
    <w:rsid w:val="005822C2"/>
    <w:rsid w:val="00583014"/>
    <w:rsid w:val="00583ED2"/>
    <w:rsid w:val="00584FEC"/>
    <w:rsid w:val="00590C3F"/>
    <w:rsid w:val="0059192D"/>
    <w:rsid w:val="00592077"/>
    <w:rsid w:val="00594368"/>
    <w:rsid w:val="005A1531"/>
    <w:rsid w:val="005A379C"/>
    <w:rsid w:val="005A536B"/>
    <w:rsid w:val="005A6413"/>
    <w:rsid w:val="005B0A77"/>
    <w:rsid w:val="005B649A"/>
    <w:rsid w:val="005C0F6E"/>
    <w:rsid w:val="005C3512"/>
    <w:rsid w:val="005C3D1F"/>
    <w:rsid w:val="005C7AB6"/>
    <w:rsid w:val="005D0041"/>
    <w:rsid w:val="005D0732"/>
    <w:rsid w:val="005D3FFC"/>
    <w:rsid w:val="005D41EE"/>
    <w:rsid w:val="005D4379"/>
    <w:rsid w:val="005D511E"/>
    <w:rsid w:val="005D6020"/>
    <w:rsid w:val="005D6F36"/>
    <w:rsid w:val="005E0991"/>
    <w:rsid w:val="005E358F"/>
    <w:rsid w:val="005E5D80"/>
    <w:rsid w:val="005E6AD4"/>
    <w:rsid w:val="005E78C9"/>
    <w:rsid w:val="005F0075"/>
    <w:rsid w:val="005F18A2"/>
    <w:rsid w:val="005F6379"/>
    <w:rsid w:val="00604807"/>
    <w:rsid w:val="00605878"/>
    <w:rsid w:val="00605DCE"/>
    <w:rsid w:val="00606BDD"/>
    <w:rsid w:val="0060764F"/>
    <w:rsid w:val="00610C60"/>
    <w:rsid w:val="00612A55"/>
    <w:rsid w:val="006140A1"/>
    <w:rsid w:val="00614EA6"/>
    <w:rsid w:val="0061520F"/>
    <w:rsid w:val="006172B0"/>
    <w:rsid w:val="0062066B"/>
    <w:rsid w:val="00620DF6"/>
    <w:rsid w:val="00626691"/>
    <w:rsid w:val="006267C9"/>
    <w:rsid w:val="00626B8A"/>
    <w:rsid w:val="00632FAD"/>
    <w:rsid w:val="00634245"/>
    <w:rsid w:val="0063458D"/>
    <w:rsid w:val="00635A28"/>
    <w:rsid w:val="00636522"/>
    <w:rsid w:val="006365E5"/>
    <w:rsid w:val="00644CC1"/>
    <w:rsid w:val="00647083"/>
    <w:rsid w:val="006524FD"/>
    <w:rsid w:val="0065409C"/>
    <w:rsid w:val="00654788"/>
    <w:rsid w:val="00655A2B"/>
    <w:rsid w:val="0065655E"/>
    <w:rsid w:val="00656A54"/>
    <w:rsid w:val="00657A90"/>
    <w:rsid w:val="0066060F"/>
    <w:rsid w:val="0066062C"/>
    <w:rsid w:val="00664A7F"/>
    <w:rsid w:val="00665615"/>
    <w:rsid w:val="00665F2E"/>
    <w:rsid w:val="00670113"/>
    <w:rsid w:val="00672B2D"/>
    <w:rsid w:val="0067478A"/>
    <w:rsid w:val="00676921"/>
    <w:rsid w:val="00676C01"/>
    <w:rsid w:val="00677381"/>
    <w:rsid w:val="00681CA5"/>
    <w:rsid w:val="00684423"/>
    <w:rsid w:val="0068617F"/>
    <w:rsid w:val="00691FD8"/>
    <w:rsid w:val="00693787"/>
    <w:rsid w:val="00695543"/>
    <w:rsid w:val="006979BA"/>
    <w:rsid w:val="006A1D0F"/>
    <w:rsid w:val="006A4263"/>
    <w:rsid w:val="006A5F3A"/>
    <w:rsid w:val="006B1219"/>
    <w:rsid w:val="006B1DD3"/>
    <w:rsid w:val="006B3A86"/>
    <w:rsid w:val="006B565F"/>
    <w:rsid w:val="006C148C"/>
    <w:rsid w:val="006C4CE3"/>
    <w:rsid w:val="006C5D5E"/>
    <w:rsid w:val="006D0E1D"/>
    <w:rsid w:val="006D430A"/>
    <w:rsid w:val="006D451D"/>
    <w:rsid w:val="006D533A"/>
    <w:rsid w:val="006D60E9"/>
    <w:rsid w:val="006D6EB6"/>
    <w:rsid w:val="006D719F"/>
    <w:rsid w:val="006E275F"/>
    <w:rsid w:val="006E2E48"/>
    <w:rsid w:val="006F07E3"/>
    <w:rsid w:val="006F0FFF"/>
    <w:rsid w:val="006F47E0"/>
    <w:rsid w:val="007009AF"/>
    <w:rsid w:val="00703257"/>
    <w:rsid w:val="0070419F"/>
    <w:rsid w:val="00706089"/>
    <w:rsid w:val="007171E1"/>
    <w:rsid w:val="00721EB7"/>
    <w:rsid w:val="007221BF"/>
    <w:rsid w:val="00722CE1"/>
    <w:rsid w:val="00723253"/>
    <w:rsid w:val="00730BBA"/>
    <w:rsid w:val="00734212"/>
    <w:rsid w:val="0073676A"/>
    <w:rsid w:val="00736BBD"/>
    <w:rsid w:val="00742A67"/>
    <w:rsid w:val="00747080"/>
    <w:rsid w:val="007502CE"/>
    <w:rsid w:val="007510F3"/>
    <w:rsid w:val="007511C0"/>
    <w:rsid w:val="00751524"/>
    <w:rsid w:val="00754B4E"/>
    <w:rsid w:val="00755225"/>
    <w:rsid w:val="00755DB2"/>
    <w:rsid w:val="007566D3"/>
    <w:rsid w:val="00756A2D"/>
    <w:rsid w:val="00757371"/>
    <w:rsid w:val="007576B4"/>
    <w:rsid w:val="007578E0"/>
    <w:rsid w:val="007643FE"/>
    <w:rsid w:val="00765F57"/>
    <w:rsid w:val="00766383"/>
    <w:rsid w:val="0076760F"/>
    <w:rsid w:val="007723B3"/>
    <w:rsid w:val="0077543C"/>
    <w:rsid w:val="00776907"/>
    <w:rsid w:val="00780FF3"/>
    <w:rsid w:val="00783864"/>
    <w:rsid w:val="007846E1"/>
    <w:rsid w:val="00787104"/>
    <w:rsid w:val="007905DA"/>
    <w:rsid w:val="00791777"/>
    <w:rsid w:val="00791FF2"/>
    <w:rsid w:val="00793070"/>
    <w:rsid w:val="0079401E"/>
    <w:rsid w:val="00795ED2"/>
    <w:rsid w:val="007A0DC6"/>
    <w:rsid w:val="007A24A1"/>
    <w:rsid w:val="007A2D4F"/>
    <w:rsid w:val="007A349A"/>
    <w:rsid w:val="007A5773"/>
    <w:rsid w:val="007A7B74"/>
    <w:rsid w:val="007B1033"/>
    <w:rsid w:val="007B3468"/>
    <w:rsid w:val="007B790F"/>
    <w:rsid w:val="007C1838"/>
    <w:rsid w:val="007C199F"/>
    <w:rsid w:val="007C2C75"/>
    <w:rsid w:val="007C5BEC"/>
    <w:rsid w:val="007C623C"/>
    <w:rsid w:val="007C6571"/>
    <w:rsid w:val="007C7667"/>
    <w:rsid w:val="007D3031"/>
    <w:rsid w:val="007E2C10"/>
    <w:rsid w:val="007E52FA"/>
    <w:rsid w:val="007E6396"/>
    <w:rsid w:val="007F0022"/>
    <w:rsid w:val="007F0168"/>
    <w:rsid w:val="007F12E0"/>
    <w:rsid w:val="007F1A36"/>
    <w:rsid w:val="007F5DFE"/>
    <w:rsid w:val="007F7A7F"/>
    <w:rsid w:val="00803667"/>
    <w:rsid w:val="008048C2"/>
    <w:rsid w:val="00804E2F"/>
    <w:rsid w:val="008112D8"/>
    <w:rsid w:val="00811BFD"/>
    <w:rsid w:val="00811EB5"/>
    <w:rsid w:val="00813A05"/>
    <w:rsid w:val="00820962"/>
    <w:rsid w:val="008213FE"/>
    <w:rsid w:val="00824C27"/>
    <w:rsid w:val="008253E5"/>
    <w:rsid w:val="00826861"/>
    <w:rsid w:val="008271E7"/>
    <w:rsid w:val="00827A52"/>
    <w:rsid w:val="0083075C"/>
    <w:rsid w:val="0083291F"/>
    <w:rsid w:val="00832E5E"/>
    <w:rsid w:val="008372D9"/>
    <w:rsid w:val="00837DD9"/>
    <w:rsid w:val="00840AF3"/>
    <w:rsid w:val="008414B6"/>
    <w:rsid w:val="00841569"/>
    <w:rsid w:val="0084313E"/>
    <w:rsid w:val="008455BC"/>
    <w:rsid w:val="008462B8"/>
    <w:rsid w:val="00846D7C"/>
    <w:rsid w:val="00853E61"/>
    <w:rsid w:val="00856886"/>
    <w:rsid w:val="008569E9"/>
    <w:rsid w:val="0086438A"/>
    <w:rsid w:val="00867F6C"/>
    <w:rsid w:val="00870B0E"/>
    <w:rsid w:val="00872549"/>
    <w:rsid w:val="008733C0"/>
    <w:rsid w:val="00875D3A"/>
    <w:rsid w:val="00876EAA"/>
    <w:rsid w:val="00877146"/>
    <w:rsid w:val="008771E5"/>
    <w:rsid w:val="00877537"/>
    <w:rsid w:val="00877B67"/>
    <w:rsid w:val="00880B65"/>
    <w:rsid w:val="00881C59"/>
    <w:rsid w:val="00882BFE"/>
    <w:rsid w:val="0088525E"/>
    <w:rsid w:val="0088628B"/>
    <w:rsid w:val="00891396"/>
    <w:rsid w:val="00891D1B"/>
    <w:rsid w:val="00895532"/>
    <w:rsid w:val="00897A42"/>
    <w:rsid w:val="008A037E"/>
    <w:rsid w:val="008A3BBD"/>
    <w:rsid w:val="008A4B02"/>
    <w:rsid w:val="008A58FB"/>
    <w:rsid w:val="008A5DE2"/>
    <w:rsid w:val="008A7E01"/>
    <w:rsid w:val="008B3B4F"/>
    <w:rsid w:val="008C01A0"/>
    <w:rsid w:val="008C5147"/>
    <w:rsid w:val="008D2413"/>
    <w:rsid w:val="008E0294"/>
    <w:rsid w:val="008E3A0E"/>
    <w:rsid w:val="008E416C"/>
    <w:rsid w:val="008E4DC6"/>
    <w:rsid w:val="008E5156"/>
    <w:rsid w:val="008E5870"/>
    <w:rsid w:val="008E7A94"/>
    <w:rsid w:val="008F0420"/>
    <w:rsid w:val="008F1B96"/>
    <w:rsid w:val="008F248D"/>
    <w:rsid w:val="008F326B"/>
    <w:rsid w:val="008F369F"/>
    <w:rsid w:val="008F3957"/>
    <w:rsid w:val="0090036F"/>
    <w:rsid w:val="00901D54"/>
    <w:rsid w:val="00902745"/>
    <w:rsid w:val="00911570"/>
    <w:rsid w:val="00914FD4"/>
    <w:rsid w:val="00915032"/>
    <w:rsid w:val="00916BAA"/>
    <w:rsid w:val="00917838"/>
    <w:rsid w:val="00924161"/>
    <w:rsid w:val="00926307"/>
    <w:rsid w:val="00943F22"/>
    <w:rsid w:val="00947C2E"/>
    <w:rsid w:val="0095015A"/>
    <w:rsid w:val="0095053D"/>
    <w:rsid w:val="00955347"/>
    <w:rsid w:val="00957D91"/>
    <w:rsid w:val="0096194A"/>
    <w:rsid w:val="00961C3D"/>
    <w:rsid w:val="009626BB"/>
    <w:rsid w:val="00972DF7"/>
    <w:rsid w:val="00973D5F"/>
    <w:rsid w:val="0097472C"/>
    <w:rsid w:val="0098180B"/>
    <w:rsid w:val="00981900"/>
    <w:rsid w:val="00985E49"/>
    <w:rsid w:val="00985E87"/>
    <w:rsid w:val="0098648B"/>
    <w:rsid w:val="0098703E"/>
    <w:rsid w:val="009871BC"/>
    <w:rsid w:val="00991C47"/>
    <w:rsid w:val="00991C87"/>
    <w:rsid w:val="00992CA1"/>
    <w:rsid w:val="00993C02"/>
    <w:rsid w:val="00995B89"/>
    <w:rsid w:val="009A1C8E"/>
    <w:rsid w:val="009A2666"/>
    <w:rsid w:val="009A3963"/>
    <w:rsid w:val="009B1C46"/>
    <w:rsid w:val="009B1D3A"/>
    <w:rsid w:val="009B54B2"/>
    <w:rsid w:val="009B55F3"/>
    <w:rsid w:val="009B67EB"/>
    <w:rsid w:val="009C6207"/>
    <w:rsid w:val="009C6598"/>
    <w:rsid w:val="009C6A7B"/>
    <w:rsid w:val="009D12CF"/>
    <w:rsid w:val="009D3534"/>
    <w:rsid w:val="009D3B6E"/>
    <w:rsid w:val="009D45C3"/>
    <w:rsid w:val="009D5FB5"/>
    <w:rsid w:val="009D7B51"/>
    <w:rsid w:val="009E19D2"/>
    <w:rsid w:val="009E4B3F"/>
    <w:rsid w:val="009E6518"/>
    <w:rsid w:val="009F3B1E"/>
    <w:rsid w:val="009F7165"/>
    <w:rsid w:val="00A024AA"/>
    <w:rsid w:val="00A110FD"/>
    <w:rsid w:val="00A11F62"/>
    <w:rsid w:val="00A145C5"/>
    <w:rsid w:val="00A22960"/>
    <w:rsid w:val="00A240CA"/>
    <w:rsid w:val="00A25A74"/>
    <w:rsid w:val="00A26BCD"/>
    <w:rsid w:val="00A27DBA"/>
    <w:rsid w:val="00A30A15"/>
    <w:rsid w:val="00A31D2A"/>
    <w:rsid w:val="00A36A4F"/>
    <w:rsid w:val="00A4004D"/>
    <w:rsid w:val="00A40539"/>
    <w:rsid w:val="00A428D9"/>
    <w:rsid w:val="00A45644"/>
    <w:rsid w:val="00A47BFB"/>
    <w:rsid w:val="00A507C9"/>
    <w:rsid w:val="00A51D17"/>
    <w:rsid w:val="00A51EDC"/>
    <w:rsid w:val="00A5219F"/>
    <w:rsid w:val="00A618A7"/>
    <w:rsid w:val="00A67685"/>
    <w:rsid w:val="00A71563"/>
    <w:rsid w:val="00A725F5"/>
    <w:rsid w:val="00A74539"/>
    <w:rsid w:val="00A8104A"/>
    <w:rsid w:val="00A81CCE"/>
    <w:rsid w:val="00A81F83"/>
    <w:rsid w:val="00A82E9A"/>
    <w:rsid w:val="00A83967"/>
    <w:rsid w:val="00A85195"/>
    <w:rsid w:val="00A854F4"/>
    <w:rsid w:val="00A876D1"/>
    <w:rsid w:val="00A9045A"/>
    <w:rsid w:val="00A90799"/>
    <w:rsid w:val="00A90E5F"/>
    <w:rsid w:val="00A92378"/>
    <w:rsid w:val="00A96103"/>
    <w:rsid w:val="00A97630"/>
    <w:rsid w:val="00AA26C9"/>
    <w:rsid w:val="00AA2F53"/>
    <w:rsid w:val="00AA66CD"/>
    <w:rsid w:val="00AA6EDB"/>
    <w:rsid w:val="00AB0C9A"/>
    <w:rsid w:val="00AB23EF"/>
    <w:rsid w:val="00AB3378"/>
    <w:rsid w:val="00AB404E"/>
    <w:rsid w:val="00AB5D21"/>
    <w:rsid w:val="00AB72A8"/>
    <w:rsid w:val="00AB7B24"/>
    <w:rsid w:val="00AC045E"/>
    <w:rsid w:val="00AC38C0"/>
    <w:rsid w:val="00AC48CA"/>
    <w:rsid w:val="00AC7A9C"/>
    <w:rsid w:val="00AD3A1D"/>
    <w:rsid w:val="00AD4724"/>
    <w:rsid w:val="00AD4FBC"/>
    <w:rsid w:val="00AD562A"/>
    <w:rsid w:val="00AD7E1F"/>
    <w:rsid w:val="00AE276D"/>
    <w:rsid w:val="00AE4AFF"/>
    <w:rsid w:val="00AE6EA1"/>
    <w:rsid w:val="00AE7240"/>
    <w:rsid w:val="00AE7A83"/>
    <w:rsid w:val="00AF2433"/>
    <w:rsid w:val="00AF4870"/>
    <w:rsid w:val="00AF7424"/>
    <w:rsid w:val="00B01564"/>
    <w:rsid w:val="00B018C2"/>
    <w:rsid w:val="00B04592"/>
    <w:rsid w:val="00B045ED"/>
    <w:rsid w:val="00B11B3B"/>
    <w:rsid w:val="00B128F6"/>
    <w:rsid w:val="00B138FB"/>
    <w:rsid w:val="00B13C1A"/>
    <w:rsid w:val="00B17A3B"/>
    <w:rsid w:val="00B23B5A"/>
    <w:rsid w:val="00B25FEC"/>
    <w:rsid w:val="00B271C8"/>
    <w:rsid w:val="00B31F1B"/>
    <w:rsid w:val="00B34315"/>
    <w:rsid w:val="00B36D66"/>
    <w:rsid w:val="00B377B5"/>
    <w:rsid w:val="00B41768"/>
    <w:rsid w:val="00B443AA"/>
    <w:rsid w:val="00B4474E"/>
    <w:rsid w:val="00B45A7F"/>
    <w:rsid w:val="00B45FC5"/>
    <w:rsid w:val="00B47272"/>
    <w:rsid w:val="00B476A2"/>
    <w:rsid w:val="00B532A6"/>
    <w:rsid w:val="00B53E0E"/>
    <w:rsid w:val="00B563C7"/>
    <w:rsid w:val="00B60924"/>
    <w:rsid w:val="00B61236"/>
    <w:rsid w:val="00B61D17"/>
    <w:rsid w:val="00B63B4C"/>
    <w:rsid w:val="00B67672"/>
    <w:rsid w:val="00B70663"/>
    <w:rsid w:val="00B716DF"/>
    <w:rsid w:val="00B7616E"/>
    <w:rsid w:val="00B80A83"/>
    <w:rsid w:val="00B83273"/>
    <w:rsid w:val="00B86C7D"/>
    <w:rsid w:val="00B91E24"/>
    <w:rsid w:val="00B9217A"/>
    <w:rsid w:val="00B92670"/>
    <w:rsid w:val="00B94FFB"/>
    <w:rsid w:val="00BA10E5"/>
    <w:rsid w:val="00BA3E5C"/>
    <w:rsid w:val="00BA5B99"/>
    <w:rsid w:val="00BA7AD4"/>
    <w:rsid w:val="00BB20D0"/>
    <w:rsid w:val="00BB3329"/>
    <w:rsid w:val="00BB533D"/>
    <w:rsid w:val="00BB6A4A"/>
    <w:rsid w:val="00BB7738"/>
    <w:rsid w:val="00BB7EA1"/>
    <w:rsid w:val="00BC00DB"/>
    <w:rsid w:val="00BC5839"/>
    <w:rsid w:val="00BC795A"/>
    <w:rsid w:val="00BC7C39"/>
    <w:rsid w:val="00BD04D9"/>
    <w:rsid w:val="00BD19F3"/>
    <w:rsid w:val="00BD2A58"/>
    <w:rsid w:val="00BD343C"/>
    <w:rsid w:val="00BD452D"/>
    <w:rsid w:val="00BD5331"/>
    <w:rsid w:val="00BD62F5"/>
    <w:rsid w:val="00BD6E88"/>
    <w:rsid w:val="00BD73F7"/>
    <w:rsid w:val="00BE36DB"/>
    <w:rsid w:val="00BE46A2"/>
    <w:rsid w:val="00BE4A4F"/>
    <w:rsid w:val="00BF0E9D"/>
    <w:rsid w:val="00BF4EC0"/>
    <w:rsid w:val="00BF579E"/>
    <w:rsid w:val="00BF7FCE"/>
    <w:rsid w:val="00C00239"/>
    <w:rsid w:val="00C00299"/>
    <w:rsid w:val="00C02102"/>
    <w:rsid w:val="00C06599"/>
    <w:rsid w:val="00C12E99"/>
    <w:rsid w:val="00C133A0"/>
    <w:rsid w:val="00C13E8A"/>
    <w:rsid w:val="00C15374"/>
    <w:rsid w:val="00C1554A"/>
    <w:rsid w:val="00C23848"/>
    <w:rsid w:val="00C24D99"/>
    <w:rsid w:val="00C35597"/>
    <w:rsid w:val="00C3677C"/>
    <w:rsid w:val="00C3727D"/>
    <w:rsid w:val="00C37D13"/>
    <w:rsid w:val="00C426BA"/>
    <w:rsid w:val="00C44043"/>
    <w:rsid w:val="00C468E4"/>
    <w:rsid w:val="00C5156D"/>
    <w:rsid w:val="00C53AD6"/>
    <w:rsid w:val="00C60B34"/>
    <w:rsid w:val="00C63572"/>
    <w:rsid w:val="00C644DB"/>
    <w:rsid w:val="00C64821"/>
    <w:rsid w:val="00C66F88"/>
    <w:rsid w:val="00C7121A"/>
    <w:rsid w:val="00C8740A"/>
    <w:rsid w:val="00C9011D"/>
    <w:rsid w:val="00C916F0"/>
    <w:rsid w:val="00C9359C"/>
    <w:rsid w:val="00CA2C5E"/>
    <w:rsid w:val="00CA371B"/>
    <w:rsid w:val="00CA66C0"/>
    <w:rsid w:val="00CA7452"/>
    <w:rsid w:val="00CB06F3"/>
    <w:rsid w:val="00CB09F3"/>
    <w:rsid w:val="00CB2012"/>
    <w:rsid w:val="00CB2649"/>
    <w:rsid w:val="00CB5627"/>
    <w:rsid w:val="00CC0E94"/>
    <w:rsid w:val="00CC1151"/>
    <w:rsid w:val="00CC3273"/>
    <w:rsid w:val="00CC73D5"/>
    <w:rsid w:val="00CC79CE"/>
    <w:rsid w:val="00CD2ED7"/>
    <w:rsid w:val="00CD7AAE"/>
    <w:rsid w:val="00CD7C22"/>
    <w:rsid w:val="00CE1B1D"/>
    <w:rsid w:val="00CE3489"/>
    <w:rsid w:val="00CE37BE"/>
    <w:rsid w:val="00CE3AF7"/>
    <w:rsid w:val="00CE4BD6"/>
    <w:rsid w:val="00CE5BFA"/>
    <w:rsid w:val="00CE62FF"/>
    <w:rsid w:val="00CE644F"/>
    <w:rsid w:val="00CE7DE3"/>
    <w:rsid w:val="00CF027D"/>
    <w:rsid w:val="00CF0BAA"/>
    <w:rsid w:val="00CF0D0D"/>
    <w:rsid w:val="00CF4116"/>
    <w:rsid w:val="00CF509E"/>
    <w:rsid w:val="00CF6306"/>
    <w:rsid w:val="00CF6900"/>
    <w:rsid w:val="00D008D3"/>
    <w:rsid w:val="00D00DDE"/>
    <w:rsid w:val="00D02110"/>
    <w:rsid w:val="00D051B7"/>
    <w:rsid w:val="00D07580"/>
    <w:rsid w:val="00D10075"/>
    <w:rsid w:val="00D1049B"/>
    <w:rsid w:val="00D12D31"/>
    <w:rsid w:val="00D214DC"/>
    <w:rsid w:val="00D23456"/>
    <w:rsid w:val="00D3037F"/>
    <w:rsid w:val="00D34E98"/>
    <w:rsid w:val="00D364B6"/>
    <w:rsid w:val="00D400F5"/>
    <w:rsid w:val="00D423FE"/>
    <w:rsid w:val="00D43EBB"/>
    <w:rsid w:val="00D46FB5"/>
    <w:rsid w:val="00D47077"/>
    <w:rsid w:val="00D507F7"/>
    <w:rsid w:val="00D50EAC"/>
    <w:rsid w:val="00D51A73"/>
    <w:rsid w:val="00D52E4B"/>
    <w:rsid w:val="00D53AA1"/>
    <w:rsid w:val="00D5545E"/>
    <w:rsid w:val="00D567F8"/>
    <w:rsid w:val="00D56F27"/>
    <w:rsid w:val="00D6138B"/>
    <w:rsid w:val="00D64393"/>
    <w:rsid w:val="00D65D52"/>
    <w:rsid w:val="00D71BE8"/>
    <w:rsid w:val="00D74250"/>
    <w:rsid w:val="00D80BB8"/>
    <w:rsid w:val="00D835C1"/>
    <w:rsid w:val="00D84D38"/>
    <w:rsid w:val="00D86E64"/>
    <w:rsid w:val="00D91D04"/>
    <w:rsid w:val="00D9214C"/>
    <w:rsid w:val="00D93974"/>
    <w:rsid w:val="00D93BB7"/>
    <w:rsid w:val="00D94AB3"/>
    <w:rsid w:val="00D950BD"/>
    <w:rsid w:val="00D976B7"/>
    <w:rsid w:val="00D97D04"/>
    <w:rsid w:val="00DA3796"/>
    <w:rsid w:val="00DA3921"/>
    <w:rsid w:val="00DA6DCD"/>
    <w:rsid w:val="00DA761C"/>
    <w:rsid w:val="00DB0C65"/>
    <w:rsid w:val="00DB3CAF"/>
    <w:rsid w:val="00DB5246"/>
    <w:rsid w:val="00DC0111"/>
    <w:rsid w:val="00DC2FE8"/>
    <w:rsid w:val="00DC4DE5"/>
    <w:rsid w:val="00DC4DEF"/>
    <w:rsid w:val="00DC5632"/>
    <w:rsid w:val="00DC7DEF"/>
    <w:rsid w:val="00DD0BE4"/>
    <w:rsid w:val="00DD1E28"/>
    <w:rsid w:val="00DD2145"/>
    <w:rsid w:val="00DD69DD"/>
    <w:rsid w:val="00DE2B84"/>
    <w:rsid w:val="00DE3460"/>
    <w:rsid w:val="00DE4B1C"/>
    <w:rsid w:val="00DE5016"/>
    <w:rsid w:val="00DE62E3"/>
    <w:rsid w:val="00DE6563"/>
    <w:rsid w:val="00DF41B1"/>
    <w:rsid w:val="00DF46B4"/>
    <w:rsid w:val="00E007EF"/>
    <w:rsid w:val="00E02DD5"/>
    <w:rsid w:val="00E034B4"/>
    <w:rsid w:val="00E072AB"/>
    <w:rsid w:val="00E11689"/>
    <w:rsid w:val="00E13ADE"/>
    <w:rsid w:val="00E14ACA"/>
    <w:rsid w:val="00E14BEF"/>
    <w:rsid w:val="00E15561"/>
    <w:rsid w:val="00E17F7D"/>
    <w:rsid w:val="00E20CBA"/>
    <w:rsid w:val="00E22729"/>
    <w:rsid w:val="00E23BE1"/>
    <w:rsid w:val="00E240E5"/>
    <w:rsid w:val="00E2535D"/>
    <w:rsid w:val="00E25F89"/>
    <w:rsid w:val="00E26DDB"/>
    <w:rsid w:val="00E27A8E"/>
    <w:rsid w:val="00E348AA"/>
    <w:rsid w:val="00E40821"/>
    <w:rsid w:val="00E40B0B"/>
    <w:rsid w:val="00E412E7"/>
    <w:rsid w:val="00E418B4"/>
    <w:rsid w:val="00E41E27"/>
    <w:rsid w:val="00E45F78"/>
    <w:rsid w:val="00E46D2C"/>
    <w:rsid w:val="00E4787C"/>
    <w:rsid w:val="00E55278"/>
    <w:rsid w:val="00E60441"/>
    <w:rsid w:val="00E60C5A"/>
    <w:rsid w:val="00E62CC1"/>
    <w:rsid w:val="00E661CB"/>
    <w:rsid w:val="00E70C89"/>
    <w:rsid w:val="00E70DEA"/>
    <w:rsid w:val="00E70E9E"/>
    <w:rsid w:val="00E74357"/>
    <w:rsid w:val="00E74409"/>
    <w:rsid w:val="00E8064F"/>
    <w:rsid w:val="00E80B7A"/>
    <w:rsid w:val="00E8149C"/>
    <w:rsid w:val="00E81F6C"/>
    <w:rsid w:val="00E829E5"/>
    <w:rsid w:val="00E90BF3"/>
    <w:rsid w:val="00E919A9"/>
    <w:rsid w:val="00E9214A"/>
    <w:rsid w:val="00E93DD1"/>
    <w:rsid w:val="00E94C32"/>
    <w:rsid w:val="00E97AC4"/>
    <w:rsid w:val="00EA066A"/>
    <w:rsid w:val="00EA2AF5"/>
    <w:rsid w:val="00EA2E25"/>
    <w:rsid w:val="00EA2E8B"/>
    <w:rsid w:val="00EA40B4"/>
    <w:rsid w:val="00EB2DC9"/>
    <w:rsid w:val="00EB34B1"/>
    <w:rsid w:val="00EB41CE"/>
    <w:rsid w:val="00EB5894"/>
    <w:rsid w:val="00EB6E60"/>
    <w:rsid w:val="00EC3156"/>
    <w:rsid w:val="00EC328E"/>
    <w:rsid w:val="00EC5734"/>
    <w:rsid w:val="00EC5A2F"/>
    <w:rsid w:val="00EC78D1"/>
    <w:rsid w:val="00ED1979"/>
    <w:rsid w:val="00ED3701"/>
    <w:rsid w:val="00ED6660"/>
    <w:rsid w:val="00ED799B"/>
    <w:rsid w:val="00EE2EA7"/>
    <w:rsid w:val="00EE7E24"/>
    <w:rsid w:val="00EF0B68"/>
    <w:rsid w:val="00EF6411"/>
    <w:rsid w:val="00F06DA1"/>
    <w:rsid w:val="00F06DC4"/>
    <w:rsid w:val="00F0794C"/>
    <w:rsid w:val="00F127F9"/>
    <w:rsid w:val="00F13ACF"/>
    <w:rsid w:val="00F16079"/>
    <w:rsid w:val="00F228A8"/>
    <w:rsid w:val="00F237FE"/>
    <w:rsid w:val="00F24212"/>
    <w:rsid w:val="00F27069"/>
    <w:rsid w:val="00F2777A"/>
    <w:rsid w:val="00F334C0"/>
    <w:rsid w:val="00F40FAA"/>
    <w:rsid w:val="00F4210B"/>
    <w:rsid w:val="00F44436"/>
    <w:rsid w:val="00F4551D"/>
    <w:rsid w:val="00F459FE"/>
    <w:rsid w:val="00F521FC"/>
    <w:rsid w:val="00F5245E"/>
    <w:rsid w:val="00F54E46"/>
    <w:rsid w:val="00F5616D"/>
    <w:rsid w:val="00F62E03"/>
    <w:rsid w:val="00F6564E"/>
    <w:rsid w:val="00F668AA"/>
    <w:rsid w:val="00F67BC6"/>
    <w:rsid w:val="00F67BD5"/>
    <w:rsid w:val="00F7004C"/>
    <w:rsid w:val="00F741BE"/>
    <w:rsid w:val="00F74A94"/>
    <w:rsid w:val="00F75211"/>
    <w:rsid w:val="00F755A1"/>
    <w:rsid w:val="00F81A2D"/>
    <w:rsid w:val="00F85162"/>
    <w:rsid w:val="00F8627D"/>
    <w:rsid w:val="00F8673D"/>
    <w:rsid w:val="00F86785"/>
    <w:rsid w:val="00FA2262"/>
    <w:rsid w:val="00FA53D6"/>
    <w:rsid w:val="00FA7AF8"/>
    <w:rsid w:val="00FA7B1C"/>
    <w:rsid w:val="00FB2658"/>
    <w:rsid w:val="00FB3370"/>
    <w:rsid w:val="00FC2443"/>
    <w:rsid w:val="00FC35B3"/>
    <w:rsid w:val="00FC47ED"/>
    <w:rsid w:val="00FC645A"/>
    <w:rsid w:val="00FC7CAF"/>
    <w:rsid w:val="00FD1DA1"/>
    <w:rsid w:val="00FD4AF6"/>
    <w:rsid w:val="00FE0198"/>
    <w:rsid w:val="00FE0B3A"/>
    <w:rsid w:val="00FE1658"/>
    <w:rsid w:val="00FE22CB"/>
    <w:rsid w:val="00FE5012"/>
    <w:rsid w:val="00FE5743"/>
    <w:rsid w:val="00FE5DA2"/>
    <w:rsid w:val="00FE6B39"/>
    <w:rsid w:val="00FF0039"/>
    <w:rsid w:val="00FF0710"/>
    <w:rsid w:val="00FF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6334A2"/>
  <w15:docId w15:val="{17AE9312-2B5F-4BA9-875D-A9FAC0CF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5D5E"/>
    <w:rPr>
      <w:sz w:val="24"/>
      <w:szCs w:val="24"/>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C3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3512"/>
    <w:pPr>
      <w:tabs>
        <w:tab w:val="center" w:pos="4320"/>
        <w:tab w:val="right" w:pos="8640"/>
      </w:tabs>
      <w:jc w:val="both"/>
    </w:pPr>
    <w:rPr>
      <w:sz w:val="22"/>
      <w:lang w:eastAsia="en-US"/>
    </w:rPr>
  </w:style>
  <w:style w:type="paragraph" w:customStyle="1" w:styleId="articolo">
    <w:name w:val="articolo"/>
    <w:basedOn w:val="Normal"/>
    <w:rsid w:val="001A14D4"/>
    <w:pPr>
      <w:widowControl w:val="0"/>
      <w:jc w:val="both"/>
    </w:pPr>
    <w:rPr>
      <w:sz w:val="16"/>
      <w:szCs w:val="20"/>
      <w:lang w:eastAsia="en-US"/>
    </w:rPr>
  </w:style>
  <w:style w:type="paragraph" w:styleId="Footer">
    <w:name w:val="footer"/>
    <w:basedOn w:val="Normal"/>
    <w:link w:val="FooterChar"/>
    <w:rsid w:val="001131F4"/>
    <w:pPr>
      <w:tabs>
        <w:tab w:val="center" w:pos="4819"/>
        <w:tab w:val="right" w:pos="9638"/>
      </w:tabs>
    </w:pPr>
  </w:style>
  <w:style w:type="paragraph" w:styleId="BodyText">
    <w:name w:val="Body Text"/>
    <w:basedOn w:val="Normal"/>
    <w:rsid w:val="001131F4"/>
    <w:pPr>
      <w:jc w:val="center"/>
    </w:pPr>
    <w:rPr>
      <w:b/>
      <w:bCs/>
      <w:sz w:val="70"/>
      <w:lang w:eastAsia="en-US"/>
    </w:rPr>
  </w:style>
  <w:style w:type="table" w:customStyle="1" w:styleId="BANCAIMI2">
    <w:name w:val="BANCA IMI 2"/>
    <w:basedOn w:val="TableNormal"/>
    <w:rsid w:val="00E25F89"/>
    <w:pPr>
      <w:spacing w:before="60" w:after="60"/>
    </w:pPr>
    <w:tblPr>
      <w:tblStyleRowBandSize w:val="1"/>
      <w:tblStyleColBandSize w:val="1"/>
      <w:jc w:val="center"/>
    </w:tblPr>
    <w:trPr>
      <w:jc w:val="center"/>
    </w:trPr>
    <w:tcPr>
      <w:shd w:val="clear" w:color="auto" w:fill="FFFFFF"/>
      <w:vAlign w:val="center"/>
    </w:tcPr>
    <w:tblStylePr w:type="firstRow">
      <w:rPr>
        <w:rFonts w:ascii="Times New Roman" w:hAnsi="Times New Roman"/>
        <w:b/>
        <w:sz w:val="20"/>
      </w:rPr>
      <w:tblPr/>
      <w:tcPr>
        <w:shd w:val="clear" w:color="auto" w:fill="FFFFFF"/>
      </w:tcPr>
    </w:tblStylePr>
    <w:tblStylePr w:type="firstCol">
      <w:rPr>
        <w:rFonts w:ascii="Times New Roman" w:hAnsi="Times New Roman"/>
        <w:sz w:val="20"/>
      </w:rPr>
    </w:tblStylePr>
    <w:tblStylePr w:type="band1Vert">
      <w:rPr>
        <w:b w:val="0"/>
      </w:rPr>
    </w:tblStylePr>
    <w:tblStylePr w:type="band1Horz">
      <w:rPr>
        <w:rFonts w:ascii="Times New Roman" w:hAnsi="Times New Roman"/>
        <w:b w:val="0"/>
        <w:sz w:val="20"/>
      </w:rPr>
      <w:tblPr/>
      <w:tcPr>
        <w:shd w:val="clear" w:color="auto" w:fill="E0E3E5"/>
      </w:tcPr>
    </w:tblStylePr>
    <w:tblStylePr w:type="band2Horz">
      <w:rPr>
        <w:rFonts w:ascii="Times New Roman" w:hAnsi="Times New Roman"/>
        <w:sz w:val="20"/>
      </w:rPr>
      <w:tblPr/>
      <w:tcPr>
        <w:shd w:val="clear" w:color="auto" w:fill="FFFFFF"/>
      </w:tcPr>
    </w:tblStylePr>
  </w:style>
  <w:style w:type="paragraph" w:styleId="BalloonText">
    <w:name w:val="Balloon Text"/>
    <w:basedOn w:val="Normal"/>
    <w:semiHidden/>
    <w:rsid w:val="00BB6A4A"/>
    <w:rPr>
      <w:rFonts w:ascii="Tahoma" w:hAnsi="Tahoma" w:cs="Tahoma"/>
      <w:sz w:val="16"/>
      <w:szCs w:val="16"/>
    </w:rPr>
  </w:style>
  <w:style w:type="paragraph" w:customStyle="1" w:styleId="AOHead2">
    <w:name w:val="AOHead2"/>
    <w:basedOn w:val="Normal"/>
    <w:next w:val="Normal"/>
    <w:rsid w:val="0051520B"/>
    <w:pPr>
      <w:keepNext/>
      <w:numPr>
        <w:ilvl w:val="2"/>
        <w:numId w:val="1"/>
      </w:numPr>
      <w:spacing w:before="240" w:line="260" w:lineRule="atLeast"/>
      <w:jc w:val="both"/>
      <w:outlineLvl w:val="1"/>
    </w:pPr>
    <w:rPr>
      <w:rFonts w:eastAsia="SimSun"/>
      <w:b/>
      <w:sz w:val="22"/>
      <w:szCs w:val="22"/>
      <w:lang w:eastAsia="en-US"/>
    </w:rPr>
  </w:style>
  <w:style w:type="character" w:customStyle="1" w:styleId="gamnal1a">
    <w:name w:val="gamnal1a"/>
    <w:semiHidden/>
    <w:rsid w:val="00A83967"/>
    <w:rPr>
      <w:rFonts w:ascii="Arial" w:hAnsi="Arial" w:cs="Arial"/>
      <w:color w:val="000080"/>
      <w:sz w:val="20"/>
      <w:szCs w:val="20"/>
    </w:rPr>
  </w:style>
  <w:style w:type="character" w:styleId="Strong">
    <w:name w:val="Strong"/>
    <w:qFormat/>
    <w:rsid w:val="006C5D5E"/>
    <w:rPr>
      <w:b/>
      <w:bCs/>
    </w:rPr>
  </w:style>
  <w:style w:type="table" w:customStyle="1" w:styleId="Style1">
    <w:name w:val="Style1"/>
    <w:basedOn w:val="BANCAIMI2"/>
    <w:uiPriority w:val="99"/>
    <w:rsid w:val="00CD2ED7"/>
    <w:pPr>
      <w:spacing w:before="0" w:after="0"/>
    </w:pPr>
    <w:tblPr>
      <w:tblBorders>
        <w:top w:val="single" w:sz="4" w:space="0" w:color="808080"/>
        <w:bottom w:val="single" w:sz="4" w:space="0" w:color="808080"/>
        <w:insideH w:val="single" w:sz="4" w:space="0" w:color="808080"/>
      </w:tblBorders>
      <w:tblCellMar>
        <w:top w:w="28" w:type="dxa"/>
        <w:bottom w:w="28" w:type="dxa"/>
      </w:tblCellMar>
    </w:tblPr>
    <w:tcPr>
      <w:shd w:val="clear" w:color="auto" w:fill="D9D9D9"/>
    </w:tcPr>
    <w:tblStylePr w:type="firstRow">
      <w:rPr>
        <w:rFonts w:ascii="Times New Roman" w:hAnsi="Times New Roman"/>
        <w:b/>
        <w:sz w:val="20"/>
      </w:rPr>
      <w:tblPr/>
      <w:tcPr>
        <w:shd w:val="clear" w:color="auto" w:fill="FFFFFF"/>
      </w:tcPr>
    </w:tblStylePr>
    <w:tblStylePr w:type="firstCol">
      <w:rPr>
        <w:rFonts w:ascii="Times New Roman" w:hAnsi="Times New Roman"/>
        <w:sz w:val="20"/>
      </w:rPr>
    </w:tblStylePr>
    <w:tblStylePr w:type="band1Vert">
      <w:rPr>
        <w:b w:val="0"/>
      </w:rPr>
    </w:tblStylePr>
    <w:tblStylePr w:type="band1Horz">
      <w:rPr>
        <w:rFonts w:ascii="Times New Roman" w:hAnsi="Times New Roman"/>
        <w:b w:val="0"/>
        <w:sz w:val="20"/>
      </w:rPr>
      <w:tblPr/>
      <w:tcPr>
        <w:shd w:val="clear" w:color="auto" w:fill="E0E3E5"/>
      </w:tcPr>
    </w:tblStylePr>
    <w:tblStylePr w:type="band2Horz">
      <w:rPr>
        <w:rFonts w:ascii="Times New Roman" w:hAnsi="Times New Roman"/>
        <w:sz w:val="20"/>
      </w:rPr>
      <w:tblPr/>
      <w:tcPr>
        <w:shd w:val="clear" w:color="auto" w:fill="FFFFFF"/>
      </w:tcPr>
    </w:tblStylePr>
  </w:style>
  <w:style w:type="character" w:styleId="PlaceholderText">
    <w:name w:val="Placeholder Text"/>
    <w:basedOn w:val="DefaultParagraphFont"/>
    <w:uiPriority w:val="99"/>
    <w:semiHidden/>
    <w:rsid w:val="00E23BE1"/>
    <w:rPr>
      <w:color w:val="808080"/>
    </w:rPr>
  </w:style>
  <w:style w:type="character" w:styleId="CommentReference">
    <w:name w:val="annotation reference"/>
    <w:basedOn w:val="DefaultParagraphFont"/>
    <w:rsid w:val="00B91E24"/>
    <w:rPr>
      <w:sz w:val="16"/>
      <w:szCs w:val="16"/>
    </w:rPr>
  </w:style>
  <w:style w:type="paragraph" w:styleId="CommentText">
    <w:name w:val="annotation text"/>
    <w:basedOn w:val="Normal"/>
    <w:link w:val="CommentTextChar"/>
    <w:rsid w:val="00B91E24"/>
    <w:rPr>
      <w:sz w:val="20"/>
      <w:szCs w:val="20"/>
    </w:rPr>
  </w:style>
  <w:style w:type="character" w:customStyle="1" w:styleId="CommentTextChar">
    <w:name w:val="Comment Text Char"/>
    <w:basedOn w:val="DefaultParagraphFont"/>
    <w:link w:val="CommentText"/>
    <w:rsid w:val="00B91E24"/>
    <w:rPr>
      <w:lang w:val="it-IT" w:eastAsia="it-IT"/>
    </w:rPr>
  </w:style>
  <w:style w:type="paragraph" w:styleId="CommentSubject">
    <w:name w:val="annotation subject"/>
    <w:basedOn w:val="CommentText"/>
    <w:next w:val="CommentText"/>
    <w:link w:val="CommentSubjectChar"/>
    <w:rsid w:val="00B91E24"/>
    <w:rPr>
      <w:b/>
      <w:bCs/>
    </w:rPr>
  </w:style>
  <w:style w:type="character" w:customStyle="1" w:styleId="CommentSubjectChar">
    <w:name w:val="Comment Subject Char"/>
    <w:basedOn w:val="CommentTextChar"/>
    <w:link w:val="CommentSubject"/>
    <w:rsid w:val="00B91E24"/>
    <w:rPr>
      <w:b/>
      <w:bCs/>
      <w:lang w:val="it-IT" w:eastAsia="it-IT"/>
    </w:rPr>
  </w:style>
  <w:style w:type="paragraph" w:styleId="Revision">
    <w:name w:val="Revision"/>
    <w:hidden/>
    <w:uiPriority w:val="99"/>
    <w:semiHidden/>
    <w:rsid w:val="008271E7"/>
    <w:rPr>
      <w:sz w:val="24"/>
      <w:szCs w:val="24"/>
      <w:lang w:val="it-IT" w:eastAsia="it-IT"/>
    </w:rPr>
  </w:style>
  <w:style w:type="paragraph" w:customStyle="1" w:styleId="Default">
    <w:name w:val="Default"/>
    <w:rsid w:val="002173A9"/>
    <w:pPr>
      <w:autoSpaceDE w:val="0"/>
      <w:autoSpaceDN w:val="0"/>
      <w:adjustRightInd w:val="0"/>
    </w:pPr>
    <w:rPr>
      <w:color w:val="000000"/>
      <w:sz w:val="24"/>
      <w:szCs w:val="24"/>
    </w:rPr>
  </w:style>
  <w:style w:type="character" w:customStyle="1" w:styleId="FooterChar">
    <w:name w:val="Footer Char"/>
    <w:basedOn w:val="DefaultParagraphFont"/>
    <w:link w:val="Footer"/>
    <w:rsid w:val="00D567F8"/>
    <w:rPr>
      <w:sz w:val="24"/>
      <w:szCs w:val="24"/>
      <w:lang w:val="it-IT" w:eastAsia="it-IT"/>
    </w:rPr>
  </w:style>
  <w:style w:type="character" w:customStyle="1" w:styleId="Body1Char">
    <w:name w:val="Body 1 Char"/>
    <w:link w:val="Body1"/>
    <w:locked/>
    <w:rsid w:val="005A379C"/>
    <w:rPr>
      <w:rFonts w:ascii="Arial" w:eastAsia="Arial Unicode MS" w:hAnsi="Arial" w:cs="Arial"/>
      <w:sz w:val="21"/>
      <w:szCs w:val="21"/>
    </w:rPr>
  </w:style>
  <w:style w:type="paragraph" w:customStyle="1" w:styleId="Body1">
    <w:name w:val="Body 1"/>
    <w:basedOn w:val="Normal"/>
    <w:link w:val="Body1Char"/>
    <w:qFormat/>
    <w:rsid w:val="005A379C"/>
    <w:pPr>
      <w:spacing w:after="210" w:line="264" w:lineRule="auto"/>
      <w:jc w:val="both"/>
    </w:pPr>
    <w:rPr>
      <w:rFonts w:ascii="Arial" w:eastAsia="Arial Unicode MS" w:hAnsi="Arial" w:cs="Arial"/>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0697">
      <w:bodyDiv w:val="1"/>
      <w:marLeft w:val="0"/>
      <w:marRight w:val="0"/>
      <w:marTop w:val="0"/>
      <w:marBottom w:val="0"/>
      <w:divBdr>
        <w:top w:val="none" w:sz="0" w:space="0" w:color="auto"/>
        <w:left w:val="none" w:sz="0" w:space="0" w:color="auto"/>
        <w:bottom w:val="none" w:sz="0" w:space="0" w:color="auto"/>
        <w:right w:val="none" w:sz="0" w:space="0" w:color="auto"/>
      </w:divBdr>
    </w:div>
    <w:div w:id="62067821">
      <w:bodyDiv w:val="1"/>
      <w:marLeft w:val="0"/>
      <w:marRight w:val="0"/>
      <w:marTop w:val="0"/>
      <w:marBottom w:val="0"/>
      <w:divBdr>
        <w:top w:val="none" w:sz="0" w:space="0" w:color="auto"/>
        <w:left w:val="none" w:sz="0" w:space="0" w:color="auto"/>
        <w:bottom w:val="none" w:sz="0" w:space="0" w:color="auto"/>
        <w:right w:val="none" w:sz="0" w:space="0" w:color="auto"/>
      </w:divBdr>
    </w:div>
    <w:div w:id="156384471">
      <w:bodyDiv w:val="1"/>
      <w:marLeft w:val="0"/>
      <w:marRight w:val="0"/>
      <w:marTop w:val="0"/>
      <w:marBottom w:val="0"/>
      <w:divBdr>
        <w:top w:val="none" w:sz="0" w:space="0" w:color="auto"/>
        <w:left w:val="none" w:sz="0" w:space="0" w:color="auto"/>
        <w:bottom w:val="none" w:sz="0" w:space="0" w:color="auto"/>
        <w:right w:val="none" w:sz="0" w:space="0" w:color="auto"/>
      </w:divBdr>
    </w:div>
    <w:div w:id="421996182">
      <w:bodyDiv w:val="1"/>
      <w:marLeft w:val="0"/>
      <w:marRight w:val="0"/>
      <w:marTop w:val="0"/>
      <w:marBottom w:val="0"/>
      <w:divBdr>
        <w:top w:val="none" w:sz="0" w:space="0" w:color="auto"/>
        <w:left w:val="none" w:sz="0" w:space="0" w:color="auto"/>
        <w:bottom w:val="none" w:sz="0" w:space="0" w:color="auto"/>
        <w:right w:val="none" w:sz="0" w:space="0" w:color="auto"/>
      </w:divBdr>
    </w:div>
    <w:div w:id="436566587">
      <w:bodyDiv w:val="1"/>
      <w:marLeft w:val="0"/>
      <w:marRight w:val="0"/>
      <w:marTop w:val="0"/>
      <w:marBottom w:val="0"/>
      <w:divBdr>
        <w:top w:val="none" w:sz="0" w:space="0" w:color="auto"/>
        <w:left w:val="none" w:sz="0" w:space="0" w:color="auto"/>
        <w:bottom w:val="none" w:sz="0" w:space="0" w:color="auto"/>
        <w:right w:val="none" w:sz="0" w:space="0" w:color="auto"/>
      </w:divBdr>
    </w:div>
    <w:div w:id="462777208">
      <w:bodyDiv w:val="1"/>
      <w:marLeft w:val="0"/>
      <w:marRight w:val="0"/>
      <w:marTop w:val="0"/>
      <w:marBottom w:val="0"/>
      <w:divBdr>
        <w:top w:val="none" w:sz="0" w:space="0" w:color="auto"/>
        <w:left w:val="none" w:sz="0" w:space="0" w:color="auto"/>
        <w:bottom w:val="none" w:sz="0" w:space="0" w:color="auto"/>
        <w:right w:val="none" w:sz="0" w:space="0" w:color="auto"/>
      </w:divBdr>
    </w:div>
    <w:div w:id="519928985">
      <w:bodyDiv w:val="1"/>
      <w:marLeft w:val="0"/>
      <w:marRight w:val="0"/>
      <w:marTop w:val="0"/>
      <w:marBottom w:val="0"/>
      <w:divBdr>
        <w:top w:val="none" w:sz="0" w:space="0" w:color="auto"/>
        <w:left w:val="none" w:sz="0" w:space="0" w:color="auto"/>
        <w:bottom w:val="none" w:sz="0" w:space="0" w:color="auto"/>
        <w:right w:val="none" w:sz="0" w:space="0" w:color="auto"/>
      </w:divBdr>
    </w:div>
    <w:div w:id="589311253">
      <w:bodyDiv w:val="1"/>
      <w:marLeft w:val="0"/>
      <w:marRight w:val="0"/>
      <w:marTop w:val="0"/>
      <w:marBottom w:val="0"/>
      <w:divBdr>
        <w:top w:val="none" w:sz="0" w:space="0" w:color="auto"/>
        <w:left w:val="none" w:sz="0" w:space="0" w:color="auto"/>
        <w:bottom w:val="none" w:sz="0" w:space="0" w:color="auto"/>
        <w:right w:val="none" w:sz="0" w:space="0" w:color="auto"/>
      </w:divBdr>
    </w:div>
    <w:div w:id="722290222">
      <w:bodyDiv w:val="1"/>
      <w:marLeft w:val="0"/>
      <w:marRight w:val="0"/>
      <w:marTop w:val="0"/>
      <w:marBottom w:val="0"/>
      <w:divBdr>
        <w:top w:val="none" w:sz="0" w:space="0" w:color="auto"/>
        <w:left w:val="none" w:sz="0" w:space="0" w:color="auto"/>
        <w:bottom w:val="none" w:sz="0" w:space="0" w:color="auto"/>
        <w:right w:val="none" w:sz="0" w:space="0" w:color="auto"/>
      </w:divBdr>
    </w:div>
    <w:div w:id="757410454">
      <w:bodyDiv w:val="1"/>
      <w:marLeft w:val="0"/>
      <w:marRight w:val="0"/>
      <w:marTop w:val="0"/>
      <w:marBottom w:val="0"/>
      <w:divBdr>
        <w:top w:val="none" w:sz="0" w:space="0" w:color="auto"/>
        <w:left w:val="none" w:sz="0" w:space="0" w:color="auto"/>
        <w:bottom w:val="none" w:sz="0" w:space="0" w:color="auto"/>
        <w:right w:val="none" w:sz="0" w:space="0" w:color="auto"/>
      </w:divBdr>
    </w:div>
    <w:div w:id="1068848505">
      <w:bodyDiv w:val="1"/>
      <w:marLeft w:val="0"/>
      <w:marRight w:val="0"/>
      <w:marTop w:val="0"/>
      <w:marBottom w:val="0"/>
      <w:divBdr>
        <w:top w:val="none" w:sz="0" w:space="0" w:color="auto"/>
        <w:left w:val="none" w:sz="0" w:space="0" w:color="auto"/>
        <w:bottom w:val="none" w:sz="0" w:space="0" w:color="auto"/>
        <w:right w:val="none" w:sz="0" w:space="0" w:color="auto"/>
      </w:divBdr>
    </w:div>
    <w:div w:id="1263297121">
      <w:bodyDiv w:val="1"/>
      <w:marLeft w:val="0"/>
      <w:marRight w:val="0"/>
      <w:marTop w:val="0"/>
      <w:marBottom w:val="0"/>
      <w:divBdr>
        <w:top w:val="none" w:sz="0" w:space="0" w:color="auto"/>
        <w:left w:val="none" w:sz="0" w:space="0" w:color="auto"/>
        <w:bottom w:val="none" w:sz="0" w:space="0" w:color="auto"/>
        <w:right w:val="none" w:sz="0" w:space="0" w:color="auto"/>
      </w:divBdr>
    </w:div>
    <w:div w:id="1443259483">
      <w:bodyDiv w:val="1"/>
      <w:marLeft w:val="0"/>
      <w:marRight w:val="0"/>
      <w:marTop w:val="0"/>
      <w:marBottom w:val="0"/>
      <w:divBdr>
        <w:top w:val="none" w:sz="0" w:space="0" w:color="auto"/>
        <w:left w:val="none" w:sz="0" w:space="0" w:color="auto"/>
        <w:bottom w:val="none" w:sz="0" w:space="0" w:color="auto"/>
        <w:right w:val="none" w:sz="0" w:space="0" w:color="auto"/>
      </w:divBdr>
    </w:div>
    <w:div w:id="1499734403">
      <w:bodyDiv w:val="1"/>
      <w:marLeft w:val="0"/>
      <w:marRight w:val="0"/>
      <w:marTop w:val="0"/>
      <w:marBottom w:val="0"/>
      <w:divBdr>
        <w:top w:val="none" w:sz="0" w:space="0" w:color="auto"/>
        <w:left w:val="none" w:sz="0" w:space="0" w:color="auto"/>
        <w:bottom w:val="none" w:sz="0" w:space="0" w:color="auto"/>
        <w:right w:val="none" w:sz="0" w:space="0" w:color="auto"/>
      </w:divBdr>
    </w:div>
    <w:div w:id="1686403568">
      <w:bodyDiv w:val="1"/>
      <w:marLeft w:val="0"/>
      <w:marRight w:val="0"/>
      <w:marTop w:val="0"/>
      <w:marBottom w:val="0"/>
      <w:divBdr>
        <w:top w:val="none" w:sz="0" w:space="0" w:color="auto"/>
        <w:left w:val="none" w:sz="0" w:space="0" w:color="auto"/>
        <w:bottom w:val="none" w:sz="0" w:space="0" w:color="auto"/>
        <w:right w:val="none" w:sz="0" w:space="0" w:color="auto"/>
      </w:divBdr>
    </w:div>
    <w:div w:id="1774663785">
      <w:bodyDiv w:val="1"/>
      <w:marLeft w:val="0"/>
      <w:marRight w:val="0"/>
      <w:marTop w:val="0"/>
      <w:marBottom w:val="0"/>
      <w:divBdr>
        <w:top w:val="none" w:sz="0" w:space="0" w:color="auto"/>
        <w:left w:val="none" w:sz="0" w:space="0" w:color="auto"/>
        <w:bottom w:val="none" w:sz="0" w:space="0" w:color="auto"/>
        <w:right w:val="none" w:sz="0" w:space="0" w:color="auto"/>
      </w:divBdr>
    </w:div>
    <w:div w:id="1861970313">
      <w:bodyDiv w:val="1"/>
      <w:marLeft w:val="0"/>
      <w:marRight w:val="0"/>
      <w:marTop w:val="0"/>
      <w:marBottom w:val="0"/>
      <w:divBdr>
        <w:top w:val="none" w:sz="0" w:space="0" w:color="auto"/>
        <w:left w:val="none" w:sz="0" w:space="0" w:color="auto"/>
        <w:bottom w:val="none" w:sz="0" w:space="0" w:color="auto"/>
        <w:right w:val="none" w:sz="0" w:space="0" w:color="auto"/>
      </w:divBdr>
    </w:div>
    <w:div w:id="1886410416">
      <w:bodyDiv w:val="1"/>
      <w:marLeft w:val="0"/>
      <w:marRight w:val="0"/>
      <w:marTop w:val="0"/>
      <w:marBottom w:val="0"/>
      <w:divBdr>
        <w:top w:val="none" w:sz="0" w:space="0" w:color="auto"/>
        <w:left w:val="none" w:sz="0" w:space="0" w:color="auto"/>
        <w:bottom w:val="none" w:sz="0" w:space="0" w:color="auto"/>
        <w:right w:val="none" w:sz="0" w:space="0" w:color="auto"/>
      </w:divBdr>
    </w:div>
    <w:div w:id="212966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94638-36E2-4479-BA9A-72735CEE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Banca Caboto s.p.a.</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coloms1b</dc:creator>
  <cp:lastModifiedBy>U370256</cp:lastModifiedBy>
  <cp:revision>2</cp:revision>
  <cp:lastPrinted>2014-02-07T09:30:00Z</cp:lastPrinted>
  <dcterms:created xsi:type="dcterms:W3CDTF">2019-03-19T15:10:00Z</dcterms:created>
  <dcterms:modified xsi:type="dcterms:W3CDTF">2019-03-19T15:10:00Z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