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 xml:space="preserve">ACCORDO SUPPLEMENTARE 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>Relativo al collocamento dell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 xml:space="preserve">emissione 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</w:p>
    <w:p w:rsidR="00DD690E" w:rsidRDefault="000A0DE1" w:rsidP="00D26AD4">
      <w:pPr>
        <w:pStyle w:val="Default"/>
        <w:jc w:val="center"/>
        <w:rPr>
          <w:b/>
        </w:rPr>
      </w:pPr>
      <w:r w:rsidRPr="00DD690E">
        <w:rPr>
          <w:b/>
        </w:rPr>
        <w:t xml:space="preserve">BANCA IMI S.P.A </w:t>
      </w:r>
      <w:r w:rsidR="00DD690E">
        <w:rPr>
          <w:b/>
        </w:rPr>
        <w:t>STANDARD</w:t>
      </w:r>
      <w:r w:rsidR="00DD690E" w:rsidRPr="00914FD4">
        <w:rPr>
          <w:b/>
        </w:rPr>
        <w:t xml:space="preserve"> LONG </w:t>
      </w:r>
      <w:r w:rsidR="00DD690E">
        <w:rPr>
          <w:b/>
        </w:rPr>
        <w:t>BARRIER WORST OF</w:t>
      </w:r>
    </w:p>
    <w:p w:rsidR="00D26AD4" w:rsidRDefault="00DD690E" w:rsidP="00DD690E">
      <w:pPr>
        <w:pStyle w:val="Default"/>
        <w:jc w:val="center"/>
        <w:rPr>
          <w:b/>
        </w:rPr>
      </w:pPr>
      <w:r>
        <w:rPr>
          <w:b/>
        </w:rPr>
        <w:t xml:space="preserve"> </w:t>
      </w:r>
      <w:r w:rsidRPr="00914FD4">
        <w:rPr>
          <w:b/>
        </w:rPr>
        <w:t>CERTIFICATES</w:t>
      </w:r>
      <w:r>
        <w:rPr>
          <w:b/>
        </w:rPr>
        <w:t xml:space="preserve"> </w:t>
      </w:r>
      <w:r w:rsidRPr="00914FD4">
        <w:rPr>
          <w:b/>
        </w:rPr>
        <w:t xml:space="preserve">ON </w:t>
      </w:r>
      <w:r>
        <w:rPr>
          <w:b/>
          <w:bCs/>
          <w:iCs/>
          <w:lang w:val="es-ES"/>
        </w:rPr>
        <w:t xml:space="preserve">EURO STOXX 50® and </w:t>
      </w:r>
      <w:r w:rsidRPr="0069320F">
        <w:rPr>
          <w:b/>
          <w:bCs/>
          <w:iCs/>
          <w:lang w:val="es-ES"/>
        </w:rPr>
        <w:t>FTSE® MIB® Index</w:t>
      </w:r>
      <w:r w:rsidR="002B5BFB">
        <w:rPr>
          <w:b/>
          <w:bCs/>
          <w:iCs/>
          <w:lang w:val="es-ES"/>
        </w:rPr>
        <w:t xml:space="preserve"> </w:t>
      </w:r>
      <w:r w:rsidR="00432DEB">
        <w:rPr>
          <w:b/>
          <w:bCs/>
          <w:iCs/>
          <w:lang w:val="es-ES"/>
        </w:rPr>
        <w:t>06</w:t>
      </w:r>
      <w:r w:rsidR="002B5BFB">
        <w:rPr>
          <w:b/>
          <w:bCs/>
          <w:iCs/>
          <w:lang w:val="es-ES"/>
        </w:rPr>
        <w:t>.0</w:t>
      </w:r>
      <w:r w:rsidR="00432DEB">
        <w:rPr>
          <w:b/>
          <w:bCs/>
          <w:iCs/>
          <w:lang w:val="es-ES"/>
        </w:rPr>
        <w:t>6</w:t>
      </w:r>
      <w:r w:rsidR="002B5BFB">
        <w:rPr>
          <w:b/>
          <w:bCs/>
          <w:iCs/>
          <w:lang w:val="es-ES"/>
        </w:rPr>
        <w:t>.2025</w:t>
      </w:r>
      <w:r>
        <w:rPr>
          <w:b/>
          <w:bCs/>
          <w:iCs/>
          <w:lang w:val="es-ES"/>
        </w:rPr>
        <w:t xml:space="preserve"> </w:t>
      </w:r>
    </w:p>
    <w:p w:rsidR="00DD690E" w:rsidRPr="00DB133A" w:rsidRDefault="00DD690E" w:rsidP="00DD690E">
      <w:pPr>
        <w:pStyle w:val="Default"/>
        <w:jc w:val="center"/>
        <w:rPr>
          <w:rFonts w:eastAsia="UBS Investment Bank"/>
          <w:b/>
          <w:bCs/>
          <w:i/>
          <w:sz w:val="21"/>
          <w:szCs w:val="21"/>
        </w:rPr>
      </w:pP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  <w:r w:rsidRPr="00DB133A">
        <w:rPr>
          <w:b/>
          <w:i/>
          <w:iCs/>
          <w:sz w:val="21"/>
          <w:szCs w:val="21"/>
        </w:rPr>
        <w:t>“</w:t>
      </w:r>
      <w:r w:rsidRPr="00DB133A">
        <w:rPr>
          <w:rFonts w:eastAsia="UBS Investment Bank"/>
          <w:b/>
          <w:bCs/>
          <w:i/>
          <w:iCs/>
          <w:sz w:val="21"/>
          <w:szCs w:val="21"/>
        </w:rPr>
        <w:t>nome commerciale</w:t>
      </w:r>
      <w:r w:rsidR="00393741">
        <w:rPr>
          <w:rFonts w:eastAsia="UBS Investment Bank"/>
          <w:b/>
          <w:bCs/>
          <w:i/>
          <w:iCs/>
          <w:sz w:val="21"/>
          <w:szCs w:val="21"/>
        </w:rPr>
        <w:t>:</w:t>
      </w:r>
      <w:r w:rsidRPr="00DB133A">
        <w:rPr>
          <w:rFonts w:eastAsia="UBS Investment Bank"/>
          <w:b/>
          <w:bCs/>
          <w:i/>
          <w:iCs/>
          <w:sz w:val="21"/>
          <w:szCs w:val="21"/>
        </w:rPr>
        <w:t xml:space="preserve"> </w:t>
      </w:r>
      <w:r w:rsidR="00393741" w:rsidRPr="00393741">
        <w:rPr>
          <w:rFonts w:eastAsia="UBS Investment Bank"/>
          <w:b/>
          <w:bCs/>
          <w:i/>
          <w:iCs/>
          <w:sz w:val="21"/>
          <w:szCs w:val="21"/>
        </w:rPr>
        <w:t>Mediolanum MedPlus Certificate Coupon 2019/1</w:t>
      </w:r>
      <w:r w:rsidRPr="00DB133A">
        <w:rPr>
          <w:b/>
          <w:i/>
          <w:iCs/>
          <w:sz w:val="21"/>
          <w:szCs w:val="21"/>
        </w:rPr>
        <w:t>”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>(l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 xml:space="preserve">Emissione) 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</w:p>
    <w:p w:rsidR="00DD690E" w:rsidRPr="00FF5390" w:rsidRDefault="00D26AD4" w:rsidP="00DD690E">
      <w:pPr>
        <w:jc w:val="center"/>
        <w:rPr>
          <w:b/>
        </w:rPr>
      </w:pPr>
      <w:r w:rsidRPr="00DB133A">
        <w:rPr>
          <w:rFonts w:eastAsia="UBS Investment Bank"/>
          <w:b/>
          <w:bCs/>
          <w:i/>
          <w:color w:val="000000"/>
          <w:sz w:val="21"/>
          <w:szCs w:val="21"/>
        </w:rPr>
        <w:t>ai sensi del</w:t>
      </w:r>
      <w:r w:rsidR="00DD690E">
        <w:rPr>
          <w:rFonts w:eastAsia="UBS Investment Bank"/>
          <w:b/>
          <w:bCs/>
          <w:i/>
          <w:color w:val="000000"/>
          <w:sz w:val="21"/>
          <w:szCs w:val="21"/>
        </w:rPr>
        <w:t>:</w:t>
      </w:r>
      <w:r w:rsidR="00DD690E" w:rsidRPr="00FF5390">
        <w:rPr>
          <w:b/>
        </w:rPr>
        <w:t xml:space="preserve"> Luxembourg WARRANTS AND CERTIFICATES PROGRAMME</w:t>
      </w:r>
    </w:p>
    <w:p w:rsidR="00DD690E" w:rsidRPr="00FF5390" w:rsidRDefault="00DD690E" w:rsidP="00DD690E">
      <w:pPr>
        <w:rPr>
          <w:sz w:val="20"/>
          <w:szCs w:val="20"/>
        </w:rPr>
      </w:pP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</w:p>
    <w:p w:rsidR="00D26AD4" w:rsidRPr="00D26AD4" w:rsidRDefault="00D26AD4" w:rsidP="00D26AD4">
      <w:pPr>
        <w:pStyle w:val="Default"/>
        <w:jc w:val="center"/>
        <w:rPr>
          <w:b/>
          <w:i/>
          <w:sz w:val="21"/>
          <w:szCs w:val="21"/>
          <w:lang w:val="it-IT"/>
        </w:rPr>
      </w:pPr>
      <w:r w:rsidRPr="00D26AD4">
        <w:rPr>
          <w:rFonts w:eastAsia="UBS Investment Bank"/>
          <w:b/>
          <w:bCs/>
          <w:i/>
          <w:sz w:val="21"/>
          <w:szCs w:val="21"/>
          <w:lang w:val="it-IT"/>
        </w:rPr>
        <w:t>Codice ISIN [</w:t>
      </w:r>
      <w:r w:rsidR="00DD690E">
        <w:rPr>
          <w:rFonts w:eastAsia="UBS Investment Bank"/>
          <w:b/>
          <w:bCs/>
          <w:i/>
          <w:sz w:val="21"/>
          <w:szCs w:val="21"/>
          <w:lang w:val="it-IT"/>
        </w:rPr>
        <w:t>XS….</w:t>
      </w:r>
      <w:r w:rsidRPr="00D26AD4">
        <w:rPr>
          <w:rFonts w:eastAsia="UBS Investment Bank"/>
          <w:b/>
          <w:bCs/>
          <w:i/>
          <w:sz w:val="21"/>
          <w:szCs w:val="21"/>
          <w:lang w:val="it-IT"/>
        </w:rPr>
        <w:t>]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jc w:val="center"/>
        <w:outlineLvl w:val="0"/>
        <w:rPr>
          <w:rFonts w:eastAsia="UBS Investment Bank"/>
          <w:b/>
          <w:bCs/>
          <w:i/>
          <w:color w:val="000000"/>
          <w:sz w:val="21"/>
          <w:szCs w:val="21"/>
        </w:rPr>
      </w:pPr>
      <w:r w:rsidRPr="00DB133A" w:rsidDel="00B647D6">
        <w:rPr>
          <w:rFonts w:eastAsia="UBS Investment Bank"/>
          <w:b/>
          <w:bCs/>
          <w:i/>
          <w:color w:val="000000"/>
          <w:sz w:val="21"/>
          <w:szCs w:val="21"/>
        </w:rPr>
        <w:t xml:space="preserve"> </w:t>
      </w: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rPr>
          <w:rFonts w:eastAsia="UBS Investment Bank"/>
          <w:b/>
          <w:color w:val="000000"/>
          <w:sz w:val="21"/>
          <w:szCs w:val="21"/>
        </w:rPr>
      </w:pPr>
    </w:p>
    <w:p w:rsidR="00D26AD4" w:rsidRPr="00DB133A" w:rsidRDefault="00D26AD4" w:rsidP="00D26AD4">
      <w:pPr>
        <w:tabs>
          <w:tab w:val="left" w:pos="4185"/>
        </w:tabs>
        <w:autoSpaceDE w:val="0"/>
        <w:autoSpaceDN w:val="0"/>
        <w:adjustRightInd w:val="0"/>
        <w:rPr>
          <w:rFonts w:eastAsia="UBS Investment Bank"/>
          <w:b/>
          <w:color w:val="000000"/>
          <w:sz w:val="21"/>
          <w:szCs w:val="21"/>
        </w:rPr>
      </w:pPr>
      <w:r w:rsidRPr="00DB133A">
        <w:rPr>
          <w:rFonts w:eastAsia="UBS Investment Bank"/>
          <w:b/>
          <w:color w:val="000000"/>
          <w:sz w:val="21"/>
          <w:szCs w:val="21"/>
        </w:rPr>
        <w:t>Banca Mediolanum S.p.A.</w:t>
      </w:r>
      <w:r w:rsidRPr="00DB133A">
        <w:rPr>
          <w:rFonts w:eastAsia="UBS Investment Bank"/>
          <w:b/>
          <w:color w:val="000000"/>
          <w:sz w:val="21"/>
          <w:szCs w:val="21"/>
        </w:rPr>
        <w:tab/>
      </w: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eastAsia="UBS Investment Bank"/>
          <w:bCs/>
          <w:color w:val="000000"/>
          <w:sz w:val="21"/>
          <w:szCs w:val="21"/>
        </w:rPr>
        <w:t>Via F. Sforza, Palazzo Galeno</w:t>
      </w: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eastAsia="UBS Investment Bank"/>
          <w:bCs/>
          <w:color w:val="000000"/>
          <w:sz w:val="21"/>
          <w:szCs w:val="21"/>
        </w:rPr>
        <w:t>20080 Basiglio, Milano 3 (MI)</w:t>
      </w:r>
    </w:p>
    <w:p w:rsidR="00D26AD4" w:rsidRPr="00DB133A" w:rsidRDefault="00D26AD4" w:rsidP="00D26AD4">
      <w:pPr>
        <w:autoSpaceDE w:val="0"/>
        <w:autoSpaceDN w:val="0"/>
        <w:adjustRightInd w:val="0"/>
        <w:spacing w:after="240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eastAsia="UBS Investment Bank"/>
          <w:bCs/>
          <w:color w:val="000000"/>
          <w:sz w:val="21"/>
          <w:szCs w:val="21"/>
        </w:rPr>
        <w:t xml:space="preserve">fax: </w:t>
      </w:r>
      <w:r w:rsidRPr="00DB133A">
        <w:rPr>
          <w:sz w:val="21"/>
          <w:szCs w:val="21"/>
        </w:rPr>
        <w:t>02 9049 3004</w:t>
      </w: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eastAsia="UBS Investment Bank"/>
          <w:bCs/>
          <w:color w:val="000000"/>
          <w:sz w:val="21"/>
          <w:szCs w:val="21"/>
        </w:rPr>
        <w:t>All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rFonts w:eastAsia="UBS Investment Bank"/>
          <w:bCs/>
          <w:color w:val="000000"/>
          <w:sz w:val="21"/>
          <w:szCs w:val="21"/>
        </w:rPr>
        <w:t xml:space="preserve">attenzione di: </w:t>
      </w:r>
      <w:r w:rsidRPr="00DB133A">
        <w:rPr>
          <w:rFonts w:cs="Mangal"/>
          <w:bCs/>
          <w:iCs/>
          <w:sz w:val="21"/>
          <w:szCs w:val="21"/>
          <w:lang w:bidi="hi-IN"/>
        </w:rPr>
        <w:t>Settore Intermediazione Mobiliare</w:t>
      </w:r>
    </w:p>
    <w:p w:rsidR="00D26AD4" w:rsidRPr="00DB133A" w:rsidRDefault="00D26AD4" w:rsidP="00D26AD4">
      <w:pPr>
        <w:autoSpaceDE w:val="0"/>
        <w:autoSpaceDN w:val="0"/>
        <w:adjustRightInd w:val="0"/>
        <w:jc w:val="right"/>
        <w:rPr>
          <w:rFonts w:eastAsia="UBS Investment Bank"/>
          <w:bCs/>
          <w:i/>
          <w:color w:val="000000"/>
          <w:sz w:val="21"/>
          <w:szCs w:val="21"/>
        </w:rPr>
      </w:pPr>
    </w:p>
    <w:p w:rsidR="00D26AD4" w:rsidRPr="00DB133A" w:rsidRDefault="00D26AD4" w:rsidP="00D26AD4">
      <w:pPr>
        <w:autoSpaceDE w:val="0"/>
        <w:autoSpaceDN w:val="0"/>
        <w:adjustRightInd w:val="0"/>
        <w:jc w:val="right"/>
        <w:rPr>
          <w:rFonts w:cs="Mangal"/>
          <w:sz w:val="21"/>
          <w:szCs w:val="21"/>
          <w:lang w:bidi="hi-IN"/>
        </w:rPr>
      </w:pPr>
    </w:p>
    <w:p w:rsidR="00D26AD4" w:rsidRPr="00DB133A" w:rsidRDefault="00D26AD4" w:rsidP="00D26AD4">
      <w:pPr>
        <w:autoSpaceDE w:val="0"/>
        <w:autoSpaceDN w:val="0"/>
        <w:adjustRightInd w:val="0"/>
        <w:jc w:val="right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cs="Mangal"/>
          <w:sz w:val="21"/>
          <w:szCs w:val="21"/>
          <w:lang w:bidi="hi-IN"/>
        </w:rPr>
        <w:t xml:space="preserve">Milano, </w:t>
      </w:r>
      <w:r>
        <w:rPr>
          <w:rFonts w:cs="Mangal"/>
          <w:sz w:val="21"/>
          <w:szCs w:val="21"/>
          <w:lang w:bidi="hi-IN"/>
        </w:rPr>
        <w:t>[*]</w:t>
      </w:r>
      <w:r w:rsidRPr="00DB133A">
        <w:rPr>
          <w:rFonts w:cs="Mangal"/>
          <w:sz w:val="21"/>
          <w:szCs w:val="21"/>
          <w:lang w:bidi="hi-IN"/>
        </w:rPr>
        <w:t xml:space="preserve"> 201</w:t>
      </w:r>
      <w:r w:rsidR="00DC3EF3">
        <w:rPr>
          <w:rFonts w:cs="Mangal"/>
          <w:sz w:val="21"/>
          <w:szCs w:val="21"/>
          <w:lang w:bidi="hi-IN"/>
        </w:rPr>
        <w:t>9</w:t>
      </w: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</w:p>
    <w:p w:rsidR="00D26AD4" w:rsidRPr="00DB133A" w:rsidRDefault="00D26AD4" w:rsidP="00D26AD4">
      <w:pPr>
        <w:autoSpaceDE w:val="0"/>
        <w:autoSpaceDN w:val="0"/>
        <w:adjustRightInd w:val="0"/>
        <w:rPr>
          <w:rFonts w:eastAsia="UBS Investment Bank"/>
          <w:bCs/>
          <w:color w:val="000000"/>
          <w:sz w:val="21"/>
          <w:szCs w:val="21"/>
        </w:rPr>
      </w:pPr>
      <w:r w:rsidRPr="00DB133A">
        <w:rPr>
          <w:rFonts w:eastAsia="UBS Investment Bank"/>
          <w:bCs/>
          <w:color w:val="000000"/>
          <w:sz w:val="21"/>
          <w:szCs w:val="21"/>
        </w:rPr>
        <w:t>Egregi Signori,</w:t>
      </w:r>
    </w:p>
    <w:p w:rsidR="00D26AD4" w:rsidRPr="00DB133A" w:rsidRDefault="00D26AD4" w:rsidP="00D26AD4">
      <w:pPr>
        <w:autoSpaceDE w:val="0"/>
        <w:autoSpaceDN w:val="0"/>
        <w:adjustRightInd w:val="0"/>
        <w:outlineLvl w:val="0"/>
        <w:rPr>
          <w:rFonts w:eastAsia="UBS Investment Bank"/>
          <w:bCs/>
          <w:color w:val="000000"/>
          <w:sz w:val="21"/>
          <w:szCs w:val="21"/>
        </w:rPr>
      </w:pPr>
      <w:bookmarkStart w:id="0" w:name="_DV_M73"/>
      <w:bookmarkStart w:id="1" w:name="_DV_M74"/>
      <w:bookmarkEnd w:id="0"/>
      <w:bookmarkEnd w:id="1"/>
    </w:p>
    <w:p w:rsidR="00D26AD4" w:rsidRPr="00DB133A" w:rsidRDefault="00D26AD4" w:rsidP="00D26AD4">
      <w:pPr>
        <w:tabs>
          <w:tab w:val="left" w:pos="4395"/>
        </w:tabs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t>facendo seguito alle conversazioni intercorse e alla stipula dell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Accordo Quadro di Collocamento concluso a mezzo scambio di corrispondenza in data 25 giugno 2018 (l'"</w:t>
      </w:r>
      <w:r w:rsidRPr="00DB133A">
        <w:rPr>
          <w:b/>
          <w:sz w:val="21"/>
          <w:szCs w:val="21"/>
        </w:rPr>
        <w:t>Accordo Quadro</w:t>
      </w:r>
      <w:r w:rsidRPr="00DB133A">
        <w:rPr>
          <w:sz w:val="21"/>
          <w:szCs w:val="21"/>
        </w:rPr>
        <w:t>"), riportiamo la nostra proposta relativa alla stipula di un Accordo Supplementare (l'"</w:t>
      </w:r>
      <w:r w:rsidRPr="00DB133A">
        <w:rPr>
          <w:b/>
          <w:sz w:val="21"/>
          <w:szCs w:val="21"/>
        </w:rPr>
        <w:t>Accordo Supplementare</w:t>
      </w:r>
      <w:r w:rsidRPr="00DB133A">
        <w:rPr>
          <w:sz w:val="21"/>
          <w:szCs w:val="21"/>
        </w:rPr>
        <w:t>") in relazione all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offerta pubblica di sottoscrizione dell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emissione in oggetto (la "</w:t>
      </w:r>
      <w:r w:rsidRPr="00DB133A">
        <w:rPr>
          <w:b/>
          <w:sz w:val="21"/>
          <w:szCs w:val="21"/>
        </w:rPr>
        <w:t>Singola Offerta</w:t>
      </w:r>
      <w:r w:rsidRPr="00DB133A">
        <w:rPr>
          <w:sz w:val="21"/>
          <w:szCs w:val="21"/>
        </w:rPr>
        <w:t>"), il tutto come di seguito precisato, alle modalità e pattuizioni convenute nell'Accordo Quadro come integrate dai termini e condizioni economiche indicati nel presente Accordo Supplementare.</w:t>
      </w:r>
    </w:p>
    <w:p w:rsidR="00D26AD4" w:rsidRPr="00DB133A" w:rsidRDefault="00D26AD4" w:rsidP="00D26AD4">
      <w:pPr>
        <w:tabs>
          <w:tab w:val="left" w:pos="4395"/>
        </w:tabs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t xml:space="preserve">In forza del presente Accordo Supplementare, Banca IMI nomina </w:t>
      </w:r>
      <w:r w:rsidRPr="00DB133A">
        <w:rPr>
          <w:rFonts w:cs="Mangal"/>
          <w:bCs/>
          <w:iCs/>
          <w:sz w:val="21"/>
          <w:szCs w:val="21"/>
          <w:lang w:bidi="hi-IN"/>
        </w:rPr>
        <w:t>Banca Mediolanum</w:t>
      </w:r>
      <w:r w:rsidRPr="00DB133A">
        <w:rPr>
          <w:sz w:val="21"/>
          <w:szCs w:val="21"/>
        </w:rPr>
        <w:t xml:space="preserve">, che con il presente Accordo Supplementare accetta, quale collocatore degli Strumenti Finanziari di Riferimento della Singola Offerta. Con il presente Accordo Supplementare Banca IMI nomina altresì </w:t>
      </w:r>
      <w:r w:rsidRPr="00DB133A">
        <w:rPr>
          <w:rFonts w:cs="Mangal"/>
          <w:bCs/>
          <w:iCs/>
          <w:sz w:val="21"/>
          <w:szCs w:val="21"/>
          <w:lang w:bidi="hi-IN"/>
        </w:rPr>
        <w:t>Banca Mediolanum,</w:t>
      </w:r>
      <w:r w:rsidRPr="00DB133A">
        <w:rPr>
          <w:sz w:val="21"/>
          <w:szCs w:val="21"/>
        </w:rPr>
        <w:t xml:space="preserve"> che con il presente Accordo Supplementare accetta, quale responsabile del collocamento in relazione alla Singola Offerta</w:t>
      </w:r>
      <w:r w:rsidRPr="00DB133A">
        <w:rPr>
          <w:rFonts w:cs="Mangal"/>
          <w:sz w:val="21"/>
          <w:szCs w:val="21"/>
          <w:lang w:bidi="hi-IN"/>
        </w:rPr>
        <w:t>.</w:t>
      </w:r>
    </w:p>
    <w:p w:rsidR="00D26AD4" w:rsidRPr="00DB133A" w:rsidRDefault="00D26AD4" w:rsidP="00D26AD4">
      <w:pPr>
        <w:tabs>
          <w:tab w:val="left" w:pos="4395"/>
        </w:tabs>
        <w:autoSpaceDE w:val="0"/>
        <w:autoSpaceDN w:val="0"/>
        <w:adjustRightInd w:val="0"/>
        <w:spacing w:afterLines="60" w:after="144" w:line="276" w:lineRule="auto"/>
        <w:jc w:val="both"/>
        <w:rPr>
          <w:rFonts w:cs="Mangal"/>
          <w:sz w:val="21"/>
          <w:szCs w:val="21"/>
          <w:lang w:bidi="hi-IN"/>
        </w:rPr>
      </w:pPr>
      <w:r w:rsidRPr="00DB133A">
        <w:rPr>
          <w:rFonts w:cs="Mangal"/>
          <w:sz w:val="21"/>
          <w:szCs w:val="21"/>
          <w:lang w:bidi="hi-IN"/>
        </w:rPr>
        <w:t>Le caratteristiche della Singola Offerta, nonché quelle relative agli Strumenti Finanziari di Riferimento della Singola Offerta, sono elencate all’Allegato A (</w:t>
      </w:r>
      <w:r w:rsidRPr="00DB133A">
        <w:rPr>
          <w:rFonts w:cs="Mangal"/>
          <w:i/>
          <w:sz w:val="21"/>
          <w:szCs w:val="21"/>
          <w:lang w:bidi="hi-IN"/>
        </w:rPr>
        <w:t>Term Sheet</w:t>
      </w:r>
      <w:r w:rsidRPr="00DB133A">
        <w:rPr>
          <w:rFonts w:cs="Mangal"/>
          <w:sz w:val="21"/>
          <w:szCs w:val="21"/>
          <w:lang w:bidi="hi-IN"/>
        </w:rPr>
        <w:t>) al presente Accordo Supplementare (che costituisce parte integrante e sostanziale del presente Accordo Supplementare) (il “</w:t>
      </w:r>
      <w:r w:rsidRPr="00DB133A">
        <w:rPr>
          <w:rFonts w:cs="Mangal"/>
          <w:b/>
          <w:i/>
          <w:sz w:val="21"/>
          <w:szCs w:val="21"/>
          <w:lang w:bidi="hi-IN"/>
        </w:rPr>
        <w:t>Term Sheet</w:t>
      </w:r>
      <w:r w:rsidRPr="00DB133A">
        <w:rPr>
          <w:rFonts w:cs="Mangal"/>
          <w:sz w:val="21"/>
          <w:szCs w:val="21"/>
          <w:lang w:bidi="hi-IN"/>
        </w:rPr>
        <w:t>”).</w:t>
      </w:r>
    </w:p>
    <w:p w:rsidR="00D26AD4" w:rsidRPr="00DB133A" w:rsidRDefault="00D26AD4" w:rsidP="00D26AD4">
      <w:pPr>
        <w:tabs>
          <w:tab w:val="left" w:pos="4395"/>
        </w:tabs>
        <w:autoSpaceDE w:val="0"/>
        <w:autoSpaceDN w:val="0"/>
        <w:adjustRightInd w:val="0"/>
        <w:spacing w:afterLines="60" w:after="144" w:line="276" w:lineRule="auto"/>
        <w:jc w:val="both"/>
        <w:rPr>
          <w:rFonts w:cs="Mangal"/>
          <w:sz w:val="21"/>
          <w:szCs w:val="21"/>
          <w:lang w:bidi="hi-IN"/>
        </w:rPr>
      </w:pPr>
      <w:r w:rsidRPr="00DB133A">
        <w:rPr>
          <w:rFonts w:cs="Mangal"/>
          <w:sz w:val="21"/>
          <w:szCs w:val="21"/>
          <w:lang w:bidi="hi-IN"/>
        </w:rPr>
        <w:t xml:space="preserve">In caso di divergenza tra le disposizioni del </w:t>
      </w:r>
      <w:r w:rsidRPr="00DB133A">
        <w:rPr>
          <w:rFonts w:cs="Mangal"/>
          <w:i/>
          <w:sz w:val="21"/>
          <w:szCs w:val="21"/>
          <w:lang w:bidi="hi-IN"/>
        </w:rPr>
        <w:t>Term Sheet</w:t>
      </w:r>
      <w:r w:rsidRPr="00DB133A">
        <w:rPr>
          <w:rFonts w:cs="Mangal"/>
          <w:sz w:val="21"/>
          <w:szCs w:val="21"/>
          <w:lang w:bidi="hi-IN"/>
        </w:rPr>
        <w:t xml:space="preserve"> e le disposizioni delle Condizioni Definitive / </w:t>
      </w:r>
      <w:r w:rsidRPr="00DB133A">
        <w:rPr>
          <w:rFonts w:cs="Mangal"/>
          <w:i/>
          <w:sz w:val="21"/>
          <w:szCs w:val="21"/>
          <w:lang w:bidi="hi-IN"/>
        </w:rPr>
        <w:t>Final Terms</w:t>
      </w:r>
      <w:r w:rsidRPr="00DB133A">
        <w:rPr>
          <w:rFonts w:cs="Mangal"/>
          <w:sz w:val="21"/>
          <w:szCs w:val="21"/>
          <w:lang w:bidi="hi-IN"/>
        </w:rPr>
        <w:t xml:space="preserve"> relative agli </w:t>
      </w:r>
      <w:r w:rsidRPr="00DB133A">
        <w:rPr>
          <w:sz w:val="21"/>
          <w:szCs w:val="21"/>
        </w:rPr>
        <w:t>Strumenti Finanziari di Riferimento della Singola Offerta,</w:t>
      </w:r>
      <w:r w:rsidRPr="00DB133A">
        <w:rPr>
          <w:rFonts w:cs="Mangal"/>
          <w:sz w:val="21"/>
          <w:szCs w:val="21"/>
          <w:lang w:bidi="hi-IN"/>
        </w:rPr>
        <w:t xml:space="preserve"> preverranno le disposizioni di tali Condizioni Definitive / </w:t>
      </w:r>
      <w:r w:rsidRPr="00DB133A">
        <w:rPr>
          <w:rFonts w:cs="Mangal"/>
          <w:i/>
          <w:sz w:val="21"/>
          <w:szCs w:val="21"/>
          <w:lang w:bidi="hi-IN"/>
        </w:rPr>
        <w:t>Final Terms</w:t>
      </w:r>
      <w:r w:rsidRPr="00DB133A">
        <w:rPr>
          <w:rFonts w:cs="Mangal"/>
          <w:sz w:val="21"/>
          <w:szCs w:val="21"/>
          <w:lang w:bidi="hi-IN"/>
        </w:rPr>
        <w:t xml:space="preserve">. </w:t>
      </w:r>
    </w:p>
    <w:p w:rsidR="00D26AD4" w:rsidRPr="00DB133A" w:rsidRDefault="00D26AD4" w:rsidP="00D26AD4">
      <w:pPr>
        <w:keepNext/>
        <w:keepLines/>
        <w:tabs>
          <w:tab w:val="left" w:pos="4395"/>
        </w:tabs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lastRenderedPageBreak/>
        <w:t>I termini in lettera maiuscola non altrimenti definiti nel presente Accordo Supplementare hanno il significato loro attribuito nell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 xml:space="preserve">Accordo Quadro. </w:t>
      </w:r>
    </w:p>
    <w:p w:rsidR="00D26AD4" w:rsidRPr="00DB133A" w:rsidRDefault="00D26AD4" w:rsidP="00D26AD4">
      <w:pPr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t>Il presente Accordo Supplementare sarà soggetto a registrazione solo in caso d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uso ed il relativo onere sarà, nei rapporti fra le Parti, ad integrale carico della Parte che vi abbia dato causa, fermo restando il disposto dell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art. 57 del D.P.R. 26 aprile 1986, n. 131.</w:t>
      </w:r>
    </w:p>
    <w:p w:rsidR="00D26AD4" w:rsidRPr="00DB133A" w:rsidRDefault="00D26AD4" w:rsidP="00D26AD4">
      <w:pPr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t>Le Parti si danno reciprocamente atto che, per quanto qui non espressamente disciplinato, si applicheranno le disposizioni dell</w:t>
      </w:r>
      <w:r w:rsidRPr="00DB133A">
        <w:rPr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Accordo Quadro di cui l</w:t>
      </w:r>
      <w:r w:rsidRPr="00DB133A">
        <w:rPr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>Accordo Supplementare forma parte integrante e sostanziale e quindi, per quanto qui non espressamente previsto si rimanda ai contenuti dell</w:t>
      </w:r>
      <w:r w:rsidRPr="00DB133A">
        <w:rPr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 xml:space="preserve">Accordo Quadro. </w:t>
      </w:r>
    </w:p>
    <w:p w:rsidR="00D26AD4" w:rsidRDefault="00D26AD4" w:rsidP="00D26AD4">
      <w:pPr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bookmarkStart w:id="2" w:name="_Hlk530560930"/>
      <w:r w:rsidRPr="00DB133A">
        <w:rPr>
          <w:bCs/>
          <w:iCs/>
          <w:sz w:val="21"/>
          <w:szCs w:val="21"/>
          <w:lang w:bidi="hi-IN"/>
        </w:rPr>
        <w:t xml:space="preserve">Banca Mediolanum </w:t>
      </w:r>
      <w:bookmarkEnd w:id="2"/>
      <w:r w:rsidRPr="00DB133A">
        <w:rPr>
          <w:sz w:val="21"/>
          <w:szCs w:val="21"/>
        </w:rPr>
        <w:t>dà atto all</w:t>
      </w:r>
      <w:r w:rsidRPr="00DB133A">
        <w:rPr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 xml:space="preserve">Emittente di aver preso visione della Documentazione di Offerta rappresentata da </w:t>
      </w:r>
      <w:r>
        <w:rPr>
          <w:sz w:val="21"/>
          <w:szCs w:val="21"/>
        </w:rPr>
        <w:t>[*]</w:t>
      </w:r>
      <w:r w:rsidRPr="00DB133A">
        <w:rPr>
          <w:sz w:val="21"/>
          <w:szCs w:val="21"/>
        </w:rPr>
        <w:t>, come da quest</w:t>
      </w:r>
      <w:r w:rsidRPr="00DB133A">
        <w:rPr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 xml:space="preserve">ultimo trasmessa in formato elettronico il </w:t>
      </w:r>
      <w:r>
        <w:rPr>
          <w:sz w:val="21"/>
          <w:szCs w:val="21"/>
        </w:rPr>
        <w:t>[*]</w:t>
      </w:r>
      <w:r w:rsidR="00DC3EF3">
        <w:rPr>
          <w:sz w:val="21"/>
          <w:szCs w:val="21"/>
        </w:rPr>
        <w:t xml:space="preserve"> 2019</w:t>
      </w:r>
      <w:r w:rsidRPr="00DB133A">
        <w:rPr>
          <w:sz w:val="21"/>
          <w:szCs w:val="21"/>
        </w:rPr>
        <w:t>.</w:t>
      </w:r>
    </w:p>
    <w:p w:rsidR="00E351BE" w:rsidRPr="002E031A" w:rsidRDefault="00E351BE" w:rsidP="00E351BE">
      <w:pPr>
        <w:autoSpaceDE w:val="0"/>
        <w:autoSpaceDN w:val="0"/>
        <w:adjustRightInd w:val="0"/>
        <w:spacing w:afterLines="60" w:after="144" w:line="276" w:lineRule="auto"/>
        <w:jc w:val="both"/>
        <w:rPr>
          <w:bCs/>
          <w:iCs/>
          <w:sz w:val="21"/>
          <w:szCs w:val="21"/>
          <w:lang w:bidi="hi-IN"/>
        </w:rPr>
      </w:pPr>
      <w:r w:rsidRPr="002E031A">
        <w:rPr>
          <w:bCs/>
          <w:iCs/>
          <w:sz w:val="21"/>
          <w:szCs w:val="21"/>
          <w:lang w:bidi="hi-IN"/>
        </w:rPr>
        <w:t>In agg</w:t>
      </w:r>
      <w:r>
        <w:rPr>
          <w:bCs/>
          <w:iCs/>
          <w:sz w:val="21"/>
          <w:szCs w:val="21"/>
          <w:lang w:bidi="hi-IN"/>
        </w:rPr>
        <w:t>iunta a quanto già previsto all’articolo</w:t>
      </w:r>
      <w:r w:rsidRPr="002E031A">
        <w:rPr>
          <w:bCs/>
          <w:iCs/>
          <w:sz w:val="21"/>
          <w:szCs w:val="21"/>
          <w:lang w:bidi="hi-IN"/>
        </w:rPr>
        <w:t xml:space="preserve"> 9 dell’Accordo Quadro, </w:t>
      </w:r>
      <w:r w:rsidRPr="00DB133A">
        <w:rPr>
          <w:bCs/>
          <w:iCs/>
          <w:sz w:val="21"/>
          <w:szCs w:val="21"/>
          <w:lang w:bidi="hi-IN"/>
        </w:rPr>
        <w:t xml:space="preserve">Banca Mediolanum </w:t>
      </w:r>
      <w:r w:rsidRPr="002E031A">
        <w:rPr>
          <w:bCs/>
          <w:iCs/>
          <w:sz w:val="21"/>
          <w:szCs w:val="21"/>
          <w:lang w:bidi="hi-IN"/>
        </w:rPr>
        <w:t>si impegna a:</w:t>
      </w:r>
    </w:p>
    <w:p w:rsidR="00E351BE" w:rsidRPr="002E031A" w:rsidRDefault="00E351BE" w:rsidP="00E351BE">
      <w:pPr>
        <w:numPr>
          <w:ilvl w:val="0"/>
          <w:numId w:val="6"/>
        </w:numPr>
        <w:autoSpaceDE w:val="0"/>
        <w:autoSpaceDN w:val="0"/>
        <w:adjustRightInd w:val="0"/>
        <w:spacing w:afterLines="60" w:after="144" w:line="276" w:lineRule="auto"/>
        <w:jc w:val="both"/>
        <w:rPr>
          <w:bCs/>
          <w:iCs/>
          <w:sz w:val="21"/>
          <w:szCs w:val="21"/>
          <w:lang w:bidi="hi-IN"/>
        </w:rPr>
      </w:pPr>
      <w:r w:rsidRPr="002E031A">
        <w:rPr>
          <w:bCs/>
          <w:iCs/>
          <w:sz w:val="21"/>
          <w:szCs w:val="21"/>
          <w:lang w:bidi="hi-IN"/>
        </w:rPr>
        <w:t>rispettare la Normativa Priips e, fra l’altro, agire in conformità al Capo II (</w:t>
      </w:r>
      <w:r w:rsidRPr="002E031A">
        <w:rPr>
          <w:bCs/>
          <w:i/>
          <w:iCs/>
          <w:sz w:val="21"/>
          <w:szCs w:val="21"/>
          <w:lang w:bidi="hi-IN"/>
        </w:rPr>
        <w:t>Documento contenente le informazioni chiave</w:t>
      </w:r>
      <w:r w:rsidRPr="002E031A">
        <w:rPr>
          <w:bCs/>
          <w:iCs/>
          <w:sz w:val="21"/>
          <w:szCs w:val="21"/>
          <w:lang w:bidi="hi-IN"/>
        </w:rPr>
        <w:t>), Sezione III (</w:t>
      </w:r>
      <w:r w:rsidRPr="002E031A">
        <w:rPr>
          <w:bCs/>
          <w:i/>
          <w:iCs/>
          <w:sz w:val="21"/>
          <w:szCs w:val="21"/>
          <w:lang w:bidi="hi-IN"/>
        </w:rPr>
        <w:t>Consegna del documento contenente le informazioni chiave</w:t>
      </w:r>
      <w:r w:rsidRPr="002E031A">
        <w:rPr>
          <w:bCs/>
          <w:iCs/>
          <w:sz w:val="21"/>
          <w:szCs w:val="21"/>
          <w:lang w:bidi="hi-IN"/>
        </w:rPr>
        <w:t xml:space="preserve">), del Regolamento (UE) n. 1286/2014, nonché pubblicare unicamente durante il Periodo di Offerta sul proprio sito internet il KID; e </w:t>
      </w:r>
    </w:p>
    <w:p w:rsidR="00E351BE" w:rsidRPr="00E351BE" w:rsidRDefault="00E351BE" w:rsidP="00E351BE">
      <w:pPr>
        <w:numPr>
          <w:ilvl w:val="0"/>
          <w:numId w:val="6"/>
        </w:numPr>
        <w:autoSpaceDE w:val="0"/>
        <w:autoSpaceDN w:val="0"/>
        <w:adjustRightInd w:val="0"/>
        <w:spacing w:afterLines="60" w:after="144" w:line="276" w:lineRule="auto"/>
        <w:jc w:val="both"/>
        <w:rPr>
          <w:bCs/>
          <w:iCs/>
          <w:sz w:val="21"/>
          <w:szCs w:val="21"/>
          <w:lang w:bidi="hi-IN"/>
        </w:rPr>
      </w:pPr>
      <w:r w:rsidRPr="002E031A">
        <w:rPr>
          <w:bCs/>
          <w:iCs/>
          <w:sz w:val="21"/>
          <w:szCs w:val="21"/>
          <w:lang w:bidi="hi-IN"/>
        </w:rPr>
        <w:t>pubblicare unicamente durante il Periodo di Offerta sul proprio sito internet e (i) consegnare agli aderenti, previa sua ricezione, ogni supplemento, aggiornamento, revisione od integrazione del KID; e (ii) consegnare su richiesta agli aderenti, previa sua ricezione, ogni supplemento, aggiornamento, revisione od integrazione della restante Documentazione di Offerta.</w:t>
      </w:r>
    </w:p>
    <w:p w:rsidR="00D26AD4" w:rsidRPr="00DB133A" w:rsidRDefault="00D26AD4" w:rsidP="00D26AD4">
      <w:pPr>
        <w:autoSpaceDE w:val="0"/>
        <w:autoSpaceDN w:val="0"/>
        <w:adjustRightInd w:val="0"/>
        <w:spacing w:afterLines="60" w:after="144" w:line="276" w:lineRule="auto"/>
        <w:jc w:val="both"/>
        <w:rPr>
          <w:sz w:val="21"/>
          <w:szCs w:val="21"/>
        </w:rPr>
      </w:pPr>
      <w:r w:rsidRPr="00DB133A">
        <w:rPr>
          <w:sz w:val="21"/>
          <w:szCs w:val="21"/>
        </w:rPr>
        <w:t>Ove quanto precede correttamente riproduca le intese intercorse, Vi preghiamo di consegnarci la copia all</w:t>
      </w:r>
      <w:r w:rsidRPr="00DB133A">
        <w:rPr>
          <w:rFonts w:cs="Mangal"/>
          <w:sz w:val="21"/>
          <w:szCs w:val="21"/>
          <w:lang w:bidi="hi-IN"/>
        </w:rPr>
        <w:t>'</w:t>
      </w:r>
      <w:r w:rsidRPr="00DB133A">
        <w:rPr>
          <w:sz w:val="21"/>
          <w:szCs w:val="21"/>
        </w:rPr>
        <w:t xml:space="preserve">uopo allegata della presente da Voi debitamente siglata su ogni pagina e sottoscritta per esteso in calce quale segno di integrale presa visione ed accettazione </w:t>
      </w:r>
    </w:p>
    <w:p w:rsidR="00D26AD4" w:rsidRPr="00DB133A" w:rsidRDefault="00D26AD4" w:rsidP="00D26AD4">
      <w:pPr>
        <w:tabs>
          <w:tab w:val="left" w:pos="2127"/>
        </w:tabs>
        <w:rPr>
          <w:rFonts w:eastAsia="UBS Investment Bank"/>
          <w:color w:val="000000"/>
          <w:sz w:val="21"/>
          <w:szCs w:val="21"/>
        </w:rPr>
      </w:pPr>
    </w:p>
    <w:p w:rsidR="00D26AD4" w:rsidRPr="00DB133A" w:rsidRDefault="00D26AD4" w:rsidP="00D26AD4">
      <w:pPr>
        <w:tabs>
          <w:tab w:val="left" w:pos="2127"/>
        </w:tabs>
        <w:rPr>
          <w:rFonts w:eastAsia="UBS Investment Bank"/>
          <w:color w:val="000000"/>
          <w:sz w:val="21"/>
          <w:szCs w:val="21"/>
        </w:rPr>
      </w:pPr>
      <w:r w:rsidRPr="00DB133A">
        <w:rPr>
          <w:rFonts w:eastAsia="UBS Investment Bank"/>
          <w:color w:val="000000"/>
          <w:sz w:val="21"/>
          <w:szCs w:val="21"/>
        </w:rPr>
        <w:t>Distinti saluti.</w:t>
      </w:r>
    </w:p>
    <w:p w:rsidR="00D26AD4" w:rsidRPr="00DB133A" w:rsidRDefault="00D26AD4" w:rsidP="00D26AD4">
      <w:pPr>
        <w:tabs>
          <w:tab w:val="left" w:pos="2127"/>
        </w:tabs>
        <w:spacing w:after="240"/>
        <w:rPr>
          <w:rFonts w:eastAsia="UBS Investment Bank"/>
          <w:color w:val="000000"/>
          <w:sz w:val="21"/>
          <w:szCs w:val="21"/>
        </w:rPr>
      </w:pPr>
    </w:p>
    <w:p w:rsidR="00D26AD4" w:rsidRPr="00DB133A" w:rsidRDefault="00D26AD4" w:rsidP="00D26AD4">
      <w:pPr>
        <w:tabs>
          <w:tab w:val="left" w:pos="2127"/>
        </w:tabs>
        <w:rPr>
          <w:rFonts w:eastAsia="UBS Investment Bank"/>
          <w:color w:val="000000"/>
          <w:sz w:val="21"/>
          <w:szCs w:val="21"/>
        </w:rPr>
      </w:pPr>
      <w:r w:rsidRPr="00DB133A">
        <w:rPr>
          <w:rFonts w:eastAsia="UBS Investment Bank"/>
          <w:b/>
          <w:color w:val="000000"/>
          <w:sz w:val="21"/>
          <w:szCs w:val="21"/>
        </w:rPr>
        <w:t>_________________</w:t>
      </w:r>
    </w:p>
    <w:p w:rsidR="00D26AD4" w:rsidRPr="00DB133A" w:rsidRDefault="00D26AD4" w:rsidP="00D26AD4">
      <w:pPr>
        <w:spacing w:line="360" w:lineRule="auto"/>
        <w:outlineLvl w:val="0"/>
        <w:rPr>
          <w:rFonts w:eastAsia="UBS Investment Bank"/>
          <w:b/>
          <w:color w:val="000000"/>
          <w:sz w:val="21"/>
          <w:szCs w:val="21"/>
        </w:rPr>
      </w:pPr>
      <w:r w:rsidRPr="00DB133A">
        <w:rPr>
          <w:rFonts w:eastAsia="UBS Investment Bank"/>
          <w:b/>
          <w:color w:val="000000"/>
          <w:sz w:val="21"/>
          <w:szCs w:val="21"/>
        </w:rPr>
        <w:t>Banca IMI S.p.A.</w:t>
      </w:r>
    </w:p>
    <w:p w:rsidR="00D26AD4" w:rsidRDefault="00D26AD4">
      <w:pPr>
        <w:rPr>
          <w:b/>
          <w:i/>
          <w:lang w:eastAsia="en-US"/>
        </w:rPr>
      </w:pPr>
      <w:r>
        <w:rPr>
          <w:b/>
          <w:i/>
        </w:rPr>
        <w:br w:type="page"/>
      </w:r>
    </w:p>
    <w:p w:rsidR="003E776E" w:rsidRDefault="003E776E" w:rsidP="003E776E">
      <w:pPr>
        <w:pStyle w:val="Default"/>
        <w:jc w:val="center"/>
        <w:rPr>
          <w:b/>
          <w:i/>
          <w:color w:val="auto"/>
          <w:lang w:val="it-IT"/>
        </w:rPr>
      </w:pPr>
      <w:r w:rsidRPr="009348BB">
        <w:rPr>
          <w:b/>
          <w:i/>
          <w:color w:val="auto"/>
          <w:lang w:val="it-IT"/>
        </w:rPr>
        <w:lastRenderedPageBreak/>
        <w:t xml:space="preserve">ALLEGATO 1 DELL’ACCORDO SUPPLEMENTARE </w:t>
      </w:r>
    </w:p>
    <w:p w:rsidR="00DD690E" w:rsidRPr="00FF5390" w:rsidRDefault="00DD690E" w:rsidP="00DD690E">
      <w:pPr>
        <w:pStyle w:val="Default"/>
        <w:jc w:val="center"/>
        <w:rPr>
          <w:b/>
          <w:i/>
          <w:lang w:val="it-IT"/>
        </w:rPr>
      </w:pPr>
    </w:p>
    <w:p w:rsidR="00DD690E" w:rsidRPr="00FF5390" w:rsidRDefault="00DD690E" w:rsidP="00DD690E">
      <w:pPr>
        <w:pStyle w:val="Default"/>
        <w:jc w:val="center"/>
        <w:rPr>
          <w:b/>
          <w:i/>
          <w:lang w:val="it-IT"/>
        </w:rPr>
      </w:pPr>
      <w:r w:rsidRPr="00FF5390">
        <w:rPr>
          <w:b/>
          <w:i/>
          <w:lang w:val="it-IT"/>
        </w:rPr>
        <w:t>TERM SHEET</w:t>
      </w:r>
    </w:p>
    <w:p w:rsidR="00DD690E" w:rsidRPr="009348BB" w:rsidRDefault="00DD690E" w:rsidP="003E776E">
      <w:pPr>
        <w:pStyle w:val="Default"/>
        <w:jc w:val="center"/>
        <w:rPr>
          <w:b/>
          <w:i/>
          <w:color w:val="auto"/>
          <w:lang w:val="it-IT"/>
        </w:rPr>
      </w:pPr>
    </w:p>
    <w:p w:rsidR="003E776E" w:rsidRPr="003E776E" w:rsidRDefault="003E776E" w:rsidP="003E776E">
      <w:pPr>
        <w:pStyle w:val="Default"/>
        <w:jc w:val="center"/>
        <w:rPr>
          <w:b/>
          <w:i/>
          <w:lang w:val="it-IT"/>
        </w:rPr>
      </w:pPr>
    </w:p>
    <w:p w:rsidR="003E776E" w:rsidRPr="003E776E" w:rsidRDefault="003E776E" w:rsidP="003E776E">
      <w:pPr>
        <w:pStyle w:val="Default"/>
        <w:jc w:val="center"/>
        <w:rPr>
          <w:i/>
          <w:lang w:val="it-IT"/>
        </w:rPr>
      </w:pPr>
      <w:r w:rsidRPr="003E776E">
        <w:rPr>
          <w:i/>
          <w:lang w:val="it-IT"/>
        </w:rPr>
        <w:t>Relativo al collocamento dell’emissione:</w:t>
      </w:r>
    </w:p>
    <w:p w:rsidR="003E776E" w:rsidRDefault="003E776E" w:rsidP="00EB3AFE">
      <w:pPr>
        <w:jc w:val="center"/>
        <w:rPr>
          <w:b/>
        </w:rPr>
      </w:pPr>
    </w:p>
    <w:p w:rsidR="004269BD" w:rsidRPr="00B2523D" w:rsidRDefault="0068617F" w:rsidP="00EB3AFE">
      <w:pPr>
        <w:jc w:val="center"/>
        <w:rPr>
          <w:b/>
          <w:lang w:val="en-US"/>
        </w:rPr>
      </w:pPr>
      <w:r w:rsidRPr="00B2523D">
        <w:rPr>
          <w:b/>
          <w:lang w:val="en-US"/>
        </w:rPr>
        <w:t xml:space="preserve">BANCA </w:t>
      </w:r>
      <w:r w:rsidR="007A2D4F" w:rsidRPr="00B2523D">
        <w:rPr>
          <w:b/>
          <w:lang w:val="en-US"/>
        </w:rPr>
        <w:t>IMI</w:t>
      </w:r>
      <w:r w:rsidRPr="00B2523D">
        <w:rPr>
          <w:b/>
          <w:lang w:val="en-US"/>
        </w:rPr>
        <w:t xml:space="preserve"> S.P.A</w:t>
      </w:r>
    </w:p>
    <w:p w:rsidR="00031DBF" w:rsidRDefault="001A1580" w:rsidP="0069320F">
      <w:pPr>
        <w:jc w:val="center"/>
        <w:rPr>
          <w:b/>
          <w:lang w:val="en-US"/>
        </w:rPr>
      </w:pPr>
      <w:r>
        <w:rPr>
          <w:b/>
          <w:lang w:val="en-US"/>
        </w:rPr>
        <w:t>STANDARD</w:t>
      </w:r>
      <w:r w:rsidR="00AA2F53" w:rsidRPr="00914FD4">
        <w:rPr>
          <w:b/>
          <w:lang w:val="en-US"/>
        </w:rPr>
        <w:t xml:space="preserve"> LONG</w:t>
      </w:r>
      <w:r w:rsidR="00B70663" w:rsidRPr="00914FD4">
        <w:rPr>
          <w:b/>
          <w:lang w:val="en-US"/>
        </w:rPr>
        <w:t xml:space="preserve"> </w:t>
      </w:r>
      <w:r>
        <w:rPr>
          <w:b/>
          <w:lang w:val="en-US"/>
        </w:rPr>
        <w:t>BARRIER</w:t>
      </w:r>
      <w:r w:rsidR="00EE2790">
        <w:rPr>
          <w:b/>
          <w:lang w:val="en-US"/>
        </w:rPr>
        <w:t xml:space="preserve"> </w:t>
      </w:r>
      <w:r w:rsidR="0069320F">
        <w:rPr>
          <w:b/>
          <w:lang w:val="en-US"/>
        </w:rPr>
        <w:t xml:space="preserve">WORST OF </w:t>
      </w:r>
      <w:r w:rsidR="0068617F" w:rsidRPr="00914FD4">
        <w:rPr>
          <w:b/>
          <w:lang w:val="en-US"/>
        </w:rPr>
        <w:t>CERTIFICATES ON</w:t>
      </w:r>
      <w:r w:rsidR="002173A9" w:rsidRPr="00914FD4">
        <w:rPr>
          <w:b/>
          <w:lang w:val="en-US"/>
        </w:rPr>
        <w:t xml:space="preserve"> </w:t>
      </w:r>
      <w:r w:rsidR="0069320F">
        <w:rPr>
          <w:b/>
          <w:bCs/>
          <w:iCs/>
          <w:lang w:val="es-ES"/>
        </w:rPr>
        <w:t xml:space="preserve">EURO STOXX 50® and </w:t>
      </w:r>
      <w:r w:rsidR="0069320F" w:rsidRPr="0069320F">
        <w:rPr>
          <w:b/>
          <w:bCs/>
          <w:iCs/>
          <w:lang w:val="es-ES"/>
        </w:rPr>
        <w:t>FTSE® MIB® Index</w:t>
      </w:r>
      <w:r w:rsidR="006B5F5C">
        <w:rPr>
          <w:b/>
          <w:bCs/>
          <w:iCs/>
          <w:lang w:val="es-ES"/>
        </w:rPr>
        <w:t xml:space="preserve"> </w:t>
      </w:r>
      <w:r w:rsidR="00A26BCD" w:rsidRPr="00914FD4">
        <w:rPr>
          <w:b/>
          <w:lang w:val="en-US"/>
        </w:rPr>
        <w:t xml:space="preserve">DUE </w:t>
      </w:r>
      <w:r w:rsidR="00E43F10">
        <w:rPr>
          <w:b/>
          <w:lang w:val="en-US"/>
        </w:rPr>
        <w:t>06</w:t>
      </w:r>
      <w:r w:rsidR="002B5BFB">
        <w:rPr>
          <w:b/>
          <w:lang w:val="en-US"/>
        </w:rPr>
        <w:t>.</w:t>
      </w:r>
      <w:r w:rsidR="00785443">
        <w:rPr>
          <w:b/>
          <w:lang w:val="en-US"/>
        </w:rPr>
        <w:t>0</w:t>
      </w:r>
      <w:r w:rsidR="00E43F10">
        <w:rPr>
          <w:b/>
          <w:lang w:val="en-US"/>
        </w:rPr>
        <w:t>6</w:t>
      </w:r>
      <w:r w:rsidR="002B5BFB">
        <w:rPr>
          <w:b/>
          <w:lang w:val="en-US"/>
        </w:rPr>
        <w:t>.</w:t>
      </w:r>
      <w:r w:rsidR="00484AA8">
        <w:rPr>
          <w:b/>
          <w:lang w:val="en-US"/>
        </w:rPr>
        <w:t>2025</w:t>
      </w:r>
    </w:p>
    <w:p w:rsidR="00B05C28" w:rsidRDefault="00B05C28" w:rsidP="0069320F">
      <w:pPr>
        <w:jc w:val="center"/>
        <w:rPr>
          <w:b/>
          <w:bCs/>
          <w:iCs/>
          <w:lang w:val="es-ES"/>
        </w:rPr>
      </w:pPr>
    </w:p>
    <w:p w:rsidR="003E776E" w:rsidRPr="00EF1D7F" w:rsidRDefault="00B05C28" w:rsidP="0069320F">
      <w:pPr>
        <w:jc w:val="center"/>
        <w:rPr>
          <w:rFonts w:eastAsia="UBS Investment Bank"/>
          <w:b/>
          <w:bCs/>
          <w:i/>
          <w:iCs/>
          <w:sz w:val="21"/>
          <w:szCs w:val="21"/>
        </w:rPr>
      </w:pPr>
      <w:bookmarkStart w:id="3" w:name="_Hlk4764668"/>
      <w:r w:rsidRPr="00EF1D7F">
        <w:rPr>
          <w:b/>
          <w:i/>
          <w:iCs/>
          <w:sz w:val="21"/>
          <w:szCs w:val="21"/>
        </w:rPr>
        <w:t>N</w:t>
      </w:r>
      <w:r w:rsidRPr="00EF1D7F">
        <w:rPr>
          <w:rFonts w:eastAsia="UBS Investment Bank"/>
          <w:b/>
          <w:bCs/>
          <w:i/>
          <w:iCs/>
          <w:sz w:val="21"/>
          <w:szCs w:val="21"/>
        </w:rPr>
        <w:t>ome commerciale: […]</w:t>
      </w:r>
    </w:p>
    <w:bookmarkEnd w:id="3"/>
    <w:p w:rsidR="00B05C28" w:rsidRDefault="00B05C28" w:rsidP="0069320F">
      <w:pPr>
        <w:jc w:val="center"/>
        <w:rPr>
          <w:b/>
          <w:bCs/>
          <w:iCs/>
          <w:lang w:val="es-ES"/>
        </w:rPr>
      </w:pPr>
    </w:p>
    <w:p w:rsidR="003E776E" w:rsidRPr="00EF1D7F" w:rsidRDefault="003E776E" w:rsidP="003E776E">
      <w:pPr>
        <w:pStyle w:val="Default"/>
        <w:jc w:val="center"/>
        <w:rPr>
          <w:b/>
          <w:i/>
          <w:lang w:val="it-IT"/>
        </w:rPr>
      </w:pPr>
      <w:r w:rsidRPr="00EF1D7F">
        <w:rPr>
          <w:b/>
          <w:i/>
          <w:lang w:val="it-IT"/>
        </w:rPr>
        <w:t>Codice ISIN XS…</w:t>
      </w:r>
    </w:p>
    <w:p w:rsidR="0069320F" w:rsidRPr="00EF1D7F" w:rsidRDefault="00914FD4" w:rsidP="00914FD4">
      <w:pPr>
        <w:tabs>
          <w:tab w:val="left" w:pos="5293"/>
        </w:tabs>
        <w:rPr>
          <w:b/>
        </w:rPr>
      </w:pPr>
      <w:r w:rsidRPr="00EF1D7F">
        <w:rPr>
          <w:b/>
        </w:rPr>
        <w:tab/>
      </w:r>
    </w:p>
    <w:p w:rsidR="00CF4116" w:rsidRPr="00914FD4" w:rsidRDefault="00CF4116" w:rsidP="00CF4116">
      <w:pPr>
        <w:jc w:val="center"/>
        <w:rPr>
          <w:b/>
          <w:lang w:val="en-US"/>
        </w:rPr>
      </w:pPr>
      <w:r w:rsidRPr="00914FD4">
        <w:rPr>
          <w:b/>
          <w:lang w:val="en-US"/>
        </w:rPr>
        <w:t xml:space="preserve">Under the </w:t>
      </w:r>
      <w:r w:rsidR="004F4910" w:rsidRPr="00914FD4">
        <w:rPr>
          <w:b/>
          <w:lang w:val="en-US"/>
        </w:rPr>
        <w:t xml:space="preserve">Luxembourg </w:t>
      </w:r>
      <w:r w:rsidR="00D567F8" w:rsidRPr="00914FD4">
        <w:rPr>
          <w:b/>
          <w:lang w:val="en-US"/>
        </w:rPr>
        <w:t>WARRANT</w:t>
      </w:r>
      <w:r w:rsidR="00515910" w:rsidRPr="00914FD4">
        <w:rPr>
          <w:b/>
          <w:lang w:val="en-US"/>
        </w:rPr>
        <w:t>S</w:t>
      </w:r>
      <w:r w:rsidR="00D567F8" w:rsidRPr="00914FD4">
        <w:rPr>
          <w:b/>
          <w:lang w:val="en-US"/>
        </w:rPr>
        <w:t xml:space="preserve"> AND</w:t>
      </w:r>
      <w:r w:rsidRPr="00914FD4">
        <w:rPr>
          <w:b/>
          <w:lang w:val="en-US"/>
        </w:rPr>
        <w:t xml:space="preserve"> </w:t>
      </w:r>
      <w:r w:rsidR="009C6598" w:rsidRPr="00914FD4">
        <w:rPr>
          <w:b/>
          <w:lang w:val="en-US"/>
        </w:rPr>
        <w:t>CER</w:t>
      </w:r>
      <w:r w:rsidRPr="00914FD4">
        <w:rPr>
          <w:b/>
          <w:lang w:val="en-US"/>
        </w:rPr>
        <w:t>T</w:t>
      </w:r>
      <w:r w:rsidR="009C6598" w:rsidRPr="00914FD4">
        <w:rPr>
          <w:b/>
          <w:lang w:val="en-US"/>
        </w:rPr>
        <w:t>I</w:t>
      </w:r>
      <w:r w:rsidRPr="00914FD4">
        <w:rPr>
          <w:b/>
          <w:lang w:val="en-US"/>
        </w:rPr>
        <w:t>FICATES PROGRAMME</w:t>
      </w:r>
    </w:p>
    <w:p w:rsidR="0069320F" w:rsidRPr="00B2523D" w:rsidRDefault="0069320F">
      <w:pPr>
        <w:rPr>
          <w:sz w:val="20"/>
          <w:szCs w:val="20"/>
          <w:lang w:val="en-US"/>
        </w:rPr>
      </w:pPr>
    </w:p>
    <w:p w:rsidR="003E776E" w:rsidRPr="00B2523D" w:rsidRDefault="003E776E">
      <w:pPr>
        <w:rPr>
          <w:sz w:val="20"/>
          <w:szCs w:val="20"/>
          <w:lang w:val="en-US"/>
        </w:rPr>
      </w:pPr>
    </w:p>
    <w:tbl>
      <w:tblPr>
        <w:tblStyle w:val="Style1"/>
        <w:tblW w:w="10188" w:type="dxa"/>
        <w:tblLayout w:type="fixed"/>
        <w:tblLook w:val="05C0" w:firstRow="0" w:lastRow="1" w:firstColumn="1" w:lastColumn="1" w:noHBand="0" w:noVBand="1"/>
      </w:tblPr>
      <w:tblGrid>
        <w:gridCol w:w="2705"/>
        <w:gridCol w:w="7483"/>
      </w:tblGrid>
      <w:tr w:rsidR="00983F60" w:rsidRPr="00484AA8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51520B" w:rsidRPr="002C7411" w:rsidRDefault="00010EC1" w:rsidP="000C592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Issuer</w:t>
            </w:r>
          </w:p>
        </w:tc>
        <w:tc>
          <w:tcPr>
            <w:tcW w:w="7483" w:type="dxa"/>
          </w:tcPr>
          <w:p w:rsidR="0051520B" w:rsidRPr="0019534D" w:rsidRDefault="00C9359C" w:rsidP="000C5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34D">
              <w:rPr>
                <w:bCs/>
                <w:sz w:val="20"/>
                <w:szCs w:val="20"/>
              </w:rPr>
              <w:t>Banca IMI S.p.A.</w:t>
            </w:r>
          </w:p>
        </w:tc>
      </w:tr>
      <w:tr w:rsidR="003C5099" w:rsidRPr="00914FD4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7483" w:type="dxa"/>
          </w:tcPr>
          <w:p w:rsidR="003C5099" w:rsidRPr="00DB6C00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B6C00">
              <w:rPr>
                <w:sz w:val="18"/>
                <w:szCs w:val="18"/>
                <w:lang w:val="en-US"/>
              </w:rPr>
              <w:t>BBB (S&amp;P).</w:t>
            </w:r>
          </w:p>
          <w:p w:rsidR="003C5099" w:rsidRPr="00DB6C00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B6C00">
              <w:rPr>
                <w:sz w:val="18"/>
                <w:szCs w:val="18"/>
                <w:lang w:val="en-US"/>
              </w:rPr>
              <w:t>Baa1 (Moody’s).</w:t>
            </w:r>
          </w:p>
          <w:p w:rsidR="003C5099" w:rsidRPr="00DB6C00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GB"/>
              </w:rPr>
            </w:pPr>
            <w:r w:rsidRPr="00DB6C00">
              <w:rPr>
                <w:sz w:val="18"/>
                <w:szCs w:val="18"/>
                <w:lang w:val="en-US"/>
              </w:rPr>
              <w:t>BBB (Fitch</w:t>
            </w:r>
            <w:r w:rsidRPr="00DB6C00">
              <w:rPr>
                <w:sz w:val="18"/>
                <w:szCs w:val="18"/>
                <w:lang w:val="en-GB"/>
              </w:rPr>
              <w:t>)</w:t>
            </w:r>
          </w:p>
        </w:tc>
      </w:tr>
      <w:tr w:rsidR="003C5099" w:rsidRPr="00914FD4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Issue type</w:t>
            </w:r>
          </w:p>
        </w:tc>
        <w:tc>
          <w:tcPr>
            <w:tcW w:w="7483" w:type="dxa"/>
          </w:tcPr>
          <w:p w:rsidR="003C5099" w:rsidRPr="00914FD4" w:rsidRDefault="003C5099" w:rsidP="003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4FD4">
              <w:rPr>
                <w:sz w:val="20"/>
                <w:szCs w:val="20"/>
                <w:lang w:val="en-US"/>
              </w:rPr>
              <w:t>Investment Certificate</w:t>
            </w:r>
          </w:p>
        </w:tc>
      </w:tr>
      <w:tr w:rsidR="003C5099" w:rsidRPr="00914FD4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ISIN Code</w:t>
            </w:r>
          </w:p>
        </w:tc>
        <w:tc>
          <w:tcPr>
            <w:tcW w:w="7483" w:type="dxa"/>
          </w:tcPr>
          <w:p w:rsidR="003C5099" w:rsidRPr="00DB6C00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  <w:r w:rsidRPr="00DB6C00">
              <w:rPr>
                <w:rFonts w:ascii="Calibri" w:hAnsi="Calibri"/>
                <w:bCs/>
                <w:sz w:val="20"/>
                <w:szCs w:val="20"/>
                <w:lang w:val="en-US"/>
              </w:rPr>
              <w:t>[XS</w:t>
            </w:r>
            <w:proofErr w:type="gramStart"/>
            <w:r w:rsidRPr="00DB6C00">
              <w:rPr>
                <w:rFonts w:ascii="Calibri" w:hAnsi="Calibri"/>
                <w:bCs/>
                <w:sz w:val="20"/>
                <w:szCs w:val="20"/>
                <w:lang w:val="en-US"/>
              </w:rPr>
              <w:t>..</w:t>
            </w:r>
            <w:proofErr w:type="gramEnd"/>
            <w:r w:rsidRPr="00DB6C00">
              <w:rPr>
                <w:rFonts w:ascii="Calibri" w:hAnsi="Calibri"/>
                <w:bCs/>
                <w:sz w:val="20"/>
                <w:szCs w:val="20"/>
                <w:lang w:val="en-US"/>
              </w:rPr>
              <w:t>…]</w:t>
            </w:r>
          </w:p>
        </w:tc>
      </w:tr>
      <w:tr w:rsidR="003C5099" w:rsidRPr="00914FD4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keepLines/>
              <w:widowControl w:val="0"/>
              <w:rPr>
                <w:b/>
                <w:iCs/>
                <w:sz w:val="20"/>
                <w:szCs w:val="20"/>
                <w:lang w:val="en-GB" w:eastAsia="en-GB"/>
              </w:rPr>
            </w:pPr>
            <w:r w:rsidRPr="002C7411">
              <w:rPr>
                <w:b/>
                <w:iCs/>
                <w:sz w:val="20"/>
                <w:szCs w:val="20"/>
                <w:lang w:val="en-GB" w:eastAsia="en-GB"/>
              </w:rPr>
              <w:t>EUSIPA Code</w:t>
            </w:r>
          </w:p>
        </w:tc>
        <w:tc>
          <w:tcPr>
            <w:tcW w:w="7483" w:type="dxa"/>
          </w:tcPr>
          <w:p w:rsidR="003C5099" w:rsidRPr="00DB6C00" w:rsidRDefault="00CF048F" w:rsidP="003C5099">
            <w:pPr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  <w:lang w:val="en-US"/>
              </w:rPr>
              <w:t>1140</w:t>
            </w:r>
          </w:p>
        </w:tc>
      </w:tr>
      <w:tr w:rsidR="003C5099" w:rsidRPr="00914FD4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</w:rPr>
            </w:pPr>
            <w:r w:rsidRPr="002C7411">
              <w:rPr>
                <w:b/>
                <w:iCs/>
                <w:sz w:val="20"/>
                <w:szCs w:val="20"/>
              </w:rPr>
              <w:t xml:space="preserve">Offer Type  </w:t>
            </w:r>
          </w:p>
        </w:tc>
        <w:tc>
          <w:tcPr>
            <w:tcW w:w="7483" w:type="dxa"/>
          </w:tcPr>
          <w:p w:rsidR="003C5099" w:rsidRPr="00D71318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Public Offer  </w:t>
            </w:r>
          </w:p>
        </w:tc>
      </w:tr>
      <w:tr w:rsidR="003C5099" w:rsidRPr="00914FD4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</w:rPr>
            </w:pPr>
            <w:r w:rsidRPr="002C7411">
              <w:rPr>
                <w:b/>
                <w:iCs/>
                <w:sz w:val="20"/>
                <w:szCs w:val="20"/>
              </w:rPr>
              <w:t xml:space="preserve">Responsible for placement </w:t>
            </w:r>
          </w:p>
        </w:tc>
        <w:tc>
          <w:tcPr>
            <w:tcW w:w="7483" w:type="dxa"/>
          </w:tcPr>
          <w:p w:rsidR="003C5099" w:rsidRPr="00D71318" w:rsidRDefault="003C5099" w:rsidP="003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3971">
              <w:rPr>
                <w:color w:val="000000"/>
                <w:sz w:val="20"/>
                <w:szCs w:val="20"/>
              </w:rPr>
              <w:t xml:space="preserve">Banca Mediolanum S.p.A. </w:t>
            </w:r>
            <w:r>
              <w:rPr>
                <w:color w:val="000000"/>
                <w:sz w:val="20"/>
                <w:szCs w:val="20"/>
              </w:rPr>
              <w:t>exclusive</w:t>
            </w:r>
          </w:p>
        </w:tc>
      </w:tr>
      <w:tr w:rsidR="003C5099" w:rsidRPr="00914FD4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</w:rPr>
            </w:pPr>
            <w:r w:rsidRPr="002C7411">
              <w:rPr>
                <w:b/>
                <w:iCs/>
                <w:sz w:val="20"/>
                <w:szCs w:val="20"/>
              </w:rPr>
              <w:t xml:space="preserve">Distributor </w:t>
            </w:r>
          </w:p>
        </w:tc>
        <w:tc>
          <w:tcPr>
            <w:tcW w:w="7483" w:type="dxa"/>
          </w:tcPr>
          <w:p w:rsidR="003C5099" w:rsidRPr="004D255D" w:rsidRDefault="003C5099" w:rsidP="003C50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4D255D">
              <w:rPr>
                <w:color w:val="000000"/>
                <w:sz w:val="20"/>
                <w:szCs w:val="20"/>
              </w:rPr>
              <w:t xml:space="preserve">Banca Mediolanum S.p.A. </w:t>
            </w:r>
            <w:r>
              <w:rPr>
                <w:color w:val="000000"/>
                <w:sz w:val="20"/>
                <w:szCs w:val="20"/>
              </w:rPr>
              <w:t>exclusive</w:t>
            </w:r>
          </w:p>
        </w:tc>
      </w:tr>
      <w:tr w:rsidR="003C5099" w:rsidRPr="00914FD4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</w:rPr>
            </w:pPr>
            <w:r w:rsidRPr="002C7411">
              <w:rPr>
                <w:b/>
                <w:iCs/>
                <w:sz w:val="20"/>
                <w:szCs w:val="20"/>
              </w:rPr>
              <w:t>Investor</w:t>
            </w:r>
          </w:p>
        </w:tc>
        <w:tc>
          <w:tcPr>
            <w:tcW w:w="7483" w:type="dxa"/>
          </w:tcPr>
          <w:p w:rsidR="003C5099" w:rsidRPr="0020050E" w:rsidRDefault="003C5099" w:rsidP="003C5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20050E">
              <w:rPr>
                <w:color w:val="000000"/>
                <w:sz w:val="20"/>
                <w:szCs w:val="20"/>
              </w:rPr>
              <w:t>Public in Italy</w:t>
            </w:r>
          </w:p>
        </w:tc>
      </w:tr>
      <w:tr w:rsidR="003C5099" w:rsidRPr="00F524B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3C5099" w:rsidRPr="002C7411" w:rsidRDefault="003C5099" w:rsidP="003C5099">
            <w:pPr>
              <w:rPr>
                <w:b/>
                <w:iCs/>
                <w:sz w:val="20"/>
                <w:szCs w:val="20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Offering Period</w:t>
            </w:r>
          </w:p>
        </w:tc>
        <w:tc>
          <w:tcPr>
            <w:tcW w:w="7483" w:type="dxa"/>
          </w:tcPr>
          <w:p w:rsidR="00516519" w:rsidRPr="00EF76D6" w:rsidRDefault="00516519" w:rsidP="005165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F76D6">
              <w:rPr>
                <w:sz w:val="20"/>
                <w:szCs w:val="20"/>
                <w:lang w:val="en-US"/>
              </w:rPr>
              <w:t xml:space="preserve">From </w:t>
            </w:r>
            <w:r w:rsidR="00432DEB"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-0</w:t>
            </w:r>
            <w:r w:rsidR="00432DEB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-2019 to </w:t>
            </w:r>
            <w:r w:rsidR="00832B15">
              <w:rPr>
                <w:sz w:val="20"/>
                <w:szCs w:val="20"/>
                <w:lang w:val="en-US"/>
              </w:rPr>
              <w:t>31</w:t>
            </w:r>
            <w:r>
              <w:rPr>
                <w:sz w:val="20"/>
                <w:szCs w:val="20"/>
                <w:lang w:val="en-US"/>
              </w:rPr>
              <w:t>-0</w:t>
            </w:r>
            <w:r w:rsidR="00832B15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-2019 In B</w:t>
            </w:r>
            <w:r w:rsidRPr="00EF76D6">
              <w:rPr>
                <w:sz w:val="20"/>
                <w:szCs w:val="20"/>
                <w:lang w:val="en-US"/>
              </w:rPr>
              <w:t xml:space="preserve">ranch </w:t>
            </w:r>
          </w:p>
          <w:p w:rsidR="003C5099" w:rsidRPr="00DC5F69" w:rsidRDefault="00516519" w:rsidP="003F6B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0"/>
                <w:szCs w:val="20"/>
                <w:lang w:val="en-US"/>
              </w:rPr>
            </w:pPr>
            <w:r w:rsidRPr="00EF76D6">
              <w:rPr>
                <w:sz w:val="20"/>
                <w:szCs w:val="20"/>
                <w:lang w:val="en-US"/>
              </w:rPr>
              <w:t xml:space="preserve">From </w:t>
            </w:r>
            <w:r w:rsidR="00432DEB"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-0</w:t>
            </w:r>
            <w:r w:rsidR="00432DEB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-2019 to </w:t>
            </w:r>
            <w:r w:rsidR="00832B15">
              <w:rPr>
                <w:sz w:val="20"/>
                <w:szCs w:val="20"/>
                <w:lang w:val="en-US"/>
              </w:rPr>
              <w:t>17</w:t>
            </w:r>
            <w:r>
              <w:rPr>
                <w:sz w:val="20"/>
                <w:szCs w:val="20"/>
                <w:lang w:val="en-US"/>
              </w:rPr>
              <w:t>-0</w:t>
            </w:r>
            <w:r w:rsidR="00432DEB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-2019 </w:t>
            </w:r>
            <w:r w:rsidRPr="00EF76D6">
              <w:rPr>
                <w:sz w:val="20"/>
                <w:szCs w:val="20"/>
                <w:lang w:val="en-US"/>
              </w:rPr>
              <w:t>Outside branch</w:t>
            </w:r>
            <w:r>
              <w:rPr>
                <w:sz w:val="20"/>
                <w:szCs w:val="20"/>
                <w:lang w:val="en-US"/>
              </w:rPr>
              <w:t xml:space="preserve"> and Online </w:t>
            </w:r>
          </w:p>
        </w:tc>
      </w:tr>
      <w:tr w:rsidR="002D7204" w:rsidRPr="003C5099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Settlement Currency</w:t>
            </w:r>
          </w:p>
        </w:tc>
        <w:tc>
          <w:tcPr>
            <w:tcW w:w="7483" w:type="dxa"/>
          </w:tcPr>
          <w:p w:rsidR="002D7204" w:rsidRDefault="002D7204" w:rsidP="002D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Euro (EUR) </w:t>
            </w:r>
          </w:p>
        </w:tc>
      </w:tr>
      <w:tr w:rsidR="002D7204" w:rsidRPr="003F6B1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Issue Amount</w:t>
            </w:r>
          </w:p>
        </w:tc>
        <w:tc>
          <w:tcPr>
            <w:tcW w:w="7483" w:type="dxa"/>
          </w:tcPr>
          <w:p w:rsidR="002D7204" w:rsidRPr="00914FD4" w:rsidRDefault="002D7204" w:rsidP="002D7204">
            <w:pPr>
              <w:keepLines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4FD4">
              <w:rPr>
                <w:sz w:val="20"/>
                <w:szCs w:val="20"/>
                <w:lang w:val="en-US"/>
              </w:rPr>
              <w:t xml:space="preserve">Up to </w:t>
            </w:r>
            <w:r w:rsidR="003F6B12">
              <w:rPr>
                <w:sz w:val="20"/>
                <w:szCs w:val="20"/>
                <w:lang w:val="en-US"/>
              </w:rPr>
              <w:t>50.000.000</w:t>
            </w:r>
            <w:r>
              <w:rPr>
                <w:sz w:val="20"/>
                <w:szCs w:val="20"/>
                <w:lang w:val="en-US"/>
              </w:rPr>
              <w:t xml:space="preserve"> EUR</w:t>
            </w:r>
          </w:p>
        </w:tc>
      </w:tr>
      <w:tr w:rsidR="002D7204" w:rsidRPr="003F6B12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Issue Price</w:t>
            </w:r>
          </w:p>
        </w:tc>
        <w:tc>
          <w:tcPr>
            <w:tcW w:w="7483" w:type="dxa"/>
          </w:tcPr>
          <w:p w:rsidR="002D7204" w:rsidRPr="00DB6C00" w:rsidRDefault="00DD690E" w:rsidP="002D7204">
            <w:pPr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1.000</w:t>
            </w:r>
            <w:r w:rsidR="002D7204" w:rsidRPr="00DB6C00">
              <w:rPr>
                <w:sz w:val="20"/>
                <w:szCs w:val="20"/>
                <w:lang w:val="en-US"/>
              </w:rPr>
              <w:t xml:space="preserve"> EUR</w:t>
            </w:r>
          </w:p>
        </w:tc>
      </w:tr>
      <w:tr w:rsidR="002D7204" w:rsidRPr="003F6B1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Number of certificates</w:t>
            </w:r>
          </w:p>
        </w:tc>
        <w:tc>
          <w:tcPr>
            <w:tcW w:w="7483" w:type="dxa"/>
          </w:tcPr>
          <w:p w:rsidR="002D7204" w:rsidRPr="00914FD4" w:rsidDel="00EB3AFE" w:rsidRDefault="003F6B12" w:rsidP="002D7204">
            <w:pPr>
              <w:pStyle w:val="Footer"/>
              <w:keepLines/>
              <w:widowControl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50.000</w:t>
            </w:r>
            <w:r w:rsidR="002D7204">
              <w:rPr>
                <w:bCs/>
                <w:sz w:val="20"/>
                <w:szCs w:val="20"/>
                <w:lang w:val="en-US"/>
              </w:rPr>
              <w:t xml:space="preserve"> Certificates </w:t>
            </w:r>
          </w:p>
        </w:tc>
      </w:tr>
      <w:tr w:rsidR="002D7204" w:rsidRPr="003F6B12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 xml:space="preserve">Minimum Exercise Amount </w:t>
            </w:r>
          </w:p>
        </w:tc>
        <w:tc>
          <w:tcPr>
            <w:tcW w:w="7483" w:type="dxa"/>
          </w:tcPr>
          <w:p w:rsidR="002D7204" w:rsidRPr="00EF76D6" w:rsidRDefault="00DD690E" w:rsidP="002D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D7204">
              <w:rPr>
                <w:sz w:val="20"/>
                <w:szCs w:val="20"/>
                <w:lang w:val="en-US"/>
              </w:rPr>
              <w:t xml:space="preserve"> Certificate</w:t>
            </w:r>
          </w:p>
        </w:tc>
      </w:tr>
      <w:tr w:rsidR="002D7204" w:rsidRPr="003F6B1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Minimum amount of application</w:t>
            </w:r>
          </w:p>
        </w:tc>
        <w:tc>
          <w:tcPr>
            <w:tcW w:w="7483" w:type="dxa"/>
          </w:tcPr>
          <w:p w:rsidR="002D7204" w:rsidRPr="001B0817" w:rsidRDefault="00DD690E" w:rsidP="002D72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2D7204" w:rsidRPr="001B0817">
              <w:rPr>
                <w:sz w:val="20"/>
                <w:szCs w:val="20"/>
                <w:lang w:val="en-US"/>
              </w:rPr>
              <w:t xml:space="preserve"> Certificate</w:t>
            </w:r>
          </w:p>
        </w:tc>
      </w:tr>
      <w:tr w:rsidR="002D7204" w:rsidRPr="003F6B12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Calculation Agent</w:t>
            </w:r>
          </w:p>
        </w:tc>
        <w:tc>
          <w:tcPr>
            <w:tcW w:w="7483" w:type="dxa"/>
          </w:tcPr>
          <w:p w:rsidR="002D7204" w:rsidRPr="0019534D" w:rsidRDefault="002D7204" w:rsidP="002D72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</w:rPr>
            </w:pPr>
            <w:r w:rsidRPr="0019534D">
              <w:rPr>
                <w:sz w:val="20"/>
                <w:szCs w:val="20"/>
              </w:rPr>
              <w:t>Banca IMI S.p.A.</w:t>
            </w:r>
          </w:p>
        </w:tc>
      </w:tr>
      <w:tr w:rsidR="002D7204" w:rsidRPr="00F524B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Listing</w:t>
            </w:r>
          </w:p>
        </w:tc>
        <w:tc>
          <w:tcPr>
            <w:tcW w:w="7483" w:type="dxa"/>
          </w:tcPr>
          <w:p w:rsidR="002D7204" w:rsidRPr="00676F15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B0817">
              <w:rPr>
                <w:sz w:val="20"/>
                <w:szCs w:val="20"/>
                <w:lang w:val="en-US"/>
              </w:rPr>
              <w:t>Euro-</w:t>
            </w:r>
            <w:smartTag w:uri="urn:schemas-microsoft-com:office:smarttags" w:element="stockticker">
              <w:r w:rsidRPr="001B0817">
                <w:rPr>
                  <w:sz w:val="20"/>
                  <w:szCs w:val="20"/>
                  <w:lang w:val="en-US"/>
                </w:rPr>
                <w:t>TLX</w:t>
              </w:r>
            </w:smartTag>
            <w:r w:rsidR="00A34F99">
              <w:rPr>
                <w:sz w:val="20"/>
                <w:szCs w:val="20"/>
                <w:lang w:val="en-US"/>
              </w:rPr>
              <w:t xml:space="preserve"> + Luxembourg Stock Exchange</w:t>
            </w:r>
          </w:p>
        </w:tc>
      </w:tr>
      <w:tr w:rsidR="002D7204" w:rsidRPr="00F524B2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Conditions to which the offer is subject</w:t>
            </w:r>
          </w:p>
        </w:tc>
        <w:tc>
          <w:tcPr>
            <w:tcW w:w="7483" w:type="dxa"/>
          </w:tcPr>
          <w:p w:rsidR="002D7204" w:rsidRDefault="002D7204" w:rsidP="002D720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Default="002D7204" w:rsidP="002D720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BD7AA8">
              <w:rPr>
                <w:i/>
                <w:sz w:val="20"/>
                <w:szCs w:val="20"/>
              </w:rPr>
              <w:t xml:space="preserve">Offer of the Securities is conditional on their issue and on the release by Euro TLX before the Issue Date of the relevant </w:t>
            </w:r>
            <w:proofErr w:type="spellStart"/>
            <w:r w:rsidRPr="00BD7AA8">
              <w:rPr>
                <w:i/>
                <w:sz w:val="20"/>
                <w:szCs w:val="20"/>
              </w:rPr>
              <w:t>authorisation</w:t>
            </w:r>
            <w:proofErr w:type="spellEnd"/>
            <w:r w:rsidRPr="00BD7AA8">
              <w:rPr>
                <w:i/>
                <w:sz w:val="20"/>
                <w:szCs w:val="20"/>
              </w:rPr>
              <w:t xml:space="preserve"> to the admission to trading of the Securitie</w:t>
            </w:r>
            <w:r>
              <w:rPr>
                <w:i/>
                <w:sz w:val="20"/>
                <w:szCs w:val="20"/>
              </w:rPr>
              <w:t>s</w:t>
            </w:r>
          </w:p>
          <w:p w:rsidR="002D7204" w:rsidRPr="001B0817" w:rsidRDefault="002D7204" w:rsidP="002D720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2D7204" w:rsidRPr="002D7204" w:rsidTr="00DB6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Del="00E4763B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lastRenderedPageBreak/>
              <w:t>Issue date</w:t>
            </w:r>
          </w:p>
        </w:tc>
        <w:tc>
          <w:tcPr>
            <w:tcW w:w="7483" w:type="dxa"/>
          </w:tcPr>
          <w:p w:rsidR="002D7204" w:rsidRPr="009122C3" w:rsidRDefault="00432DEB" w:rsidP="002D7204">
            <w:pPr>
              <w:keepLines/>
              <w:widowControl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  <w:r w:rsidR="00DC3EF3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6</w:t>
            </w:r>
            <w:r w:rsidR="00DC3EF3">
              <w:rPr>
                <w:sz w:val="20"/>
                <w:szCs w:val="20"/>
                <w:lang w:val="en-US"/>
              </w:rPr>
              <w:t>-2019</w:t>
            </w:r>
          </w:p>
        </w:tc>
      </w:tr>
      <w:tr w:rsidR="002D7204" w:rsidRPr="002D7204" w:rsidTr="00DB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Settlement Date</w:t>
            </w:r>
          </w:p>
        </w:tc>
        <w:tc>
          <w:tcPr>
            <w:tcW w:w="7483" w:type="dxa"/>
          </w:tcPr>
          <w:p w:rsidR="002D7204" w:rsidRPr="009122C3" w:rsidRDefault="00432DEB" w:rsidP="002D7204">
            <w:pPr>
              <w:keepLines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  <w:r w:rsidR="00DC3EF3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6</w:t>
            </w:r>
            <w:r w:rsidR="00DC3EF3">
              <w:rPr>
                <w:sz w:val="20"/>
                <w:szCs w:val="20"/>
                <w:lang w:val="en-US"/>
              </w:rPr>
              <w:t>-2025</w:t>
            </w:r>
          </w:p>
        </w:tc>
      </w:tr>
      <w:tr w:rsidR="002D7204" w:rsidRPr="002D7204" w:rsidTr="00DB6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Trade date Initial Hedging</w:t>
            </w:r>
          </w:p>
        </w:tc>
        <w:tc>
          <w:tcPr>
            <w:tcW w:w="7483" w:type="dxa"/>
          </w:tcPr>
          <w:p w:rsidR="002D7204" w:rsidRPr="009122C3" w:rsidRDefault="00432DEB" w:rsidP="002D7204">
            <w:pPr>
              <w:keepLines/>
              <w:widowControl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  <w:r w:rsidR="00516519">
              <w:rPr>
                <w:sz w:val="20"/>
                <w:szCs w:val="20"/>
                <w:lang w:val="en-US"/>
              </w:rPr>
              <w:t>-0</w:t>
            </w:r>
            <w:r>
              <w:rPr>
                <w:sz w:val="20"/>
                <w:szCs w:val="20"/>
                <w:lang w:val="en-US"/>
              </w:rPr>
              <w:t>3</w:t>
            </w:r>
            <w:r w:rsidR="00516519">
              <w:rPr>
                <w:sz w:val="20"/>
                <w:szCs w:val="20"/>
                <w:lang w:val="en-US"/>
              </w:rPr>
              <w:t>-2019</w:t>
            </w:r>
          </w:p>
        </w:tc>
      </w:tr>
      <w:tr w:rsidR="002D7204" w:rsidRPr="00376263" w:rsidTr="00DB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 xml:space="preserve">Initial Hedging </w:t>
            </w:r>
          </w:p>
        </w:tc>
        <w:tc>
          <w:tcPr>
            <w:tcW w:w="7483" w:type="dxa"/>
          </w:tcPr>
          <w:p w:rsidR="002D7204" w:rsidRDefault="00516519" w:rsidP="002D72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 w:eastAsia="pt-PT"/>
              </w:rPr>
            </w:pPr>
            <w:r>
              <w:rPr>
                <w:sz w:val="20"/>
                <w:szCs w:val="20"/>
                <w:lang w:val="en-US"/>
              </w:rPr>
              <w:t>15.000.000</w:t>
            </w:r>
            <w:r>
              <w:rPr>
                <w:color w:val="000000"/>
                <w:sz w:val="20"/>
                <w:szCs w:val="20"/>
                <w:lang w:val="en-US" w:eastAsia="pt-PT"/>
              </w:rPr>
              <w:t xml:space="preserve"> </w:t>
            </w:r>
            <w:r w:rsidR="002D7204">
              <w:rPr>
                <w:color w:val="000000"/>
                <w:sz w:val="20"/>
                <w:szCs w:val="20"/>
                <w:lang w:val="en-US" w:eastAsia="pt-PT"/>
              </w:rPr>
              <w:t>EUR</w:t>
            </w:r>
          </w:p>
        </w:tc>
      </w:tr>
      <w:tr w:rsidR="002D7204" w:rsidRPr="00E333B2" w:rsidTr="00DB6C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Initial Distribution Fee</w:t>
            </w:r>
          </w:p>
        </w:tc>
        <w:tc>
          <w:tcPr>
            <w:tcW w:w="7483" w:type="dxa"/>
          </w:tcPr>
          <w:p w:rsidR="002D7204" w:rsidRPr="001E182B" w:rsidRDefault="00E333B2" w:rsidP="002D7204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  <w:sz w:val="20"/>
                <w:szCs w:val="20"/>
                <w:lang w:val="en-US" w:eastAsia="pt-PT"/>
              </w:rPr>
            </w:pPr>
            <w:r w:rsidRPr="001E182B">
              <w:rPr>
                <w:b/>
                <w:color w:val="000000"/>
                <w:sz w:val="20"/>
                <w:szCs w:val="20"/>
                <w:highlight w:val="yellow"/>
                <w:lang w:val="en-US" w:eastAsia="pt-PT"/>
              </w:rPr>
              <w:t>7.</w:t>
            </w:r>
            <w:r w:rsidR="00832B15" w:rsidRPr="001E182B">
              <w:rPr>
                <w:b/>
                <w:color w:val="000000"/>
                <w:sz w:val="20"/>
                <w:szCs w:val="20"/>
                <w:highlight w:val="yellow"/>
                <w:lang w:val="en-US" w:eastAsia="pt-PT"/>
              </w:rPr>
              <w:t>8</w:t>
            </w:r>
            <w:r w:rsidR="00FE072B" w:rsidRPr="001E182B">
              <w:rPr>
                <w:b/>
                <w:color w:val="000000"/>
                <w:sz w:val="20"/>
                <w:szCs w:val="20"/>
                <w:highlight w:val="yellow"/>
                <w:lang w:val="en-US" w:eastAsia="pt-PT"/>
              </w:rPr>
              <w:t>2</w:t>
            </w:r>
            <w:r w:rsidR="002D7204" w:rsidRPr="001E182B">
              <w:rPr>
                <w:b/>
                <w:color w:val="000000"/>
                <w:sz w:val="20"/>
                <w:szCs w:val="20"/>
                <w:highlight w:val="yellow"/>
                <w:lang w:val="en-US" w:eastAsia="pt-PT"/>
              </w:rPr>
              <w:t>%</w:t>
            </w:r>
            <w:r w:rsidR="002D7204" w:rsidRPr="001E182B">
              <w:rPr>
                <w:b/>
                <w:color w:val="000000"/>
                <w:sz w:val="20"/>
                <w:szCs w:val="20"/>
                <w:lang w:val="en-US" w:eastAsia="pt-PT"/>
              </w:rPr>
              <w:t xml:space="preserve"> </w:t>
            </w:r>
          </w:p>
        </w:tc>
      </w:tr>
      <w:tr w:rsidR="002D7204" w:rsidRPr="00F524B2" w:rsidTr="00DB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Percentage unwinding zero cost</w:t>
            </w:r>
          </w:p>
        </w:tc>
        <w:tc>
          <w:tcPr>
            <w:tcW w:w="7483" w:type="dxa"/>
          </w:tcPr>
          <w:p w:rsidR="002D7204" w:rsidRDefault="003F6B12" w:rsidP="002D720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 w:eastAsia="pt-PT"/>
              </w:rPr>
            </w:pPr>
            <w:r>
              <w:rPr>
                <w:sz w:val="20"/>
                <w:szCs w:val="20"/>
                <w:lang w:val="en-US"/>
              </w:rPr>
              <w:t>50.00</w:t>
            </w:r>
            <w:r w:rsidR="002D7204" w:rsidRPr="0090187F">
              <w:rPr>
                <w:color w:val="000000"/>
                <w:sz w:val="20"/>
                <w:szCs w:val="20"/>
                <w:lang w:val="en-US" w:eastAsia="pt-PT"/>
              </w:rPr>
              <w:t>% of Issue Amount</w:t>
            </w:r>
            <w:r w:rsidR="002D7204">
              <w:rPr>
                <w:color w:val="000000"/>
                <w:sz w:val="20"/>
                <w:szCs w:val="20"/>
                <w:lang w:val="en-US" w:eastAsia="pt-PT"/>
              </w:rPr>
              <w:t xml:space="preserve">.  </w:t>
            </w:r>
          </w:p>
          <w:p w:rsidR="002D7204" w:rsidRPr="0090187F" w:rsidRDefault="002D7204" w:rsidP="00676F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n-US" w:eastAsia="pt-PT"/>
              </w:rPr>
            </w:pPr>
            <w:r>
              <w:rPr>
                <w:color w:val="000000"/>
                <w:sz w:val="20"/>
                <w:szCs w:val="20"/>
                <w:lang w:val="en-US" w:eastAsia="pt-PT"/>
              </w:rPr>
              <w:t xml:space="preserve">The distributor can unwind the Issue Amount </w:t>
            </w:r>
            <w:r w:rsidRPr="00676F15">
              <w:rPr>
                <w:sz w:val="20"/>
                <w:szCs w:val="20"/>
                <w:lang w:val="en-US" w:eastAsia="pt-PT"/>
              </w:rPr>
              <w:t xml:space="preserve">within </w:t>
            </w:r>
            <w:r w:rsidR="00676F15" w:rsidRPr="00676F15">
              <w:rPr>
                <w:sz w:val="20"/>
                <w:szCs w:val="20"/>
                <w:lang w:val="en-US"/>
              </w:rPr>
              <w:t>03.06.2019</w:t>
            </w:r>
            <w:r w:rsidR="00516519" w:rsidRPr="00676F15">
              <w:rPr>
                <w:bCs/>
                <w:sz w:val="20"/>
                <w:lang w:val="en-GB"/>
              </w:rPr>
              <w:t xml:space="preserve"> </w:t>
            </w:r>
            <w:r w:rsidRPr="00676F15">
              <w:rPr>
                <w:bCs/>
                <w:sz w:val="20"/>
                <w:lang w:val="en-GB"/>
              </w:rPr>
              <w:t xml:space="preserve">by 3.00 pm </w:t>
            </w:r>
          </w:p>
        </w:tc>
      </w:tr>
      <w:tr w:rsidR="002D7204" w:rsidRPr="00F524B2" w:rsidTr="003B3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Distribution Fee</w:t>
            </w:r>
          </w:p>
        </w:tc>
        <w:tc>
          <w:tcPr>
            <w:tcW w:w="7483" w:type="dxa"/>
          </w:tcPr>
          <w:p w:rsidR="002D7204" w:rsidRDefault="002D7204" w:rsidP="002D7204">
            <w:pPr>
              <w:pStyle w:val="Default"/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D7204" w:rsidRDefault="002D7204" w:rsidP="002D7204">
            <w:pPr>
              <w:pStyle w:val="Default"/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D6A6F">
              <w:rPr>
                <w:sz w:val="20"/>
                <w:szCs w:val="20"/>
              </w:rPr>
              <w:t>he</w:t>
            </w:r>
            <w:r w:rsidRPr="00EF76D6">
              <w:rPr>
                <w:sz w:val="20"/>
                <w:szCs w:val="20"/>
              </w:rPr>
              <w:t xml:space="preserve"> Issuer will pay </w:t>
            </w:r>
            <w:r>
              <w:rPr>
                <w:sz w:val="20"/>
                <w:szCs w:val="20"/>
              </w:rPr>
              <w:t xml:space="preserve">on the Issue Date </w:t>
            </w:r>
            <w:r w:rsidRPr="00EF76D6">
              <w:rPr>
                <w:sz w:val="20"/>
                <w:szCs w:val="20"/>
              </w:rPr>
              <w:t xml:space="preserve">to </w:t>
            </w:r>
            <w:r w:rsidRPr="005B75A6">
              <w:rPr>
                <w:sz w:val="20"/>
                <w:szCs w:val="20"/>
              </w:rPr>
              <w:t>the Distributor</w:t>
            </w:r>
            <w:r>
              <w:rPr>
                <w:sz w:val="20"/>
                <w:szCs w:val="20"/>
              </w:rPr>
              <w:t xml:space="preserve"> </w:t>
            </w:r>
            <w:r w:rsidRPr="00EF76D6">
              <w:rPr>
                <w:sz w:val="20"/>
                <w:szCs w:val="20"/>
              </w:rPr>
              <w:t>a distribution fee</w:t>
            </w:r>
            <w:r>
              <w:rPr>
                <w:sz w:val="20"/>
                <w:szCs w:val="20"/>
              </w:rPr>
              <w:t xml:space="preserve"> </w:t>
            </w:r>
            <w:r w:rsidRPr="00EF76D6">
              <w:rPr>
                <w:sz w:val="20"/>
                <w:szCs w:val="20"/>
              </w:rPr>
              <w:t xml:space="preserve">equal to </w:t>
            </w:r>
            <w:r w:rsidR="001E182B" w:rsidRPr="001E182B">
              <w:rPr>
                <w:b/>
                <w:sz w:val="20"/>
                <w:szCs w:val="20"/>
                <w:highlight w:val="yellow"/>
              </w:rPr>
              <w:t>7.82</w:t>
            </w:r>
            <w:r w:rsidRPr="001E182B">
              <w:rPr>
                <w:b/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of the Issue </w:t>
            </w:r>
            <w:r w:rsidRPr="00D215B0">
              <w:rPr>
                <w:sz w:val="20"/>
                <w:szCs w:val="20"/>
              </w:rPr>
              <w:t xml:space="preserve">Price </w:t>
            </w:r>
            <w:r w:rsidRPr="00076753">
              <w:rPr>
                <w:sz w:val="20"/>
                <w:szCs w:val="20"/>
              </w:rPr>
              <w:t>(</w:t>
            </w:r>
            <w:r w:rsidRPr="00D215B0">
              <w:rPr>
                <w:b/>
                <w:sz w:val="20"/>
                <w:szCs w:val="20"/>
              </w:rPr>
              <w:t>Initial</w:t>
            </w:r>
            <w:r w:rsidRPr="00D55ACE">
              <w:rPr>
                <w:b/>
                <w:sz w:val="20"/>
                <w:szCs w:val="20"/>
              </w:rPr>
              <w:t xml:space="preserve"> Distribution Fee</w:t>
            </w:r>
            <w:r>
              <w:rPr>
                <w:rFonts w:cs="Mangal"/>
                <w:b/>
                <w:lang w:bidi="hi-IN"/>
              </w:rPr>
              <w:t xml:space="preserve">) </w:t>
            </w:r>
            <w:r w:rsidRPr="00D55ACE">
              <w:rPr>
                <w:sz w:val="20"/>
                <w:szCs w:val="20"/>
              </w:rPr>
              <w:t xml:space="preserve">in </w:t>
            </w:r>
            <w:r>
              <w:rPr>
                <w:sz w:val="20"/>
                <w:szCs w:val="20"/>
              </w:rPr>
              <w:t>respect of certificates placed up to an aggregate of no.</w:t>
            </w:r>
            <w:r w:rsidRPr="00076753">
              <w:rPr>
                <w:sz w:val="20"/>
                <w:szCs w:val="20"/>
              </w:rPr>
              <w:t xml:space="preserve"> </w:t>
            </w:r>
            <w:r w:rsidR="00516519">
              <w:rPr>
                <w:sz w:val="20"/>
                <w:szCs w:val="20"/>
              </w:rPr>
              <w:t>15.000</w:t>
            </w:r>
            <w:r w:rsidR="00516519" w:rsidRPr="002D7204">
              <w:rPr>
                <w:sz w:val="20"/>
                <w:szCs w:val="20"/>
              </w:rPr>
              <w:t xml:space="preserve"> </w:t>
            </w:r>
            <w:r w:rsidRPr="002D7204">
              <w:rPr>
                <w:sz w:val="20"/>
                <w:szCs w:val="20"/>
              </w:rPr>
              <w:t>c</w:t>
            </w:r>
            <w:r w:rsidRPr="00076753">
              <w:rPr>
                <w:sz w:val="20"/>
                <w:szCs w:val="20"/>
              </w:rPr>
              <w:t xml:space="preserve">ertificates. In relation to the certificates placed in excess the </w:t>
            </w:r>
            <w:r w:rsidRPr="00076753">
              <w:rPr>
                <w:b/>
                <w:sz w:val="20"/>
                <w:szCs w:val="20"/>
              </w:rPr>
              <w:t>Subsequent Distribution Fee</w:t>
            </w:r>
            <w:r w:rsidRPr="00076753">
              <w:rPr>
                <w:sz w:val="20"/>
                <w:szCs w:val="20"/>
              </w:rPr>
              <w:t xml:space="preserve"> will be determined so that</w:t>
            </w:r>
            <w:r>
              <w:rPr>
                <w:sz w:val="20"/>
                <w:szCs w:val="20"/>
              </w:rPr>
              <w:t xml:space="preserve"> </w:t>
            </w:r>
            <w:r w:rsidRPr="00EF76D6">
              <w:rPr>
                <w:sz w:val="20"/>
                <w:szCs w:val="20"/>
              </w:rPr>
              <w:t xml:space="preserve">the aggregate distribution fee paid by the Issuer to the </w:t>
            </w:r>
            <w:r>
              <w:rPr>
                <w:sz w:val="20"/>
                <w:szCs w:val="20"/>
              </w:rPr>
              <w:t>Distributor</w:t>
            </w:r>
            <w:r w:rsidRPr="005B75A6">
              <w:rPr>
                <w:sz w:val="20"/>
                <w:szCs w:val="20"/>
              </w:rPr>
              <w:t xml:space="preserve"> w</w:t>
            </w:r>
            <w:r>
              <w:rPr>
                <w:sz w:val="20"/>
                <w:szCs w:val="20"/>
              </w:rPr>
              <w:t xml:space="preserve">ill be not </w:t>
            </w:r>
            <w:r w:rsidRPr="00EF76D6">
              <w:rPr>
                <w:sz w:val="20"/>
                <w:szCs w:val="20"/>
              </w:rPr>
              <w:t xml:space="preserve">higher than </w:t>
            </w:r>
            <w:r w:rsidR="003F6B12">
              <w:rPr>
                <w:sz w:val="20"/>
                <w:szCs w:val="20"/>
              </w:rPr>
              <w:t>8.00</w:t>
            </w:r>
            <w:r>
              <w:rPr>
                <w:sz w:val="20"/>
                <w:szCs w:val="20"/>
              </w:rPr>
              <w:t>%</w:t>
            </w:r>
            <w:r w:rsidRPr="00EF76D6">
              <w:rPr>
                <w:sz w:val="20"/>
                <w:szCs w:val="20"/>
              </w:rPr>
              <w:t xml:space="preserve"> of the </w:t>
            </w:r>
            <w:r>
              <w:rPr>
                <w:sz w:val="20"/>
                <w:szCs w:val="20"/>
              </w:rPr>
              <w:t>Issue Price of the aggregate certificates</w:t>
            </w:r>
            <w:r w:rsidRPr="00EF76D6">
              <w:rPr>
                <w:sz w:val="20"/>
                <w:szCs w:val="20"/>
              </w:rPr>
              <w:t xml:space="preserve"> placed</w:t>
            </w:r>
            <w:r>
              <w:rPr>
                <w:sz w:val="20"/>
                <w:szCs w:val="20"/>
              </w:rPr>
              <w:t>.</w:t>
            </w:r>
          </w:p>
          <w:p w:rsidR="002D7204" w:rsidRPr="00914FD4" w:rsidRDefault="002D7204" w:rsidP="002D7204">
            <w:pPr>
              <w:pStyle w:val="Footer"/>
              <w:keepLines/>
              <w:widowControl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</w:p>
        </w:tc>
      </w:tr>
      <w:tr w:rsidR="002D7204" w:rsidRPr="003E776E" w:rsidTr="00A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Underlying</w:t>
            </w:r>
          </w:p>
        </w:tc>
        <w:tc>
          <w:tcPr>
            <w:tcW w:w="748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55"/>
              <w:gridCol w:w="1742"/>
              <w:gridCol w:w="1710"/>
              <w:gridCol w:w="1710"/>
            </w:tblGrid>
            <w:tr w:rsidR="002D7204" w:rsidRPr="003F6B12" w:rsidTr="003B35D9">
              <w:trPr>
                <w:trHeight w:val="301"/>
              </w:trPr>
              <w:tc>
                <w:tcPr>
                  <w:tcW w:w="1655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b/>
                      <w:bCs/>
                      <w:sz w:val="18"/>
                      <w:szCs w:val="20"/>
                      <w:lang w:val="en-US"/>
                    </w:rPr>
                    <w:t>Index</w:t>
                  </w:r>
                </w:p>
              </w:tc>
              <w:tc>
                <w:tcPr>
                  <w:tcW w:w="1742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b/>
                      <w:bCs/>
                      <w:sz w:val="18"/>
                      <w:szCs w:val="20"/>
                      <w:lang w:val="en-US"/>
                    </w:rPr>
                    <w:t>Ticker BBG</w:t>
                  </w:r>
                </w:p>
              </w:tc>
              <w:tc>
                <w:tcPr>
                  <w:tcW w:w="1710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b/>
                      <w:bCs/>
                      <w:sz w:val="18"/>
                      <w:szCs w:val="20"/>
                      <w:lang w:val="en-US"/>
                    </w:rPr>
                    <w:t>Exchange</w:t>
                  </w:r>
                </w:p>
              </w:tc>
              <w:tc>
                <w:tcPr>
                  <w:tcW w:w="1710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b/>
                      <w:bCs/>
                      <w:sz w:val="18"/>
                      <w:szCs w:val="20"/>
                      <w:lang w:val="en-US"/>
                    </w:rPr>
                    <w:t>Related Exchange</w:t>
                  </w:r>
                </w:p>
              </w:tc>
            </w:tr>
            <w:tr w:rsidR="002D7204" w:rsidRPr="003F6B12" w:rsidTr="003B35D9">
              <w:tc>
                <w:tcPr>
                  <w:tcW w:w="1655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both"/>
                    <w:rPr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sz w:val="18"/>
                      <w:szCs w:val="20"/>
                      <w:lang w:val="en-GB"/>
                    </w:rPr>
                    <w:t>EURO STOXX 50</w:t>
                  </w:r>
                </w:p>
              </w:tc>
              <w:tc>
                <w:tcPr>
                  <w:tcW w:w="1742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Cs/>
                      <w:sz w:val="20"/>
                      <w:szCs w:val="20"/>
                      <w:lang w:val="en-US"/>
                    </w:rPr>
                  </w:pPr>
                  <w:r w:rsidRPr="002E74DE">
                    <w:rPr>
                      <w:sz w:val="18"/>
                      <w:szCs w:val="20"/>
                      <w:lang w:val="en-GB"/>
                    </w:rPr>
                    <w:t xml:space="preserve">SX5E </w:t>
                  </w:r>
                  <w:r>
                    <w:rPr>
                      <w:sz w:val="18"/>
                      <w:szCs w:val="20"/>
                      <w:lang w:val="en-GB"/>
                    </w:rPr>
                    <w:t>&lt;</w:t>
                  </w:r>
                  <w:r w:rsidRPr="002E74DE">
                    <w:rPr>
                      <w:sz w:val="18"/>
                      <w:szCs w:val="20"/>
                      <w:lang w:val="en-GB"/>
                    </w:rPr>
                    <w:t>Index</w:t>
                  </w:r>
                  <w:r>
                    <w:rPr>
                      <w:sz w:val="18"/>
                      <w:szCs w:val="20"/>
                      <w:lang w:val="en-GB"/>
                    </w:rPr>
                    <w:t>&gt;</w:t>
                  </w:r>
                </w:p>
              </w:tc>
              <w:tc>
                <w:tcPr>
                  <w:tcW w:w="1710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hAnsi="Calibri"/>
                      <w:bCs/>
                      <w:sz w:val="20"/>
                      <w:szCs w:val="20"/>
                      <w:lang w:val="en-US"/>
                    </w:rPr>
                    <w:t>EUREX</w:t>
                  </w:r>
                </w:p>
              </w:tc>
              <w:tc>
                <w:tcPr>
                  <w:tcW w:w="1710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20"/>
                      <w:lang w:val="en-GB" w:eastAsia="pt-PT"/>
                    </w:rPr>
                    <w:t>EUREX</w:t>
                  </w:r>
                </w:p>
              </w:tc>
            </w:tr>
            <w:tr w:rsidR="002D7204" w:rsidTr="003B35D9">
              <w:tc>
                <w:tcPr>
                  <w:tcW w:w="1655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both"/>
                    <w:rPr>
                      <w:bCs/>
                      <w:sz w:val="20"/>
                      <w:szCs w:val="20"/>
                      <w:lang w:val="en-US"/>
                    </w:rPr>
                  </w:pPr>
                  <w:r w:rsidRPr="00FD05DE">
                    <w:rPr>
                      <w:sz w:val="18"/>
                      <w:szCs w:val="20"/>
                      <w:lang w:val="en-US"/>
                    </w:rPr>
                    <w:t>FTSE</w:t>
                  </w:r>
                  <w:r>
                    <w:rPr>
                      <w:sz w:val="18"/>
                      <w:szCs w:val="20"/>
                      <w:lang w:val="en-US"/>
                    </w:rPr>
                    <w:t xml:space="preserve"> </w:t>
                  </w:r>
                  <w:r w:rsidRPr="00FD05DE">
                    <w:rPr>
                      <w:sz w:val="18"/>
                      <w:szCs w:val="20"/>
                      <w:lang w:val="en-US"/>
                    </w:rPr>
                    <w:t>MIB</w:t>
                  </w:r>
                </w:p>
              </w:tc>
              <w:tc>
                <w:tcPr>
                  <w:tcW w:w="1742" w:type="dxa"/>
                </w:tcPr>
                <w:p w:rsidR="002D7204" w:rsidRPr="002E74DE" w:rsidRDefault="002D7204" w:rsidP="002D7204">
                  <w:pPr>
                    <w:pStyle w:val="Footer"/>
                    <w:keepLines/>
                    <w:widowControl w:val="0"/>
                    <w:jc w:val="both"/>
                    <w:rPr>
                      <w:bCs/>
                      <w:sz w:val="18"/>
                      <w:szCs w:val="20"/>
                      <w:lang w:val="en-US"/>
                    </w:rPr>
                  </w:pPr>
                  <w:r w:rsidRPr="002E74DE">
                    <w:rPr>
                      <w:sz w:val="18"/>
                      <w:szCs w:val="20"/>
                      <w:lang w:val="en-US"/>
                    </w:rPr>
                    <w:t xml:space="preserve">FTSEMIB </w:t>
                  </w:r>
                  <w:r w:rsidRPr="002E74DE">
                    <w:rPr>
                      <w:color w:val="000000"/>
                      <w:sz w:val="18"/>
                      <w:szCs w:val="20"/>
                      <w:lang w:val="en-US"/>
                    </w:rPr>
                    <w:t>&lt;Index&gt;</w:t>
                  </w:r>
                </w:p>
              </w:tc>
              <w:tc>
                <w:tcPr>
                  <w:tcW w:w="1710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hAnsi="Calibri"/>
                      <w:bCs/>
                      <w:sz w:val="20"/>
                      <w:szCs w:val="20"/>
                      <w:lang w:val="en-US"/>
                    </w:rPr>
                    <w:t>BORSA ITALIANA</w:t>
                  </w:r>
                </w:p>
              </w:tc>
              <w:tc>
                <w:tcPr>
                  <w:tcW w:w="1710" w:type="dxa"/>
                </w:tcPr>
                <w:p w:rsidR="002D7204" w:rsidRDefault="002D7204" w:rsidP="002D7204">
                  <w:pPr>
                    <w:pStyle w:val="Footer"/>
                    <w:keepLines/>
                    <w:widowControl w:val="0"/>
                    <w:jc w:val="center"/>
                    <w:rPr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Cs/>
                      <w:sz w:val="20"/>
                      <w:szCs w:val="20"/>
                      <w:lang w:val="en-US"/>
                    </w:rPr>
                    <w:t>IDEM</w:t>
                  </w:r>
                </w:p>
              </w:tc>
            </w:tr>
          </w:tbl>
          <w:p w:rsidR="002D7204" w:rsidRPr="00914FD4" w:rsidRDefault="002D7204" w:rsidP="002D7204">
            <w:pPr>
              <w:keepLines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D7204" w:rsidRPr="00F524B2" w:rsidTr="00AA5F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Initial Reference Value (IRV)</w:t>
            </w:r>
          </w:p>
        </w:tc>
        <w:tc>
          <w:tcPr>
            <w:tcW w:w="7483" w:type="dxa"/>
          </w:tcPr>
          <w:p w:rsidR="002D7204" w:rsidRPr="00914FD4" w:rsidRDefault="002D7204" w:rsidP="001B3EC2">
            <w:pPr>
              <w:keepLines/>
              <w:widowControl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each Underlying is e</w:t>
            </w:r>
            <w:r w:rsidRPr="00914FD4">
              <w:rPr>
                <w:sz w:val="20"/>
                <w:szCs w:val="20"/>
                <w:lang w:val="en-US"/>
              </w:rPr>
              <w:t xml:space="preserve">qual to the Closing Level of the Underlying on the </w:t>
            </w:r>
            <w:r w:rsidR="00A14555">
              <w:rPr>
                <w:sz w:val="20"/>
                <w:szCs w:val="20"/>
                <w:lang w:val="en-US"/>
              </w:rPr>
              <w:t>06</w:t>
            </w:r>
            <w:r w:rsidR="001B3EC2">
              <w:rPr>
                <w:sz w:val="20"/>
                <w:szCs w:val="20"/>
                <w:lang w:val="en-US"/>
              </w:rPr>
              <w:t>-0</w:t>
            </w:r>
            <w:r w:rsidR="00A14555">
              <w:rPr>
                <w:sz w:val="20"/>
                <w:szCs w:val="20"/>
                <w:lang w:val="en-US"/>
              </w:rPr>
              <w:t>6</w:t>
            </w:r>
            <w:r w:rsidR="003F6B12">
              <w:rPr>
                <w:sz w:val="20"/>
                <w:szCs w:val="20"/>
                <w:lang w:val="en-US"/>
              </w:rPr>
              <w:t>-2019</w:t>
            </w:r>
            <w:r w:rsidRPr="00914FD4">
              <w:rPr>
                <w:sz w:val="20"/>
                <w:szCs w:val="20"/>
                <w:lang w:val="en-US"/>
              </w:rPr>
              <w:t xml:space="preserve"> (the </w:t>
            </w:r>
            <w:r w:rsidRPr="00914FD4">
              <w:rPr>
                <w:b/>
                <w:sz w:val="20"/>
                <w:szCs w:val="20"/>
                <w:lang w:val="en-US"/>
              </w:rPr>
              <w:t>“Determination Date”</w:t>
            </w:r>
            <w:r w:rsidRPr="00914FD4">
              <w:rPr>
                <w:sz w:val="20"/>
                <w:szCs w:val="20"/>
                <w:lang w:val="en-US"/>
              </w:rPr>
              <w:t>)</w:t>
            </w:r>
          </w:p>
        </w:tc>
      </w:tr>
      <w:tr w:rsidR="002D7204" w:rsidRPr="00F524B2" w:rsidTr="00AA5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Final Reference Value (FRV)</w:t>
            </w:r>
          </w:p>
        </w:tc>
        <w:tc>
          <w:tcPr>
            <w:tcW w:w="7483" w:type="dxa"/>
          </w:tcPr>
          <w:p w:rsidR="002D7204" w:rsidRPr="00227117" w:rsidRDefault="002D7204" w:rsidP="00E43F10">
            <w:pPr>
              <w:keepLines/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each Underlying is e</w:t>
            </w:r>
            <w:r w:rsidRPr="00914FD4">
              <w:rPr>
                <w:sz w:val="20"/>
                <w:szCs w:val="20"/>
                <w:lang w:val="en-US"/>
              </w:rPr>
              <w:t xml:space="preserve">qual to the Closing Level of the Underlying on the </w:t>
            </w:r>
            <w:r w:rsidR="00E43F10">
              <w:rPr>
                <w:sz w:val="20"/>
                <w:szCs w:val="20"/>
                <w:lang w:val="en-US"/>
              </w:rPr>
              <w:t>30</w:t>
            </w:r>
            <w:r w:rsidR="001B3EC2">
              <w:rPr>
                <w:sz w:val="20"/>
                <w:szCs w:val="20"/>
                <w:lang w:val="en-US"/>
              </w:rPr>
              <w:t>-0</w:t>
            </w:r>
            <w:r w:rsidR="00E43F10">
              <w:rPr>
                <w:sz w:val="20"/>
                <w:szCs w:val="20"/>
                <w:lang w:val="en-US"/>
              </w:rPr>
              <w:t>5</w:t>
            </w:r>
            <w:r w:rsidR="003F6B12">
              <w:rPr>
                <w:sz w:val="20"/>
                <w:szCs w:val="20"/>
                <w:lang w:val="en-US"/>
              </w:rPr>
              <w:t xml:space="preserve">-2025 </w:t>
            </w:r>
            <w:r w:rsidRPr="00914FD4">
              <w:rPr>
                <w:sz w:val="20"/>
                <w:szCs w:val="20"/>
                <w:lang w:val="en-US"/>
              </w:rPr>
              <w:t xml:space="preserve">(the </w:t>
            </w:r>
            <w:r w:rsidRPr="00914FD4">
              <w:rPr>
                <w:b/>
                <w:sz w:val="20"/>
                <w:szCs w:val="20"/>
                <w:lang w:val="en-US"/>
              </w:rPr>
              <w:t>“Valuation Date”</w:t>
            </w:r>
            <w:r w:rsidRPr="00914FD4">
              <w:rPr>
                <w:sz w:val="20"/>
                <w:szCs w:val="20"/>
                <w:lang w:val="en-US"/>
              </w:rPr>
              <w:t>)</w:t>
            </w:r>
          </w:p>
        </w:tc>
      </w:tr>
      <w:tr w:rsidR="002D7204" w:rsidRPr="00914FD4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Initial Percentage</w:t>
            </w:r>
          </w:p>
        </w:tc>
        <w:tc>
          <w:tcPr>
            <w:tcW w:w="7483" w:type="dxa"/>
          </w:tcPr>
          <w:p w:rsidR="002D7204" w:rsidRPr="0023329D" w:rsidRDefault="002D7204" w:rsidP="002D7204">
            <w:pPr>
              <w:keepLines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  <w:r w:rsidRPr="0023329D">
              <w:rPr>
                <w:sz w:val="20"/>
                <w:szCs w:val="20"/>
                <w:lang w:val="en-US"/>
              </w:rPr>
              <w:t>%</w:t>
            </w:r>
          </w:p>
        </w:tc>
      </w:tr>
      <w:tr w:rsidR="002D7204" w:rsidRPr="00AE2DC5" w:rsidTr="004E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C7411" w:rsidRDefault="002D7204" w:rsidP="002D7204">
            <w:pPr>
              <w:keepLines/>
              <w:widowControl w:val="0"/>
              <w:rPr>
                <w:b/>
                <w:iCs/>
                <w:sz w:val="20"/>
                <w:szCs w:val="20"/>
                <w:lang w:val="en-US"/>
              </w:rPr>
            </w:pPr>
            <w:r w:rsidRPr="002C7411">
              <w:rPr>
                <w:b/>
                <w:iCs/>
                <w:sz w:val="20"/>
                <w:szCs w:val="20"/>
                <w:lang w:val="en-US"/>
              </w:rPr>
              <w:t>Digital Amount</w:t>
            </w:r>
          </w:p>
        </w:tc>
        <w:tc>
          <w:tcPr>
            <w:tcW w:w="7483" w:type="dxa"/>
          </w:tcPr>
          <w:p w:rsidR="002D7204" w:rsidRDefault="002D7204" w:rsidP="002D7204">
            <w:pPr>
              <w:keepLines/>
              <w:widowControl w:val="0"/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Digital Event occurring if, in the Digital Valuation Period, the closing </w:t>
            </w:r>
            <w:r w:rsidR="00B05C28">
              <w:rPr>
                <w:sz w:val="20"/>
                <w:szCs w:val="20"/>
                <w:lang w:val="en-US"/>
              </w:rPr>
              <w:t>level</w:t>
            </w:r>
            <w:r>
              <w:rPr>
                <w:sz w:val="20"/>
                <w:szCs w:val="20"/>
                <w:lang w:val="en-US"/>
              </w:rPr>
              <w:t xml:space="preserve"> of the </w:t>
            </w:r>
            <w:r w:rsidRPr="002E74DE">
              <w:rPr>
                <w:b/>
                <w:sz w:val="20"/>
                <w:szCs w:val="20"/>
                <w:lang w:val="en-US"/>
              </w:rPr>
              <w:t>Worst Of Underlying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(i.e. the Underlying with the worst “Performance”) is </w:t>
            </w:r>
            <w:r>
              <w:rPr>
                <w:b/>
                <w:sz w:val="20"/>
                <w:szCs w:val="20"/>
                <w:lang w:val="en-US"/>
              </w:rPr>
              <w:t>equal to or higher than</w:t>
            </w:r>
            <w:r>
              <w:rPr>
                <w:sz w:val="20"/>
                <w:szCs w:val="20"/>
                <w:lang w:val="en-US"/>
              </w:rPr>
              <w:t xml:space="preserve"> the relevant Digital Level. In that case, the Security holders are entitled to receive the payment of the relevant Digital Amount.</w:t>
            </w:r>
          </w:p>
          <w:p w:rsidR="002D7204" w:rsidRDefault="002D7204" w:rsidP="002D72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6F617E">
              <w:rPr>
                <w:sz w:val="20"/>
                <w:szCs w:val="20"/>
                <w:lang w:val="en-US"/>
              </w:rPr>
              <w:t>he Performance for each Underlying will be calculated</w:t>
            </w:r>
            <w:r>
              <w:rPr>
                <w:sz w:val="20"/>
                <w:szCs w:val="20"/>
                <w:lang w:val="en-US"/>
              </w:rPr>
              <w:t xml:space="preserve">, in each </w:t>
            </w:r>
            <w:r w:rsidRPr="002E74DE">
              <w:rPr>
                <w:sz w:val="20"/>
                <w:szCs w:val="20"/>
                <w:lang w:val="en-US" w:eastAsia="en-GB"/>
              </w:rPr>
              <w:t>Digital Valuation Period,</w:t>
            </w:r>
            <w:r w:rsidRPr="006F617E">
              <w:rPr>
                <w:sz w:val="20"/>
                <w:szCs w:val="20"/>
                <w:lang w:val="en-US"/>
              </w:rPr>
              <w:t xml:space="preserve"> as follows: </w:t>
            </w:r>
          </w:p>
          <w:p w:rsidR="002D7204" w:rsidRDefault="002D7204" w:rsidP="002D72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Pr="002E74DE" w:rsidRDefault="002D7204" w:rsidP="002D72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lang w:val="en-US" w:eastAsia="en-GB"/>
              </w:rPr>
            </w:pPr>
            <w:r w:rsidRPr="002E74DE">
              <w:rPr>
                <w:rFonts w:eastAsia="Arial Unicode MS"/>
                <w:i/>
                <w:color w:val="000000"/>
                <w:lang w:val="en-US" w:eastAsia="en-GB"/>
              </w:rPr>
              <w:t>Performance</w:t>
            </w:r>
            <w:r w:rsidRPr="002E74DE">
              <w:rPr>
                <w:rFonts w:eastAsia="Arial Unicode MS"/>
                <w:color w:val="000000"/>
                <w:lang w:val="en-US" w:eastAsia="en-GB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 Unicode MS" w:hAnsi="Cambria Math"/>
                      <w:noProof/>
                      <w:color w:val="000000"/>
                      <w:lang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noProof/>
                      <w:color w:val="000000"/>
                      <w:lang w:val="en-US" w:eastAsia="en-GB"/>
                    </w:rPr>
                    <m:t>RV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noProof/>
                      <w:color w:val="000000"/>
                      <w:lang w:val="en-US" w:eastAsia="en-GB"/>
                    </w:rPr>
                    <m:t>IRV</m:t>
                  </m:r>
                </m:den>
              </m:f>
              <m:r>
                <w:rPr>
                  <w:rFonts w:ascii="Cambria Math" w:eastAsia="Arial Unicode MS" w:hAnsi="Cambria Math"/>
                  <w:noProof/>
                  <w:color w:val="000000"/>
                  <w:lang w:val="en-US" w:eastAsia="en-GB"/>
                </w:rPr>
                <m:t>-1</m:t>
              </m:r>
            </m:oMath>
          </w:p>
          <w:p w:rsidR="002D7204" w:rsidRPr="002E74DE" w:rsidRDefault="002D7204" w:rsidP="002D72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lang w:val="en-US" w:eastAsia="en-GB"/>
              </w:rPr>
            </w:pPr>
          </w:p>
          <w:p w:rsidR="002D7204" w:rsidRDefault="002D7204" w:rsidP="002D7204">
            <w:pPr>
              <w:pStyle w:val="Def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  <w:color w:val="000000"/>
                <w:lang w:eastAsia="en-GB"/>
              </w:rPr>
            </w:pPr>
            <w:r>
              <w:rPr>
                <w:rFonts w:eastAsia="Arial Unicode MS"/>
                <w:color w:val="000000"/>
                <w:lang w:eastAsia="en-GB"/>
              </w:rPr>
              <w:t>"</w:t>
            </w:r>
            <w:r>
              <w:rPr>
                <w:rFonts w:eastAsia="Arial Unicode MS"/>
                <w:b/>
                <w:color w:val="000000"/>
                <w:lang w:eastAsia="en-GB"/>
              </w:rPr>
              <w:t>RV</w:t>
            </w:r>
            <w:r>
              <w:rPr>
                <w:rFonts w:eastAsia="Arial Unicode MS"/>
                <w:color w:val="000000"/>
                <w:lang w:eastAsia="en-GB"/>
              </w:rPr>
              <w:t xml:space="preserve">" means the closing </w:t>
            </w:r>
            <w:r w:rsidR="00B05C28">
              <w:rPr>
                <w:rFonts w:eastAsia="Arial Unicode MS"/>
                <w:color w:val="000000"/>
                <w:lang w:eastAsia="en-GB"/>
              </w:rPr>
              <w:t xml:space="preserve">level </w:t>
            </w:r>
            <w:r>
              <w:rPr>
                <w:rFonts w:eastAsia="Arial Unicode MS"/>
                <w:color w:val="000000"/>
                <w:lang w:eastAsia="en-GB"/>
              </w:rPr>
              <w:t xml:space="preserve">of the Underlying in each Digital Valuation Period, </w:t>
            </w:r>
          </w:p>
          <w:p w:rsidR="002D7204" w:rsidRPr="002E74DE" w:rsidRDefault="002D7204" w:rsidP="002D7204">
            <w:pPr>
              <w:pStyle w:val="DefHe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/>
                <w:color w:val="000000"/>
                <w:lang w:eastAsia="en-GB"/>
              </w:rPr>
              <w:t>"</w:t>
            </w:r>
            <w:r>
              <w:rPr>
                <w:rFonts w:eastAsia="Arial Unicode MS"/>
                <w:b/>
                <w:color w:val="000000"/>
                <w:lang w:eastAsia="en-GB"/>
              </w:rPr>
              <w:t>IRV</w:t>
            </w:r>
            <w:r>
              <w:rPr>
                <w:rFonts w:eastAsia="Arial Unicode MS"/>
                <w:color w:val="000000"/>
                <w:lang w:eastAsia="en-GB"/>
              </w:rPr>
              <w:t>" means the Initial Reference Value of the Underlying.</w:t>
            </w:r>
          </w:p>
          <w:p w:rsidR="002D7204" w:rsidRDefault="002D7204" w:rsidP="002D7204">
            <w:pPr>
              <w:keepLines/>
              <w:widowControl w:val="0"/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1529"/>
              <w:gridCol w:w="1119"/>
              <w:gridCol w:w="1325"/>
              <w:gridCol w:w="1325"/>
            </w:tblGrid>
            <w:tr w:rsidR="00BA31E4" w:rsidRPr="00F524B2" w:rsidTr="00CB0294">
              <w:tc>
                <w:tcPr>
                  <w:tcW w:w="1324" w:type="dxa"/>
                  <w:vAlign w:val="center"/>
                </w:tcPr>
                <w:p w:rsidR="00BA31E4" w:rsidRDefault="00BA31E4" w:rsidP="002D7204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 w:eastAsia="en-GB"/>
                    </w:rPr>
                    <w:t>Digital Valuation Period</w:t>
                  </w:r>
                </w:p>
              </w:tc>
              <w:tc>
                <w:tcPr>
                  <w:tcW w:w="1529" w:type="dxa"/>
                  <w:vAlign w:val="center"/>
                </w:tcPr>
                <w:p w:rsidR="00BA31E4" w:rsidRDefault="00BA31E4" w:rsidP="002D7204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  <w:lang w:val="en-GB" w:eastAsia="en-GB"/>
                    </w:rPr>
                    <w:t>Digital Level</w:t>
                  </w:r>
                </w:p>
              </w:tc>
              <w:tc>
                <w:tcPr>
                  <w:tcW w:w="1119" w:type="dxa"/>
                  <w:vAlign w:val="center"/>
                </w:tcPr>
                <w:p w:rsidR="00BA31E4" w:rsidRDefault="00BA31E4" w:rsidP="002D7204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  <w:lang w:val="en-GB" w:eastAsia="en-GB"/>
                    </w:rPr>
                    <w:t>Digital Amount</w:t>
                  </w:r>
                </w:p>
              </w:tc>
              <w:tc>
                <w:tcPr>
                  <w:tcW w:w="1325" w:type="dxa"/>
                  <w:vAlign w:val="center"/>
                </w:tcPr>
                <w:p w:rsidR="00BA31E4" w:rsidRDefault="00BA31E4" w:rsidP="002D7204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GB" w:eastAsia="en-GB"/>
                    </w:rPr>
                    <w:t>Digital Amount Payment Date</w:t>
                  </w:r>
                </w:p>
              </w:tc>
              <w:tc>
                <w:tcPr>
                  <w:tcW w:w="1325" w:type="dxa"/>
                </w:tcPr>
                <w:p w:rsidR="00BA31E4" w:rsidRDefault="00BA31E4" w:rsidP="002D7204">
                  <w:pPr>
                    <w:keepLines/>
                    <w:widowControl w:val="0"/>
                    <w:spacing w:before="120" w:after="120"/>
                    <w:jc w:val="center"/>
                    <w:rPr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/>
                      <w:sz w:val="20"/>
                      <w:szCs w:val="20"/>
                      <w:lang w:val="en-GB" w:eastAsia="en-GB"/>
                    </w:rPr>
                    <w:t>Record Date/First Ex Date/Last Cum Date</w:t>
                  </w:r>
                </w:p>
              </w:tc>
            </w:tr>
            <w:tr w:rsidR="00F524B2" w:rsidRPr="00CF0FAA" w:rsidTr="00F524B2">
              <w:trPr>
                <w:trHeight w:val="481"/>
              </w:trPr>
              <w:tc>
                <w:tcPr>
                  <w:tcW w:w="1324" w:type="dxa"/>
                  <w:vAlign w:val="center"/>
                </w:tcPr>
                <w:p w:rsidR="00F524B2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30/08/2019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75</w:t>
                  </w:r>
                  <w:r w:rsidRPr="00AA5F35">
                    <w:rPr>
                      <w:sz w:val="20"/>
                      <w:szCs w:val="20"/>
                      <w:lang w:val="en-US"/>
                    </w:rPr>
                    <w:t>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06/09/2019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02/12/2019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09/12/2019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02/03/2020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09/03/2020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01/06/2020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08/06/2020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31/08/2020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07/09/2020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30/11/2020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07/12/2020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01/03/2021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D53E5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08/03/2021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RPr="00CF0FAA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31/05/2021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9673D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07/06/2021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30/08/2021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9673D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06/09/2021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30/11/2021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9673D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07/12/2021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28/02/2022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CF0FA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9673D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07/03/2022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30/05/2022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47EA9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06/06/2022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30/08/2022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47EA9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06/09/2022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30/11/2022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47EA9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07/12/2022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28/02/2023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C47EA9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07/03/2023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30/05/2023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B08DC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06/06/2023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30/08/2023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B08DC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06/09/2023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30/11/2023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B08DC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07/12/2023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29/02/2024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2B08DC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07/03/2024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30/05/2024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32A48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06/06/2024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30/08/2024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32A48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06/09/2024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02/12/2024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32A48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09/12/2024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28/02/2025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32A48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07/03/2025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E16AA">
                    <w:rPr>
                      <w:sz w:val="20"/>
                      <w:szCs w:val="20"/>
                      <w:lang w:val="en-US"/>
                    </w:rPr>
                    <w:t>[…]</w:t>
                  </w:r>
                </w:p>
              </w:tc>
            </w:tr>
            <w:tr w:rsidR="00F524B2" w:rsidTr="00F524B2">
              <w:tc>
                <w:tcPr>
                  <w:tcW w:w="1324" w:type="dxa"/>
                  <w:vAlign w:val="center"/>
                </w:tcPr>
                <w:p w:rsidR="00F524B2" w:rsidRPr="00676F15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76F15">
                    <w:rPr>
                      <w:sz w:val="20"/>
                      <w:szCs w:val="20"/>
                      <w:lang w:val="en-US"/>
                    </w:rPr>
                    <w:t>30/05/2025</w:t>
                  </w:r>
                </w:p>
              </w:tc>
              <w:tc>
                <w:tcPr>
                  <w:tcW w:w="1529" w:type="dxa"/>
                  <w:vAlign w:val="center"/>
                </w:tcPr>
                <w:p w:rsidR="00F524B2" w:rsidRPr="0053517A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32A48">
                    <w:rPr>
                      <w:sz w:val="20"/>
                      <w:szCs w:val="20"/>
                      <w:lang w:val="en-US"/>
                    </w:rPr>
                    <w:t>75% of IRV</w:t>
                  </w:r>
                </w:p>
              </w:tc>
              <w:tc>
                <w:tcPr>
                  <w:tcW w:w="1119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7460D2">
                    <w:rPr>
                      <w:sz w:val="20"/>
                      <w:szCs w:val="20"/>
                      <w:lang w:val="en-US"/>
                    </w:rPr>
                    <w:t>10.00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F524B2">
                    <w:rPr>
                      <w:sz w:val="20"/>
                      <w:szCs w:val="20"/>
                      <w:lang w:val="en-US"/>
                    </w:rPr>
                    <w:t>06/06/2025</w:t>
                  </w:r>
                </w:p>
              </w:tc>
              <w:tc>
                <w:tcPr>
                  <w:tcW w:w="1325" w:type="dxa"/>
                </w:tcPr>
                <w:p w:rsidR="00F524B2" w:rsidRPr="00E43F10" w:rsidRDefault="00F524B2" w:rsidP="00832B15">
                  <w:pPr>
                    <w:keepLines/>
                    <w:widowControl w:val="0"/>
                    <w:spacing w:before="120" w:after="12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n.a.</w:t>
                  </w:r>
                </w:p>
              </w:tc>
            </w:tr>
          </w:tbl>
          <w:p w:rsidR="002D7204" w:rsidRPr="002E74DE" w:rsidRDefault="002D7204" w:rsidP="002D7204">
            <w:pPr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</w:p>
          <w:p w:rsidR="002D7204" w:rsidRPr="00727ABB" w:rsidRDefault="002D7204" w:rsidP="002D7204">
            <w:pPr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</w:tr>
      <w:tr w:rsidR="002D7204" w:rsidRPr="00F524B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23329D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23329D">
              <w:rPr>
                <w:b/>
                <w:iCs/>
                <w:sz w:val="20"/>
                <w:szCs w:val="20"/>
                <w:lang w:val="en-US"/>
              </w:rPr>
              <w:lastRenderedPageBreak/>
              <w:t xml:space="preserve">Barrier Event </w:t>
            </w:r>
          </w:p>
        </w:tc>
        <w:tc>
          <w:tcPr>
            <w:tcW w:w="7483" w:type="dxa"/>
          </w:tcPr>
          <w:p w:rsidR="002D7204" w:rsidRPr="0023329D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3329D">
              <w:rPr>
                <w:sz w:val="20"/>
                <w:szCs w:val="20"/>
                <w:lang w:val="en-US"/>
              </w:rPr>
              <w:t xml:space="preserve">A Barrier Event occurs if on the </w:t>
            </w:r>
            <w:r w:rsidRPr="002E74DE">
              <w:rPr>
                <w:b/>
                <w:iCs/>
                <w:sz w:val="20"/>
                <w:szCs w:val="20"/>
                <w:lang w:val="en-US"/>
              </w:rPr>
              <w:t>Barrier Event Determination Period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E512CB">
              <w:rPr>
                <w:b/>
                <w:sz w:val="20"/>
                <w:szCs w:val="20"/>
                <w:lang w:val="en-US"/>
              </w:rPr>
              <w:t>equal to the Valuation Date</w:t>
            </w:r>
            <w:r w:rsidRPr="00CC2F1C">
              <w:rPr>
                <w:sz w:val="20"/>
                <w:szCs w:val="20"/>
                <w:lang w:val="en-US"/>
              </w:rPr>
              <w:t xml:space="preserve"> (</w:t>
            </w:r>
            <w:r w:rsidR="00E43F10">
              <w:rPr>
                <w:sz w:val="20"/>
                <w:szCs w:val="20"/>
                <w:lang w:val="en-US"/>
              </w:rPr>
              <w:t>30</w:t>
            </w:r>
            <w:r w:rsidR="001B3EC2">
              <w:rPr>
                <w:sz w:val="20"/>
                <w:szCs w:val="20"/>
                <w:lang w:val="en-US"/>
              </w:rPr>
              <w:t>/0</w:t>
            </w:r>
            <w:r w:rsidR="00A14555">
              <w:rPr>
                <w:sz w:val="20"/>
                <w:szCs w:val="20"/>
                <w:lang w:val="en-US"/>
              </w:rPr>
              <w:t>5</w:t>
            </w:r>
            <w:r w:rsidR="001B3EC2">
              <w:rPr>
                <w:sz w:val="20"/>
                <w:szCs w:val="20"/>
                <w:lang w:val="en-US"/>
              </w:rPr>
              <w:t>/2025</w:t>
            </w:r>
            <w:r w:rsidRPr="00CC2F1C">
              <w:rPr>
                <w:bCs/>
                <w:sz w:val="20"/>
                <w:szCs w:val="20"/>
                <w:lang w:val="en-US"/>
              </w:rPr>
              <w:t>)</w:t>
            </w:r>
            <w:r w:rsidRPr="0023329D">
              <w:rPr>
                <w:sz w:val="20"/>
                <w:szCs w:val="20"/>
                <w:lang w:val="en-US"/>
              </w:rPr>
              <w:t xml:space="preserve"> the FRV of the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E74DE">
              <w:rPr>
                <w:b/>
                <w:sz w:val="20"/>
                <w:szCs w:val="20"/>
                <w:lang w:val="en-US"/>
              </w:rPr>
              <w:t>Worst Of Underlying</w:t>
            </w:r>
            <w:r w:rsidRPr="002332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(i.e. the Underlying with the worst “Performance”) </w:t>
            </w:r>
            <w:r w:rsidRPr="0023329D">
              <w:rPr>
                <w:b/>
                <w:sz w:val="20"/>
                <w:szCs w:val="20"/>
                <w:lang w:val="en-US"/>
              </w:rPr>
              <w:t xml:space="preserve">is </w:t>
            </w:r>
            <w:r>
              <w:rPr>
                <w:b/>
                <w:sz w:val="20"/>
                <w:szCs w:val="20"/>
                <w:lang w:val="en-US"/>
              </w:rPr>
              <w:t>lower</w:t>
            </w:r>
            <w:r w:rsidRPr="0023329D">
              <w:rPr>
                <w:sz w:val="20"/>
                <w:szCs w:val="20"/>
                <w:lang w:val="en-US"/>
              </w:rPr>
              <w:t xml:space="preserve"> than the Barrier Level.</w:t>
            </w:r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6F617E">
              <w:rPr>
                <w:sz w:val="20"/>
                <w:szCs w:val="20"/>
                <w:lang w:val="en-US"/>
              </w:rPr>
              <w:t>he Performance for each Underlying will be calculated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221164">
              <w:rPr>
                <w:b/>
                <w:iCs/>
                <w:sz w:val="20"/>
                <w:szCs w:val="20"/>
                <w:lang w:val="en-US"/>
              </w:rPr>
              <w:t>Barrier Event Determination Period</w:t>
            </w:r>
            <w:r w:rsidRPr="00221164">
              <w:rPr>
                <w:sz w:val="20"/>
                <w:szCs w:val="20"/>
                <w:lang w:val="en-US" w:eastAsia="en-GB"/>
              </w:rPr>
              <w:t>,</w:t>
            </w:r>
            <w:r w:rsidRPr="006F617E">
              <w:rPr>
                <w:sz w:val="20"/>
                <w:szCs w:val="20"/>
                <w:lang w:val="en-US"/>
              </w:rPr>
              <w:t xml:space="preserve"> as follows: </w:t>
            </w:r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Default="002D7204" w:rsidP="002D7204">
            <w:pPr>
              <w:keepLines/>
              <w:widowControl w:val="0"/>
              <w:spacing w:before="120"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58CB">
              <w:rPr>
                <w:rFonts w:eastAsia="Arial Unicode MS"/>
                <w:i/>
                <w:color w:val="000000"/>
                <w:lang w:val="en-US" w:eastAsia="en-GB"/>
              </w:rPr>
              <w:t>Performance</w:t>
            </w:r>
            <w:r w:rsidRPr="001958CB">
              <w:rPr>
                <w:rFonts w:eastAsia="Arial Unicode MS"/>
                <w:color w:val="000000"/>
                <w:lang w:val="en-US" w:eastAsia="en-GB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 Unicode MS" w:hAnsi="Cambria Math"/>
                      <w:noProof/>
                      <w:color w:val="000000"/>
                      <w:lang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noProof/>
                      <w:color w:val="000000"/>
                      <w:lang w:val="en-US" w:eastAsia="en-GB"/>
                    </w:rPr>
                    <m:t>FRV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/>
                      <w:noProof/>
                      <w:color w:val="000000"/>
                      <w:lang w:val="en-US" w:eastAsia="en-GB"/>
                    </w:rPr>
                    <m:t>IRV</m:t>
                  </m:r>
                </m:den>
              </m:f>
              <m:r>
                <w:rPr>
                  <w:rFonts w:ascii="Cambria Math" w:eastAsia="Arial Unicode MS" w:hAnsi="Cambria Math"/>
                  <w:noProof/>
                  <w:color w:val="000000"/>
                  <w:lang w:val="en-US" w:eastAsia="en-GB"/>
                </w:rPr>
                <m:t>-1</m:t>
              </m:r>
            </m:oMath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D7204" w:rsidRDefault="002D7204" w:rsidP="002D7204">
            <w:pPr>
              <w:pStyle w:val="DefHea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  <w:color w:val="000000"/>
                <w:lang w:eastAsia="en-GB"/>
              </w:rPr>
            </w:pPr>
            <w:r>
              <w:rPr>
                <w:rFonts w:eastAsia="Arial Unicode MS"/>
                <w:color w:val="000000"/>
                <w:lang w:eastAsia="en-GB"/>
              </w:rPr>
              <w:t>"</w:t>
            </w:r>
            <w:r>
              <w:rPr>
                <w:rFonts w:eastAsia="Arial Unicode MS"/>
                <w:b/>
                <w:color w:val="000000"/>
                <w:lang w:eastAsia="en-GB"/>
              </w:rPr>
              <w:t>FRV</w:t>
            </w:r>
            <w:r>
              <w:rPr>
                <w:rFonts w:eastAsia="Arial Unicode MS"/>
                <w:color w:val="000000"/>
                <w:lang w:eastAsia="en-GB"/>
              </w:rPr>
              <w:t xml:space="preserve">" means the Final Reference Value of the Underlying, </w:t>
            </w:r>
          </w:p>
          <w:p w:rsidR="002D7204" w:rsidRDefault="002D7204" w:rsidP="002D7204">
            <w:pPr>
              <w:pStyle w:val="DefHea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Arial Unicode MS"/>
                <w:color w:val="000000"/>
                <w:lang w:eastAsia="en-GB"/>
              </w:rPr>
            </w:pPr>
            <w:r>
              <w:rPr>
                <w:rFonts w:eastAsia="Arial Unicode MS"/>
                <w:color w:val="000000"/>
                <w:lang w:eastAsia="en-GB"/>
              </w:rPr>
              <w:t>"</w:t>
            </w:r>
            <w:r>
              <w:rPr>
                <w:rFonts w:eastAsia="Arial Unicode MS"/>
                <w:b/>
                <w:color w:val="000000"/>
                <w:lang w:eastAsia="en-GB"/>
              </w:rPr>
              <w:t>IRV</w:t>
            </w:r>
            <w:r>
              <w:rPr>
                <w:rFonts w:eastAsia="Arial Unicode MS"/>
                <w:color w:val="000000"/>
                <w:lang w:eastAsia="en-GB"/>
              </w:rPr>
              <w:t>" means the Initial Reference Value of the Underlying.</w:t>
            </w:r>
          </w:p>
          <w:p w:rsidR="002D7204" w:rsidRPr="0023329D" w:rsidRDefault="002D7204" w:rsidP="002D7204">
            <w:pPr>
              <w:pStyle w:val="DefHea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204" w:rsidRPr="0019534D" w:rsidTr="00991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EB531E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EB531E">
              <w:rPr>
                <w:b/>
                <w:iCs/>
                <w:sz w:val="20"/>
                <w:szCs w:val="20"/>
                <w:lang w:val="en-US"/>
              </w:rPr>
              <w:t>Barrier Level</w:t>
            </w:r>
          </w:p>
        </w:tc>
        <w:tc>
          <w:tcPr>
            <w:tcW w:w="7483" w:type="dxa"/>
          </w:tcPr>
          <w:p w:rsidR="002D7204" w:rsidRPr="0023329D" w:rsidRDefault="0019534D" w:rsidP="002D7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9534D">
              <w:rPr>
                <w:b/>
                <w:sz w:val="20"/>
                <w:szCs w:val="20"/>
                <w:lang w:val="en-US"/>
              </w:rPr>
              <w:t>50.00</w:t>
            </w:r>
            <w:r w:rsidR="0033155B" w:rsidRPr="0019534D">
              <w:rPr>
                <w:b/>
                <w:sz w:val="20"/>
                <w:szCs w:val="20"/>
                <w:lang w:val="en-US"/>
              </w:rPr>
              <w:t xml:space="preserve"> </w:t>
            </w:r>
            <w:r w:rsidR="002D7204" w:rsidRPr="0019534D">
              <w:rPr>
                <w:b/>
                <w:sz w:val="20"/>
                <w:szCs w:val="20"/>
                <w:lang w:val="en-US"/>
              </w:rPr>
              <w:t xml:space="preserve">% </w:t>
            </w:r>
            <w:r w:rsidR="002D7204" w:rsidRPr="0023329D">
              <w:rPr>
                <w:sz w:val="20"/>
                <w:szCs w:val="20"/>
                <w:lang w:val="en-US"/>
              </w:rPr>
              <w:t xml:space="preserve">* IRV </w:t>
            </w:r>
          </w:p>
        </w:tc>
      </w:tr>
      <w:tr w:rsidR="002D7204" w:rsidRPr="00F524B2" w:rsidTr="004E4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D7204" w:rsidRPr="00914FD4" w:rsidRDefault="002D7204" w:rsidP="002D7204">
            <w:pPr>
              <w:rPr>
                <w:b/>
                <w:iCs/>
                <w:sz w:val="20"/>
                <w:szCs w:val="20"/>
                <w:lang w:val="en-US"/>
              </w:rPr>
            </w:pPr>
            <w:r w:rsidRPr="00914FD4">
              <w:rPr>
                <w:b/>
                <w:iCs/>
                <w:sz w:val="20"/>
                <w:szCs w:val="20"/>
                <w:lang w:val="en-US"/>
              </w:rPr>
              <w:t>Cash Settlement Amount</w:t>
            </w:r>
          </w:p>
        </w:tc>
        <w:tc>
          <w:tcPr>
            <w:tcW w:w="7483" w:type="dxa"/>
          </w:tcPr>
          <w:p w:rsidR="002D7204" w:rsidRPr="00914FD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 w:eastAsia="en-US"/>
              </w:rPr>
            </w:pPr>
          </w:p>
          <w:p w:rsidR="002D7204" w:rsidRPr="0023329D" w:rsidRDefault="00DD690E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Barrier Event has not occurred</w:t>
            </w:r>
            <w:r w:rsidR="002D7204" w:rsidRPr="0023329D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:rsidR="002D7204" w:rsidRPr="0023329D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23329D">
              <w:rPr>
                <w:i/>
                <w:iCs/>
                <w:sz w:val="20"/>
                <w:szCs w:val="20"/>
                <w:lang w:val="en-US"/>
              </w:rPr>
              <w:t>(Initial Percentage x Initial Reference Value x Multiplier) x Minimum Exercise Amount</w:t>
            </w:r>
          </w:p>
          <w:p w:rsidR="002D7204" w:rsidRPr="0023329D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</w:p>
          <w:p w:rsidR="00DD690E" w:rsidRDefault="00DD690E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Barrier Event has occurred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:rsidR="002D7204" w:rsidRDefault="002D7204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23329D">
              <w:rPr>
                <w:i/>
                <w:iCs/>
                <w:sz w:val="20"/>
                <w:szCs w:val="20"/>
                <w:lang w:val="en-US"/>
              </w:rPr>
              <w:t>Final Reference Value x Multiplier</w:t>
            </w:r>
            <w:r>
              <w:rPr>
                <w:i/>
                <w:iCs/>
                <w:sz w:val="20"/>
                <w:szCs w:val="20"/>
                <w:lang w:val="en-US"/>
              </w:rPr>
              <w:t>)</w:t>
            </w:r>
            <w:r w:rsidRPr="0023329D">
              <w:rPr>
                <w:i/>
                <w:iCs/>
                <w:sz w:val="20"/>
                <w:szCs w:val="20"/>
                <w:lang w:val="en-US"/>
              </w:rPr>
              <w:t xml:space="preserve"> x Minimum Exercise Amount</w:t>
            </w:r>
          </w:p>
          <w:p w:rsidR="002C7411" w:rsidRDefault="002C7411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</w:p>
          <w:p w:rsidR="002C7411" w:rsidRDefault="002C7411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bookmarkStart w:id="4" w:name="_GoBack"/>
            <w:bookmarkEnd w:id="4"/>
          </w:p>
          <w:p w:rsidR="002C7411" w:rsidRPr="0023329D" w:rsidRDefault="002C7411" w:rsidP="002D720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/>
              </w:rPr>
            </w:pPr>
            <w:r w:rsidRPr="00BD7AA8">
              <w:rPr>
                <w:i/>
                <w:sz w:val="20"/>
                <w:szCs w:val="20"/>
                <w:lang w:val="en-US"/>
              </w:rPr>
              <w:t>Where</w:t>
            </w:r>
            <w:r w:rsidRPr="00BD7AA8">
              <w:rPr>
                <w:sz w:val="20"/>
                <w:szCs w:val="20"/>
                <w:lang w:val="en-US"/>
              </w:rPr>
              <w:t>: Initial Reference Value, Final Reference Value, Multiplier refer to the Worst Of Underlying</w:t>
            </w:r>
          </w:p>
          <w:p w:rsidR="002D7204" w:rsidRPr="00914FD4" w:rsidRDefault="002D7204" w:rsidP="002D7204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  <w:sz w:val="20"/>
                <w:szCs w:val="20"/>
                <w:lang w:val="en-US" w:eastAsia="en-US"/>
              </w:rPr>
            </w:pPr>
          </w:p>
        </w:tc>
      </w:tr>
      <w:tr w:rsidR="002C7411" w:rsidRPr="00F524B2" w:rsidTr="00991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C7411" w:rsidRPr="00914FD4" w:rsidRDefault="002C7411" w:rsidP="002C7411">
            <w:pPr>
              <w:jc w:val="both"/>
              <w:rPr>
                <w:b/>
                <w:iCs/>
                <w:sz w:val="20"/>
                <w:szCs w:val="20"/>
              </w:rPr>
            </w:pPr>
            <w:r w:rsidRPr="00914FD4">
              <w:rPr>
                <w:b/>
                <w:iCs/>
                <w:sz w:val="20"/>
                <w:szCs w:val="20"/>
              </w:rPr>
              <w:t>Multiplier</w:t>
            </w:r>
          </w:p>
        </w:tc>
        <w:tc>
          <w:tcPr>
            <w:tcW w:w="7483" w:type="dxa"/>
          </w:tcPr>
          <w:p w:rsidR="002C7411" w:rsidRDefault="002C7411" w:rsidP="002C741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2C7411" w:rsidRDefault="002C7411" w:rsidP="002C741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F76D6">
              <w:rPr>
                <w:sz w:val="20"/>
                <w:szCs w:val="20"/>
                <w:lang w:val="en-US"/>
              </w:rPr>
              <w:t>Issue price divided by</w:t>
            </w:r>
            <w:r>
              <w:rPr>
                <w:sz w:val="20"/>
                <w:szCs w:val="20"/>
                <w:lang w:val="en-US"/>
              </w:rPr>
              <w:t xml:space="preserve"> the </w:t>
            </w:r>
            <w:r w:rsidRPr="00511AD0">
              <w:rPr>
                <w:sz w:val="20"/>
                <w:szCs w:val="20"/>
                <w:lang w:val="en-US"/>
              </w:rPr>
              <w:t>Initial Reference Value</w:t>
            </w:r>
            <w:r>
              <w:rPr>
                <w:sz w:val="20"/>
                <w:szCs w:val="20"/>
                <w:lang w:val="en-US"/>
              </w:rPr>
              <w:t>, for each Underlying</w:t>
            </w:r>
          </w:p>
          <w:p w:rsidR="002C7411" w:rsidRPr="00021B39" w:rsidRDefault="002C7411" w:rsidP="002C7411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C7411" w:rsidRPr="00F524B2" w:rsidTr="00991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C7411" w:rsidRDefault="002C7411" w:rsidP="002C7411">
            <w:pPr>
              <w:rPr>
                <w:b/>
                <w:iCs/>
                <w:sz w:val="20"/>
                <w:szCs w:val="20"/>
                <w:lang w:val="en-US"/>
              </w:rPr>
            </w:pPr>
            <w:r>
              <w:rPr>
                <w:b/>
                <w:iCs/>
                <w:sz w:val="20"/>
                <w:szCs w:val="20"/>
                <w:lang w:val="en-US"/>
              </w:rPr>
              <w:t xml:space="preserve">Business Day Convention  </w:t>
            </w:r>
          </w:p>
        </w:tc>
        <w:tc>
          <w:tcPr>
            <w:tcW w:w="7483" w:type="dxa"/>
          </w:tcPr>
          <w:p w:rsidR="002C7411" w:rsidRPr="00ED5788" w:rsidRDefault="002C7411" w:rsidP="002C74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3155B">
              <w:rPr>
                <w:sz w:val="20"/>
                <w:szCs w:val="20"/>
                <w:lang w:val="en-US"/>
              </w:rPr>
              <w:t>Following Business Day (basket basis, i.e. all in block)</w:t>
            </w:r>
          </w:p>
        </w:tc>
      </w:tr>
      <w:tr w:rsidR="002C7411" w:rsidRPr="00227117" w:rsidTr="002C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C7411" w:rsidRDefault="002C7411" w:rsidP="002C7411">
            <w:pPr>
              <w:rPr>
                <w:b/>
                <w:iCs/>
                <w:sz w:val="20"/>
                <w:szCs w:val="20"/>
                <w:lang w:val="en-US"/>
              </w:rPr>
            </w:pPr>
            <w:r>
              <w:rPr>
                <w:b/>
                <w:iCs/>
                <w:sz w:val="20"/>
                <w:szCs w:val="20"/>
                <w:lang w:val="en-US"/>
              </w:rPr>
              <w:t xml:space="preserve">Governing Law   </w:t>
            </w:r>
          </w:p>
        </w:tc>
        <w:tc>
          <w:tcPr>
            <w:tcW w:w="7483" w:type="dxa"/>
          </w:tcPr>
          <w:p w:rsidR="002C7411" w:rsidRPr="00ED5788" w:rsidRDefault="002C7411" w:rsidP="002C74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English Law </w:t>
            </w:r>
          </w:p>
        </w:tc>
      </w:tr>
      <w:tr w:rsidR="002C7411" w:rsidRPr="00227117" w:rsidTr="002C7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5" w:type="dxa"/>
          </w:tcPr>
          <w:p w:rsidR="002C7411" w:rsidRPr="00931149" w:rsidRDefault="002C7411" w:rsidP="002C7411">
            <w:pPr>
              <w:rPr>
                <w:b/>
                <w:iCs/>
                <w:sz w:val="20"/>
                <w:szCs w:val="20"/>
                <w:lang w:val="en-US"/>
              </w:rPr>
            </w:pPr>
            <w:r w:rsidRPr="00931149">
              <w:rPr>
                <w:b/>
                <w:iCs/>
                <w:sz w:val="20"/>
                <w:szCs w:val="20"/>
                <w:lang w:val="en-US"/>
              </w:rPr>
              <w:t>Structuring fees</w:t>
            </w:r>
          </w:p>
        </w:tc>
        <w:tc>
          <w:tcPr>
            <w:tcW w:w="7483" w:type="dxa"/>
          </w:tcPr>
          <w:p w:rsidR="002C7411" w:rsidRPr="00931149" w:rsidRDefault="00432DEB" w:rsidP="002C74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highlight w:val="yellow"/>
                <w:lang w:val="en-US"/>
              </w:rPr>
              <w:t>TBD</w:t>
            </w:r>
            <w:r w:rsidR="002C7411" w:rsidRPr="00E62D0D">
              <w:rPr>
                <w:sz w:val="20"/>
                <w:szCs w:val="20"/>
                <w:highlight w:val="yellow"/>
                <w:lang w:val="en-US"/>
              </w:rPr>
              <w:t>%</w:t>
            </w:r>
          </w:p>
        </w:tc>
      </w:tr>
    </w:tbl>
    <w:p w:rsidR="001A14D4" w:rsidRPr="00991C88" w:rsidRDefault="001A14D4">
      <w:pPr>
        <w:rPr>
          <w:sz w:val="20"/>
          <w:szCs w:val="20"/>
        </w:rPr>
      </w:pPr>
    </w:p>
    <w:sectPr w:rsidR="001A14D4" w:rsidRPr="00991C88" w:rsidSect="003A315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Borders w:offsetFrom="page">
        <w:top w:val="single" w:sz="4" w:space="24" w:color="FF6600"/>
        <w:left w:val="single" w:sz="4" w:space="24" w:color="FF6600"/>
        <w:bottom w:val="single" w:sz="4" w:space="24" w:color="FF6600"/>
        <w:right w:val="single" w:sz="4" w:space="24" w:color="FF6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4B" w:rsidRDefault="0035624B">
      <w:r>
        <w:separator/>
      </w:r>
    </w:p>
  </w:endnote>
  <w:endnote w:type="continuationSeparator" w:id="0">
    <w:p w:rsidR="0035624B" w:rsidRDefault="0035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S Investment Bank">
    <w:altName w:val="MingLiU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54E" w:rsidRPr="00B45A7F" w:rsidRDefault="0023654E" w:rsidP="00DD690E">
    <w:pPr>
      <w:pStyle w:val="BodyText"/>
      <w:spacing w:after="40"/>
      <w:ind w:right="120"/>
      <w:jc w:val="left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4B" w:rsidRDefault="0035624B">
      <w:r>
        <w:separator/>
      </w:r>
    </w:p>
  </w:footnote>
  <w:footnote w:type="continuationSeparator" w:id="0">
    <w:p w:rsidR="0035624B" w:rsidRDefault="00356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54E" w:rsidRPr="0068617F" w:rsidRDefault="00B17A3B" w:rsidP="00C3677C">
    <w:pPr>
      <w:pStyle w:val="Header"/>
      <w:jc w:val="right"/>
      <w:rPr>
        <w:b/>
        <w:lang w:val="en-US"/>
      </w:rPr>
    </w:pPr>
    <w:r>
      <w:rPr>
        <w:noProof/>
        <w:lang w:val="en-GB" w:eastAsia="en-GB"/>
      </w:rPr>
      <w:drawing>
        <wp:inline distT="0" distB="0" distL="0" distR="0" wp14:anchorId="20D59350" wp14:editId="3C81185D">
          <wp:extent cx="1678940" cy="303530"/>
          <wp:effectExtent l="0" t="0" r="0" b="1270"/>
          <wp:docPr id="2" name="Picture 2" descr="Banca_IM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ca_IM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940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3654E" w:rsidRPr="0068617F">
      <w:rPr>
        <w:b/>
        <w:lang w:val="en-US"/>
      </w:rPr>
      <w:t xml:space="preserve">                                           </w:t>
    </w:r>
    <w:r w:rsidR="0023654E" w:rsidRPr="0068617F">
      <w:rPr>
        <w:b/>
        <w:lang w:val="en-US"/>
      </w:rPr>
      <w:tab/>
      <w:t xml:space="preserve">                 </w:t>
    </w:r>
    <w:r w:rsidR="0023654E" w:rsidRPr="0068617F">
      <w:rPr>
        <w:b/>
        <w:lang w:val="en-US"/>
      </w:rPr>
      <w:tab/>
    </w:r>
    <w:r w:rsidR="0023654E" w:rsidRPr="0068617F">
      <w:rPr>
        <w:b/>
        <w:lang w:val="en-US"/>
      </w:rPr>
      <w:tab/>
    </w:r>
  </w:p>
  <w:p w:rsidR="0061520F" w:rsidRPr="00F7175E" w:rsidRDefault="0023654E" w:rsidP="000A0DE1">
    <w:pPr>
      <w:pStyle w:val="Header"/>
      <w:jc w:val="right"/>
      <w:rPr>
        <w:lang w:val="en-US"/>
      </w:rPr>
    </w:pPr>
    <w:r w:rsidRPr="0068617F">
      <w:rPr>
        <w:b/>
        <w:lang w:val="en-US"/>
      </w:rPr>
      <w:tab/>
    </w:r>
  </w:p>
  <w:p w:rsidR="00832E5E" w:rsidRPr="0068617F" w:rsidRDefault="00832E5E" w:rsidP="0061520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6B0"/>
    <w:multiLevelType w:val="hybridMultilevel"/>
    <w:tmpl w:val="3798215E"/>
    <w:lvl w:ilvl="0" w:tplc="04100017">
      <w:start w:val="1"/>
      <w:numFmt w:val="lowerLetter"/>
      <w:lvlText w:val="%1)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392E6B33"/>
    <w:multiLevelType w:val="hybridMultilevel"/>
    <w:tmpl w:val="7ECCCAD8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36E1D0F"/>
    <w:multiLevelType w:val="multilevel"/>
    <w:tmpl w:val="11E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118F3"/>
    <w:multiLevelType w:val="hybridMultilevel"/>
    <w:tmpl w:val="ACDE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B4E3E"/>
    <w:multiLevelType w:val="multilevel"/>
    <w:tmpl w:val="A30C76F8"/>
    <w:lvl w:ilvl="0">
      <w:start w:val="1"/>
      <w:numFmt w:val="decimal"/>
      <w:pStyle w:val="AOHead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OHead2"/>
      <w:lvlText w:val="2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</w:rPr>
    </w:lvl>
    <w:lvl w:ilvl="2">
      <w:start w:val="1"/>
      <w:numFmt w:val="lowerLetter"/>
      <w:pStyle w:val="AOHead2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C661DAB"/>
    <w:multiLevelType w:val="multilevel"/>
    <w:tmpl w:val="C8F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12"/>
    <w:rsid w:val="0000132D"/>
    <w:rsid w:val="00007860"/>
    <w:rsid w:val="00010586"/>
    <w:rsid w:val="00010EC1"/>
    <w:rsid w:val="000117CF"/>
    <w:rsid w:val="00012773"/>
    <w:rsid w:val="00020016"/>
    <w:rsid w:val="000212CE"/>
    <w:rsid w:val="000221BE"/>
    <w:rsid w:val="00022279"/>
    <w:rsid w:val="00022619"/>
    <w:rsid w:val="000250E9"/>
    <w:rsid w:val="00027CEA"/>
    <w:rsid w:val="00031DBF"/>
    <w:rsid w:val="0003218E"/>
    <w:rsid w:val="00033482"/>
    <w:rsid w:val="00034B96"/>
    <w:rsid w:val="00037037"/>
    <w:rsid w:val="0004295F"/>
    <w:rsid w:val="00045551"/>
    <w:rsid w:val="0005171A"/>
    <w:rsid w:val="00052A06"/>
    <w:rsid w:val="0005370C"/>
    <w:rsid w:val="00053727"/>
    <w:rsid w:val="000563FE"/>
    <w:rsid w:val="00061C93"/>
    <w:rsid w:val="00063CD4"/>
    <w:rsid w:val="00065A57"/>
    <w:rsid w:val="00074836"/>
    <w:rsid w:val="00074FB9"/>
    <w:rsid w:val="00075131"/>
    <w:rsid w:val="00076830"/>
    <w:rsid w:val="00081C93"/>
    <w:rsid w:val="00082377"/>
    <w:rsid w:val="00082BAB"/>
    <w:rsid w:val="00083486"/>
    <w:rsid w:val="000863EC"/>
    <w:rsid w:val="00090D9F"/>
    <w:rsid w:val="00091CAE"/>
    <w:rsid w:val="00091F28"/>
    <w:rsid w:val="000920CA"/>
    <w:rsid w:val="00092458"/>
    <w:rsid w:val="00093506"/>
    <w:rsid w:val="00093DE7"/>
    <w:rsid w:val="00094FB5"/>
    <w:rsid w:val="0009518A"/>
    <w:rsid w:val="000A0DE1"/>
    <w:rsid w:val="000A1171"/>
    <w:rsid w:val="000A496D"/>
    <w:rsid w:val="000B2E52"/>
    <w:rsid w:val="000B32D3"/>
    <w:rsid w:val="000B506D"/>
    <w:rsid w:val="000B51E6"/>
    <w:rsid w:val="000C0742"/>
    <w:rsid w:val="000C272E"/>
    <w:rsid w:val="000C2AE9"/>
    <w:rsid w:val="000C5924"/>
    <w:rsid w:val="000C7B40"/>
    <w:rsid w:val="000C7FEB"/>
    <w:rsid w:val="000D3101"/>
    <w:rsid w:val="000D4622"/>
    <w:rsid w:val="000D53A9"/>
    <w:rsid w:val="000E02E1"/>
    <w:rsid w:val="000E16B7"/>
    <w:rsid w:val="000E1846"/>
    <w:rsid w:val="000E1A88"/>
    <w:rsid w:val="000E329C"/>
    <w:rsid w:val="000E3578"/>
    <w:rsid w:val="000E3A63"/>
    <w:rsid w:val="000E476C"/>
    <w:rsid w:val="000E4C57"/>
    <w:rsid w:val="000F195A"/>
    <w:rsid w:val="000F2805"/>
    <w:rsid w:val="000F2983"/>
    <w:rsid w:val="000F6569"/>
    <w:rsid w:val="000F747E"/>
    <w:rsid w:val="000F79C8"/>
    <w:rsid w:val="00101677"/>
    <w:rsid w:val="00102024"/>
    <w:rsid w:val="0010395E"/>
    <w:rsid w:val="00105C17"/>
    <w:rsid w:val="00106C54"/>
    <w:rsid w:val="00107D09"/>
    <w:rsid w:val="001131F4"/>
    <w:rsid w:val="0011378F"/>
    <w:rsid w:val="001149F8"/>
    <w:rsid w:val="001159EF"/>
    <w:rsid w:val="00115C00"/>
    <w:rsid w:val="00116030"/>
    <w:rsid w:val="00117622"/>
    <w:rsid w:val="00117A6D"/>
    <w:rsid w:val="00120319"/>
    <w:rsid w:val="00122CD8"/>
    <w:rsid w:val="0012393A"/>
    <w:rsid w:val="00124B15"/>
    <w:rsid w:val="00126734"/>
    <w:rsid w:val="00126FA3"/>
    <w:rsid w:val="001274DD"/>
    <w:rsid w:val="00130750"/>
    <w:rsid w:val="00133012"/>
    <w:rsid w:val="00141845"/>
    <w:rsid w:val="0014471C"/>
    <w:rsid w:val="001468A2"/>
    <w:rsid w:val="001474A8"/>
    <w:rsid w:val="001501B2"/>
    <w:rsid w:val="00151105"/>
    <w:rsid w:val="00151466"/>
    <w:rsid w:val="00152339"/>
    <w:rsid w:val="00152B79"/>
    <w:rsid w:val="00153034"/>
    <w:rsid w:val="001554C3"/>
    <w:rsid w:val="00156C46"/>
    <w:rsid w:val="001575DC"/>
    <w:rsid w:val="0015763D"/>
    <w:rsid w:val="00163205"/>
    <w:rsid w:val="00163CC3"/>
    <w:rsid w:val="00165D3B"/>
    <w:rsid w:val="00172110"/>
    <w:rsid w:val="00172DDD"/>
    <w:rsid w:val="00181C98"/>
    <w:rsid w:val="001834A8"/>
    <w:rsid w:val="0018554E"/>
    <w:rsid w:val="00185E6D"/>
    <w:rsid w:val="0018660D"/>
    <w:rsid w:val="00190073"/>
    <w:rsid w:val="001911D3"/>
    <w:rsid w:val="00193207"/>
    <w:rsid w:val="00193D6F"/>
    <w:rsid w:val="0019534D"/>
    <w:rsid w:val="0019642C"/>
    <w:rsid w:val="001969E8"/>
    <w:rsid w:val="001A14D4"/>
    <w:rsid w:val="001A1580"/>
    <w:rsid w:val="001A16D1"/>
    <w:rsid w:val="001A36FA"/>
    <w:rsid w:val="001A77DD"/>
    <w:rsid w:val="001A7E4B"/>
    <w:rsid w:val="001B39A0"/>
    <w:rsid w:val="001B3EC2"/>
    <w:rsid w:val="001B7E03"/>
    <w:rsid w:val="001C0A32"/>
    <w:rsid w:val="001C0A6A"/>
    <w:rsid w:val="001C0F20"/>
    <w:rsid w:val="001C1829"/>
    <w:rsid w:val="001C2185"/>
    <w:rsid w:val="001C2633"/>
    <w:rsid w:val="001C334E"/>
    <w:rsid w:val="001C6A85"/>
    <w:rsid w:val="001C7BF3"/>
    <w:rsid w:val="001D353E"/>
    <w:rsid w:val="001D758A"/>
    <w:rsid w:val="001E058F"/>
    <w:rsid w:val="001E0737"/>
    <w:rsid w:val="001E182B"/>
    <w:rsid w:val="001E18B6"/>
    <w:rsid w:val="001E19D0"/>
    <w:rsid w:val="001E1AD5"/>
    <w:rsid w:val="001E58BE"/>
    <w:rsid w:val="001E5F2E"/>
    <w:rsid w:val="001F213F"/>
    <w:rsid w:val="001F7877"/>
    <w:rsid w:val="0020060D"/>
    <w:rsid w:val="00200E1D"/>
    <w:rsid w:val="00203150"/>
    <w:rsid w:val="0020358F"/>
    <w:rsid w:val="00207776"/>
    <w:rsid w:val="002108DA"/>
    <w:rsid w:val="00211AB5"/>
    <w:rsid w:val="002140B3"/>
    <w:rsid w:val="002143FB"/>
    <w:rsid w:val="002144F8"/>
    <w:rsid w:val="002173A9"/>
    <w:rsid w:val="002212EC"/>
    <w:rsid w:val="0022354A"/>
    <w:rsid w:val="00224386"/>
    <w:rsid w:val="00225695"/>
    <w:rsid w:val="00226185"/>
    <w:rsid w:val="00227117"/>
    <w:rsid w:val="0023387A"/>
    <w:rsid w:val="0023654E"/>
    <w:rsid w:val="002410EB"/>
    <w:rsid w:val="00244A6E"/>
    <w:rsid w:val="00246DAA"/>
    <w:rsid w:val="00252819"/>
    <w:rsid w:val="002537B0"/>
    <w:rsid w:val="00253A8C"/>
    <w:rsid w:val="00254AB5"/>
    <w:rsid w:val="0025507B"/>
    <w:rsid w:val="002628BF"/>
    <w:rsid w:val="00263A96"/>
    <w:rsid w:val="00265CFC"/>
    <w:rsid w:val="002671DF"/>
    <w:rsid w:val="002678CD"/>
    <w:rsid w:val="00270DD6"/>
    <w:rsid w:val="00273A9F"/>
    <w:rsid w:val="002741B0"/>
    <w:rsid w:val="00276FDC"/>
    <w:rsid w:val="002804FF"/>
    <w:rsid w:val="00280A8A"/>
    <w:rsid w:val="00283E6F"/>
    <w:rsid w:val="00291726"/>
    <w:rsid w:val="00291846"/>
    <w:rsid w:val="00294FF2"/>
    <w:rsid w:val="00297A3D"/>
    <w:rsid w:val="00297FF9"/>
    <w:rsid w:val="002A0656"/>
    <w:rsid w:val="002A0CBE"/>
    <w:rsid w:val="002A24EC"/>
    <w:rsid w:val="002A396D"/>
    <w:rsid w:val="002A58CA"/>
    <w:rsid w:val="002A63B7"/>
    <w:rsid w:val="002A64C2"/>
    <w:rsid w:val="002A68C0"/>
    <w:rsid w:val="002B17E8"/>
    <w:rsid w:val="002B214F"/>
    <w:rsid w:val="002B3BE6"/>
    <w:rsid w:val="002B50B3"/>
    <w:rsid w:val="002B5BFB"/>
    <w:rsid w:val="002B638E"/>
    <w:rsid w:val="002B6721"/>
    <w:rsid w:val="002C0FD6"/>
    <w:rsid w:val="002C36E7"/>
    <w:rsid w:val="002C7411"/>
    <w:rsid w:val="002C757F"/>
    <w:rsid w:val="002D1222"/>
    <w:rsid w:val="002D220C"/>
    <w:rsid w:val="002D35D6"/>
    <w:rsid w:val="002D4D3B"/>
    <w:rsid w:val="002D4D73"/>
    <w:rsid w:val="002D6878"/>
    <w:rsid w:val="002D7204"/>
    <w:rsid w:val="002D7C57"/>
    <w:rsid w:val="002E0AD4"/>
    <w:rsid w:val="002E3729"/>
    <w:rsid w:val="002E5F84"/>
    <w:rsid w:val="002E6171"/>
    <w:rsid w:val="002E74DE"/>
    <w:rsid w:val="002F1F24"/>
    <w:rsid w:val="002F24EA"/>
    <w:rsid w:val="002F3CC8"/>
    <w:rsid w:val="002F40FF"/>
    <w:rsid w:val="002F4B67"/>
    <w:rsid w:val="002F4C35"/>
    <w:rsid w:val="002F4E70"/>
    <w:rsid w:val="002F4F8A"/>
    <w:rsid w:val="002F623A"/>
    <w:rsid w:val="002F74F5"/>
    <w:rsid w:val="0030061D"/>
    <w:rsid w:val="003029F7"/>
    <w:rsid w:val="00306F5E"/>
    <w:rsid w:val="00307AAE"/>
    <w:rsid w:val="00310B1F"/>
    <w:rsid w:val="00317178"/>
    <w:rsid w:val="00320226"/>
    <w:rsid w:val="0032264F"/>
    <w:rsid w:val="00323A29"/>
    <w:rsid w:val="00325C9F"/>
    <w:rsid w:val="00326616"/>
    <w:rsid w:val="00330A1B"/>
    <w:rsid w:val="0033155B"/>
    <w:rsid w:val="00331D1B"/>
    <w:rsid w:val="003320B7"/>
    <w:rsid w:val="003327BF"/>
    <w:rsid w:val="00337220"/>
    <w:rsid w:val="0034026C"/>
    <w:rsid w:val="00341084"/>
    <w:rsid w:val="00342165"/>
    <w:rsid w:val="0035032B"/>
    <w:rsid w:val="0035624B"/>
    <w:rsid w:val="00357D2C"/>
    <w:rsid w:val="0036226E"/>
    <w:rsid w:val="00362E27"/>
    <w:rsid w:val="0036300F"/>
    <w:rsid w:val="003672AE"/>
    <w:rsid w:val="00371D14"/>
    <w:rsid w:val="003722E1"/>
    <w:rsid w:val="00376263"/>
    <w:rsid w:val="00376A85"/>
    <w:rsid w:val="0038045C"/>
    <w:rsid w:val="0038238B"/>
    <w:rsid w:val="0038639C"/>
    <w:rsid w:val="00387C9F"/>
    <w:rsid w:val="00391D40"/>
    <w:rsid w:val="00393741"/>
    <w:rsid w:val="00395E0E"/>
    <w:rsid w:val="003A3152"/>
    <w:rsid w:val="003A424B"/>
    <w:rsid w:val="003B2205"/>
    <w:rsid w:val="003B2A3F"/>
    <w:rsid w:val="003B35D9"/>
    <w:rsid w:val="003B5CF9"/>
    <w:rsid w:val="003B7925"/>
    <w:rsid w:val="003B799B"/>
    <w:rsid w:val="003C49F2"/>
    <w:rsid w:val="003C5099"/>
    <w:rsid w:val="003C5277"/>
    <w:rsid w:val="003C6158"/>
    <w:rsid w:val="003C72E9"/>
    <w:rsid w:val="003D1924"/>
    <w:rsid w:val="003D2811"/>
    <w:rsid w:val="003D660B"/>
    <w:rsid w:val="003E286B"/>
    <w:rsid w:val="003E2DFD"/>
    <w:rsid w:val="003E315E"/>
    <w:rsid w:val="003E529F"/>
    <w:rsid w:val="003E554A"/>
    <w:rsid w:val="003E563F"/>
    <w:rsid w:val="003E776E"/>
    <w:rsid w:val="003E7BBB"/>
    <w:rsid w:val="003F0658"/>
    <w:rsid w:val="003F106D"/>
    <w:rsid w:val="003F1E33"/>
    <w:rsid w:val="003F2796"/>
    <w:rsid w:val="003F2F0D"/>
    <w:rsid w:val="003F4023"/>
    <w:rsid w:val="003F538C"/>
    <w:rsid w:val="003F6B12"/>
    <w:rsid w:val="003F7218"/>
    <w:rsid w:val="003F7A77"/>
    <w:rsid w:val="0040047A"/>
    <w:rsid w:val="0040402A"/>
    <w:rsid w:val="004057F9"/>
    <w:rsid w:val="004072EF"/>
    <w:rsid w:val="004115C9"/>
    <w:rsid w:val="004116FF"/>
    <w:rsid w:val="00411A76"/>
    <w:rsid w:val="0041251F"/>
    <w:rsid w:val="0041306E"/>
    <w:rsid w:val="00416C02"/>
    <w:rsid w:val="004171EA"/>
    <w:rsid w:val="00420530"/>
    <w:rsid w:val="00420863"/>
    <w:rsid w:val="00421A30"/>
    <w:rsid w:val="004252F3"/>
    <w:rsid w:val="00426457"/>
    <w:rsid w:val="004269BD"/>
    <w:rsid w:val="00426B4D"/>
    <w:rsid w:val="00426C56"/>
    <w:rsid w:val="004304F3"/>
    <w:rsid w:val="00432DEB"/>
    <w:rsid w:val="004331A6"/>
    <w:rsid w:val="0043352F"/>
    <w:rsid w:val="00436E93"/>
    <w:rsid w:val="0044083E"/>
    <w:rsid w:val="00441349"/>
    <w:rsid w:val="004438C9"/>
    <w:rsid w:val="004471C0"/>
    <w:rsid w:val="0045570F"/>
    <w:rsid w:val="004578BA"/>
    <w:rsid w:val="00461274"/>
    <w:rsid w:val="0046155D"/>
    <w:rsid w:val="0046241D"/>
    <w:rsid w:val="004635EF"/>
    <w:rsid w:val="00465784"/>
    <w:rsid w:val="0046793A"/>
    <w:rsid w:val="00470730"/>
    <w:rsid w:val="00473DE7"/>
    <w:rsid w:val="00475AAF"/>
    <w:rsid w:val="00475BE9"/>
    <w:rsid w:val="00476755"/>
    <w:rsid w:val="00477302"/>
    <w:rsid w:val="00477618"/>
    <w:rsid w:val="00484AA8"/>
    <w:rsid w:val="0048633E"/>
    <w:rsid w:val="00487BEA"/>
    <w:rsid w:val="00494F2C"/>
    <w:rsid w:val="004967D4"/>
    <w:rsid w:val="004A2689"/>
    <w:rsid w:val="004A2FD6"/>
    <w:rsid w:val="004A525E"/>
    <w:rsid w:val="004B59A3"/>
    <w:rsid w:val="004C095B"/>
    <w:rsid w:val="004C222D"/>
    <w:rsid w:val="004C6B2B"/>
    <w:rsid w:val="004C7153"/>
    <w:rsid w:val="004C7556"/>
    <w:rsid w:val="004C79E9"/>
    <w:rsid w:val="004D158A"/>
    <w:rsid w:val="004D6339"/>
    <w:rsid w:val="004D6B50"/>
    <w:rsid w:val="004D7B96"/>
    <w:rsid w:val="004E1994"/>
    <w:rsid w:val="004E30A4"/>
    <w:rsid w:val="004E3E55"/>
    <w:rsid w:val="004E45DA"/>
    <w:rsid w:val="004E4EB7"/>
    <w:rsid w:val="004E51F4"/>
    <w:rsid w:val="004E5E19"/>
    <w:rsid w:val="004E7AAE"/>
    <w:rsid w:val="004F22A6"/>
    <w:rsid w:val="004F3FC2"/>
    <w:rsid w:val="004F47EA"/>
    <w:rsid w:val="004F4910"/>
    <w:rsid w:val="004F4F22"/>
    <w:rsid w:val="004F520B"/>
    <w:rsid w:val="004F5BC3"/>
    <w:rsid w:val="004F6DFD"/>
    <w:rsid w:val="0050052A"/>
    <w:rsid w:val="005006C2"/>
    <w:rsid w:val="00500E0F"/>
    <w:rsid w:val="00502361"/>
    <w:rsid w:val="00502849"/>
    <w:rsid w:val="005077CA"/>
    <w:rsid w:val="00513E52"/>
    <w:rsid w:val="00513EF0"/>
    <w:rsid w:val="00514357"/>
    <w:rsid w:val="0051520B"/>
    <w:rsid w:val="00515910"/>
    <w:rsid w:val="00516519"/>
    <w:rsid w:val="00521AED"/>
    <w:rsid w:val="0052384F"/>
    <w:rsid w:val="00531336"/>
    <w:rsid w:val="0053517A"/>
    <w:rsid w:val="0053575F"/>
    <w:rsid w:val="00536A35"/>
    <w:rsid w:val="00542A28"/>
    <w:rsid w:val="00543F0E"/>
    <w:rsid w:val="005467BF"/>
    <w:rsid w:val="0055692C"/>
    <w:rsid w:val="00560A0C"/>
    <w:rsid w:val="00561598"/>
    <w:rsid w:val="00563DF0"/>
    <w:rsid w:val="00564DA4"/>
    <w:rsid w:val="005651BC"/>
    <w:rsid w:val="00565263"/>
    <w:rsid w:val="005701C9"/>
    <w:rsid w:val="0057105E"/>
    <w:rsid w:val="00572CB0"/>
    <w:rsid w:val="0057529A"/>
    <w:rsid w:val="005752D9"/>
    <w:rsid w:val="00575F63"/>
    <w:rsid w:val="005822C2"/>
    <w:rsid w:val="00583014"/>
    <w:rsid w:val="00583ED2"/>
    <w:rsid w:val="00584FEC"/>
    <w:rsid w:val="00590C3F"/>
    <w:rsid w:val="0059192D"/>
    <w:rsid w:val="00592077"/>
    <w:rsid w:val="00594368"/>
    <w:rsid w:val="005A1531"/>
    <w:rsid w:val="005A536B"/>
    <w:rsid w:val="005A6413"/>
    <w:rsid w:val="005B649A"/>
    <w:rsid w:val="005C0F6E"/>
    <w:rsid w:val="005C3512"/>
    <w:rsid w:val="005C7AB6"/>
    <w:rsid w:val="005D0041"/>
    <w:rsid w:val="005D0732"/>
    <w:rsid w:val="005D3FFC"/>
    <w:rsid w:val="005D41EE"/>
    <w:rsid w:val="005D4379"/>
    <w:rsid w:val="005D511E"/>
    <w:rsid w:val="005D6020"/>
    <w:rsid w:val="005D6F36"/>
    <w:rsid w:val="005E0991"/>
    <w:rsid w:val="005E358F"/>
    <w:rsid w:val="005E5D80"/>
    <w:rsid w:val="005E6AD4"/>
    <w:rsid w:val="005E78C9"/>
    <w:rsid w:val="005F0075"/>
    <w:rsid w:val="005F18A2"/>
    <w:rsid w:val="005F6379"/>
    <w:rsid w:val="005F74E3"/>
    <w:rsid w:val="00604807"/>
    <w:rsid w:val="00605878"/>
    <w:rsid w:val="00605DCE"/>
    <w:rsid w:val="00606BDD"/>
    <w:rsid w:val="0060764F"/>
    <w:rsid w:val="00610C60"/>
    <w:rsid w:val="00612A55"/>
    <w:rsid w:val="006140A1"/>
    <w:rsid w:val="00614EA6"/>
    <w:rsid w:val="0061520F"/>
    <w:rsid w:val="006172B0"/>
    <w:rsid w:val="0062066B"/>
    <w:rsid w:val="00620DF6"/>
    <w:rsid w:val="00626691"/>
    <w:rsid w:val="006267C9"/>
    <w:rsid w:val="00626B8A"/>
    <w:rsid w:val="00632FAD"/>
    <w:rsid w:val="00634245"/>
    <w:rsid w:val="0063458D"/>
    <w:rsid w:val="00635A28"/>
    <w:rsid w:val="00636522"/>
    <w:rsid w:val="006365E5"/>
    <w:rsid w:val="006366A7"/>
    <w:rsid w:val="00644CC1"/>
    <w:rsid w:val="00647083"/>
    <w:rsid w:val="00653F37"/>
    <w:rsid w:val="0065409C"/>
    <w:rsid w:val="00654788"/>
    <w:rsid w:val="00655A2B"/>
    <w:rsid w:val="0065655E"/>
    <w:rsid w:val="00656A54"/>
    <w:rsid w:val="00657A90"/>
    <w:rsid w:val="0066060F"/>
    <w:rsid w:val="0066062C"/>
    <w:rsid w:val="00664A7F"/>
    <w:rsid w:val="00665615"/>
    <w:rsid w:val="00665F2E"/>
    <w:rsid w:val="00670113"/>
    <w:rsid w:val="00672B2D"/>
    <w:rsid w:val="0067478A"/>
    <w:rsid w:val="00676921"/>
    <w:rsid w:val="00676C01"/>
    <w:rsid w:val="00676F15"/>
    <w:rsid w:val="00677381"/>
    <w:rsid w:val="00681CA5"/>
    <w:rsid w:val="00684423"/>
    <w:rsid w:val="0068617F"/>
    <w:rsid w:val="0069320F"/>
    <w:rsid w:val="00693787"/>
    <w:rsid w:val="006A1D0F"/>
    <w:rsid w:val="006A4263"/>
    <w:rsid w:val="006A5F3A"/>
    <w:rsid w:val="006B1219"/>
    <w:rsid w:val="006B3A86"/>
    <w:rsid w:val="006B565F"/>
    <w:rsid w:val="006B5F5C"/>
    <w:rsid w:val="006C148C"/>
    <w:rsid w:val="006C4CE3"/>
    <w:rsid w:val="006C5D5E"/>
    <w:rsid w:val="006D0E1D"/>
    <w:rsid w:val="006D430A"/>
    <w:rsid w:val="006D451D"/>
    <w:rsid w:val="006D533A"/>
    <w:rsid w:val="006D60E9"/>
    <w:rsid w:val="006D6EB6"/>
    <w:rsid w:val="006D719F"/>
    <w:rsid w:val="006E275F"/>
    <w:rsid w:val="006E2E48"/>
    <w:rsid w:val="006F07E3"/>
    <w:rsid w:val="006F0FFF"/>
    <w:rsid w:val="006F47E0"/>
    <w:rsid w:val="007009AF"/>
    <w:rsid w:val="00703257"/>
    <w:rsid w:val="0070419F"/>
    <w:rsid w:val="007058F5"/>
    <w:rsid w:val="00706089"/>
    <w:rsid w:val="007171E1"/>
    <w:rsid w:val="00721EB7"/>
    <w:rsid w:val="007221BF"/>
    <w:rsid w:val="00722CE1"/>
    <w:rsid w:val="00723253"/>
    <w:rsid w:val="00727ABB"/>
    <w:rsid w:val="00730BBA"/>
    <w:rsid w:val="00734212"/>
    <w:rsid w:val="0073676A"/>
    <w:rsid w:val="00736BBD"/>
    <w:rsid w:val="00742A67"/>
    <w:rsid w:val="00746F13"/>
    <w:rsid w:val="00747080"/>
    <w:rsid w:val="007502CE"/>
    <w:rsid w:val="007510F3"/>
    <w:rsid w:val="007511C0"/>
    <w:rsid w:val="00751524"/>
    <w:rsid w:val="00754B4E"/>
    <w:rsid w:val="00755DB2"/>
    <w:rsid w:val="007566D3"/>
    <w:rsid w:val="00757371"/>
    <w:rsid w:val="007576B4"/>
    <w:rsid w:val="007578E0"/>
    <w:rsid w:val="007627D8"/>
    <w:rsid w:val="007643FE"/>
    <w:rsid w:val="00765F57"/>
    <w:rsid w:val="00766383"/>
    <w:rsid w:val="0076760F"/>
    <w:rsid w:val="007723B3"/>
    <w:rsid w:val="0077543C"/>
    <w:rsid w:val="00776907"/>
    <w:rsid w:val="00780FF3"/>
    <w:rsid w:val="007846E1"/>
    <w:rsid w:val="00785443"/>
    <w:rsid w:val="00787104"/>
    <w:rsid w:val="007905DA"/>
    <w:rsid w:val="00791777"/>
    <w:rsid w:val="00791FF2"/>
    <w:rsid w:val="00793070"/>
    <w:rsid w:val="0079401E"/>
    <w:rsid w:val="00795ED2"/>
    <w:rsid w:val="007A0DC6"/>
    <w:rsid w:val="007A0F08"/>
    <w:rsid w:val="007A24A1"/>
    <w:rsid w:val="007A2D4F"/>
    <w:rsid w:val="007A349A"/>
    <w:rsid w:val="007A5773"/>
    <w:rsid w:val="007A7B74"/>
    <w:rsid w:val="007B1033"/>
    <w:rsid w:val="007B3468"/>
    <w:rsid w:val="007B790F"/>
    <w:rsid w:val="007C1056"/>
    <w:rsid w:val="007C1838"/>
    <w:rsid w:val="007C199F"/>
    <w:rsid w:val="007C5BEC"/>
    <w:rsid w:val="007C623C"/>
    <w:rsid w:val="007C6571"/>
    <w:rsid w:val="007C7667"/>
    <w:rsid w:val="007D3031"/>
    <w:rsid w:val="007E2C10"/>
    <w:rsid w:val="007E52FA"/>
    <w:rsid w:val="007E6396"/>
    <w:rsid w:val="007F0022"/>
    <w:rsid w:val="007F0168"/>
    <w:rsid w:val="007F12E0"/>
    <w:rsid w:val="007F1A36"/>
    <w:rsid w:val="007F5DFE"/>
    <w:rsid w:val="007F7A7F"/>
    <w:rsid w:val="008048C2"/>
    <w:rsid w:val="00804E2F"/>
    <w:rsid w:val="008112D8"/>
    <w:rsid w:val="00811BFD"/>
    <w:rsid w:val="00811EB5"/>
    <w:rsid w:val="00813A05"/>
    <w:rsid w:val="00820962"/>
    <w:rsid w:val="008213FE"/>
    <w:rsid w:val="00824C27"/>
    <w:rsid w:val="00826861"/>
    <w:rsid w:val="008271E7"/>
    <w:rsid w:val="00827A52"/>
    <w:rsid w:val="0083075C"/>
    <w:rsid w:val="0083291F"/>
    <w:rsid w:val="00832B15"/>
    <w:rsid w:val="00832E5E"/>
    <w:rsid w:val="00833280"/>
    <w:rsid w:val="008372D9"/>
    <w:rsid w:val="00837DD9"/>
    <w:rsid w:val="00840AF3"/>
    <w:rsid w:val="008414B6"/>
    <w:rsid w:val="0084313E"/>
    <w:rsid w:val="008455BC"/>
    <w:rsid w:val="008462B8"/>
    <w:rsid w:val="00846D7C"/>
    <w:rsid w:val="00853E61"/>
    <w:rsid w:val="00854AC4"/>
    <w:rsid w:val="00856886"/>
    <w:rsid w:val="008569E9"/>
    <w:rsid w:val="0086438A"/>
    <w:rsid w:val="00867F6C"/>
    <w:rsid w:val="00870B0E"/>
    <w:rsid w:val="008733C0"/>
    <w:rsid w:val="00875D3A"/>
    <w:rsid w:val="00877146"/>
    <w:rsid w:val="008771E5"/>
    <w:rsid w:val="00877537"/>
    <w:rsid w:val="00877B67"/>
    <w:rsid w:val="00880B65"/>
    <w:rsid w:val="00881C59"/>
    <w:rsid w:val="00882BFE"/>
    <w:rsid w:val="0088525E"/>
    <w:rsid w:val="0088628B"/>
    <w:rsid w:val="00891396"/>
    <w:rsid w:val="00891D1B"/>
    <w:rsid w:val="00895532"/>
    <w:rsid w:val="00897A42"/>
    <w:rsid w:val="008A037E"/>
    <w:rsid w:val="008A3BBD"/>
    <w:rsid w:val="008A4B02"/>
    <w:rsid w:val="008A58FB"/>
    <w:rsid w:val="008A5DE2"/>
    <w:rsid w:val="008A7E01"/>
    <w:rsid w:val="008B3B4F"/>
    <w:rsid w:val="008C01A0"/>
    <w:rsid w:val="008D2413"/>
    <w:rsid w:val="008E0294"/>
    <w:rsid w:val="008E416C"/>
    <w:rsid w:val="008E4DC6"/>
    <w:rsid w:val="008E5156"/>
    <w:rsid w:val="008E5870"/>
    <w:rsid w:val="008E73A0"/>
    <w:rsid w:val="008E7A94"/>
    <w:rsid w:val="008F0420"/>
    <w:rsid w:val="008F1B96"/>
    <w:rsid w:val="008F248D"/>
    <w:rsid w:val="008F326B"/>
    <w:rsid w:val="008F369F"/>
    <w:rsid w:val="008F3957"/>
    <w:rsid w:val="0090036F"/>
    <w:rsid w:val="00901D54"/>
    <w:rsid w:val="00902745"/>
    <w:rsid w:val="00911570"/>
    <w:rsid w:val="009122C3"/>
    <w:rsid w:val="00912DE6"/>
    <w:rsid w:val="00914FD4"/>
    <w:rsid w:val="00915032"/>
    <w:rsid w:val="00916BAA"/>
    <w:rsid w:val="00917838"/>
    <w:rsid w:val="00924161"/>
    <w:rsid w:val="00926307"/>
    <w:rsid w:val="009348BB"/>
    <w:rsid w:val="00943F22"/>
    <w:rsid w:val="00947C2E"/>
    <w:rsid w:val="0095015A"/>
    <w:rsid w:val="0095053D"/>
    <w:rsid w:val="00955347"/>
    <w:rsid w:val="00957386"/>
    <w:rsid w:val="00957D91"/>
    <w:rsid w:val="0096194A"/>
    <w:rsid w:val="00961C3D"/>
    <w:rsid w:val="009626BB"/>
    <w:rsid w:val="00972DF7"/>
    <w:rsid w:val="00973D5F"/>
    <w:rsid w:val="0097472C"/>
    <w:rsid w:val="00983F60"/>
    <w:rsid w:val="00985E87"/>
    <w:rsid w:val="0098648B"/>
    <w:rsid w:val="0098703E"/>
    <w:rsid w:val="009871BC"/>
    <w:rsid w:val="00991C47"/>
    <w:rsid w:val="00991C87"/>
    <w:rsid w:val="00991C88"/>
    <w:rsid w:val="00992CA1"/>
    <w:rsid w:val="00993C02"/>
    <w:rsid w:val="00995B89"/>
    <w:rsid w:val="009A1C8E"/>
    <w:rsid w:val="009A2666"/>
    <w:rsid w:val="009A3963"/>
    <w:rsid w:val="009B1C46"/>
    <w:rsid w:val="009B1D3A"/>
    <w:rsid w:val="009B55F3"/>
    <w:rsid w:val="009B67EB"/>
    <w:rsid w:val="009C6207"/>
    <w:rsid w:val="009C6598"/>
    <w:rsid w:val="009C6A7B"/>
    <w:rsid w:val="009D12CF"/>
    <w:rsid w:val="009D3534"/>
    <w:rsid w:val="009D45C3"/>
    <w:rsid w:val="009D5FB5"/>
    <w:rsid w:val="009D7B51"/>
    <w:rsid w:val="009E19D2"/>
    <w:rsid w:val="009E4B3F"/>
    <w:rsid w:val="009E6518"/>
    <w:rsid w:val="009F3B1E"/>
    <w:rsid w:val="009F7165"/>
    <w:rsid w:val="00A024AA"/>
    <w:rsid w:val="00A110FD"/>
    <w:rsid w:val="00A11F62"/>
    <w:rsid w:val="00A14555"/>
    <w:rsid w:val="00A145C5"/>
    <w:rsid w:val="00A22960"/>
    <w:rsid w:val="00A240CA"/>
    <w:rsid w:val="00A25A74"/>
    <w:rsid w:val="00A263B9"/>
    <w:rsid w:val="00A26BCD"/>
    <w:rsid w:val="00A27DBA"/>
    <w:rsid w:val="00A30A15"/>
    <w:rsid w:val="00A31D2A"/>
    <w:rsid w:val="00A34F99"/>
    <w:rsid w:val="00A36A4F"/>
    <w:rsid w:val="00A4004D"/>
    <w:rsid w:val="00A45644"/>
    <w:rsid w:val="00A47BFB"/>
    <w:rsid w:val="00A507C9"/>
    <w:rsid w:val="00A51D17"/>
    <w:rsid w:val="00A5219F"/>
    <w:rsid w:val="00A618A7"/>
    <w:rsid w:val="00A67685"/>
    <w:rsid w:val="00A71563"/>
    <w:rsid w:val="00A725F5"/>
    <w:rsid w:val="00A74539"/>
    <w:rsid w:val="00A8104A"/>
    <w:rsid w:val="00A81CCE"/>
    <w:rsid w:val="00A81F83"/>
    <w:rsid w:val="00A82E9A"/>
    <w:rsid w:val="00A83967"/>
    <w:rsid w:val="00A85195"/>
    <w:rsid w:val="00A854F4"/>
    <w:rsid w:val="00A876D1"/>
    <w:rsid w:val="00A9045A"/>
    <w:rsid w:val="00A90799"/>
    <w:rsid w:val="00A90E5F"/>
    <w:rsid w:val="00A92378"/>
    <w:rsid w:val="00A96103"/>
    <w:rsid w:val="00A97630"/>
    <w:rsid w:val="00AA26C9"/>
    <w:rsid w:val="00AA2F53"/>
    <w:rsid w:val="00AA5F35"/>
    <w:rsid w:val="00AA66CD"/>
    <w:rsid w:val="00AA6EDB"/>
    <w:rsid w:val="00AB0C9A"/>
    <w:rsid w:val="00AB23EF"/>
    <w:rsid w:val="00AB3378"/>
    <w:rsid w:val="00AB404E"/>
    <w:rsid w:val="00AB5D21"/>
    <w:rsid w:val="00AB72A8"/>
    <w:rsid w:val="00AB7B24"/>
    <w:rsid w:val="00AC045E"/>
    <w:rsid w:val="00AC38C0"/>
    <w:rsid w:val="00AC48CA"/>
    <w:rsid w:val="00AC7A9C"/>
    <w:rsid w:val="00AD3A1D"/>
    <w:rsid w:val="00AD4724"/>
    <w:rsid w:val="00AD562A"/>
    <w:rsid w:val="00AD7E1F"/>
    <w:rsid w:val="00AE276D"/>
    <w:rsid w:val="00AE2DC5"/>
    <w:rsid w:val="00AE4AFF"/>
    <w:rsid w:val="00AE6EA1"/>
    <w:rsid w:val="00AE7240"/>
    <w:rsid w:val="00AE7A83"/>
    <w:rsid w:val="00AF088C"/>
    <w:rsid w:val="00AF2433"/>
    <w:rsid w:val="00AF4870"/>
    <w:rsid w:val="00AF7424"/>
    <w:rsid w:val="00B01564"/>
    <w:rsid w:val="00B018C2"/>
    <w:rsid w:val="00B04592"/>
    <w:rsid w:val="00B045ED"/>
    <w:rsid w:val="00B05C28"/>
    <w:rsid w:val="00B11B3B"/>
    <w:rsid w:val="00B138FB"/>
    <w:rsid w:val="00B13C1A"/>
    <w:rsid w:val="00B17A3B"/>
    <w:rsid w:val="00B23B5A"/>
    <w:rsid w:val="00B2523D"/>
    <w:rsid w:val="00B25FEC"/>
    <w:rsid w:val="00B26A2B"/>
    <w:rsid w:val="00B271C8"/>
    <w:rsid w:val="00B31F1B"/>
    <w:rsid w:val="00B34315"/>
    <w:rsid w:val="00B36D66"/>
    <w:rsid w:val="00B377B5"/>
    <w:rsid w:val="00B41768"/>
    <w:rsid w:val="00B443AA"/>
    <w:rsid w:val="00B4474E"/>
    <w:rsid w:val="00B45A7F"/>
    <w:rsid w:val="00B45FC5"/>
    <w:rsid w:val="00B53E0E"/>
    <w:rsid w:val="00B563C7"/>
    <w:rsid w:val="00B60924"/>
    <w:rsid w:val="00B61236"/>
    <w:rsid w:val="00B63B4C"/>
    <w:rsid w:val="00B67672"/>
    <w:rsid w:val="00B70663"/>
    <w:rsid w:val="00B716DF"/>
    <w:rsid w:val="00B7616E"/>
    <w:rsid w:val="00B80A83"/>
    <w:rsid w:val="00B83273"/>
    <w:rsid w:val="00B837C3"/>
    <w:rsid w:val="00B84665"/>
    <w:rsid w:val="00B86C7D"/>
    <w:rsid w:val="00B91E24"/>
    <w:rsid w:val="00B9217A"/>
    <w:rsid w:val="00B92670"/>
    <w:rsid w:val="00B94FFB"/>
    <w:rsid w:val="00BA10E5"/>
    <w:rsid w:val="00BA31E4"/>
    <w:rsid w:val="00BA3E5C"/>
    <w:rsid w:val="00BA7AD4"/>
    <w:rsid w:val="00BB20D0"/>
    <w:rsid w:val="00BB3329"/>
    <w:rsid w:val="00BB533D"/>
    <w:rsid w:val="00BB6A4A"/>
    <w:rsid w:val="00BB7EA1"/>
    <w:rsid w:val="00BC00DB"/>
    <w:rsid w:val="00BC5839"/>
    <w:rsid w:val="00BC7C39"/>
    <w:rsid w:val="00BD04D9"/>
    <w:rsid w:val="00BD19F3"/>
    <w:rsid w:val="00BD2A58"/>
    <w:rsid w:val="00BD343C"/>
    <w:rsid w:val="00BD452D"/>
    <w:rsid w:val="00BD5331"/>
    <w:rsid w:val="00BD62F5"/>
    <w:rsid w:val="00BD6E88"/>
    <w:rsid w:val="00BD73F7"/>
    <w:rsid w:val="00BE46A2"/>
    <w:rsid w:val="00BE4A4F"/>
    <w:rsid w:val="00BF0E9D"/>
    <w:rsid w:val="00BF579E"/>
    <w:rsid w:val="00BF7FCE"/>
    <w:rsid w:val="00C00239"/>
    <w:rsid w:val="00C00299"/>
    <w:rsid w:val="00C02102"/>
    <w:rsid w:val="00C06599"/>
    <w:rsid w:val="00C12E99"/>
    <w:rsid w:val="00C133A0"/>
    <w:rsid w:val="00C13E8A"/>
    <w:rsid w:val="00C15374"/>
    <w:rsid w:val="00C1554A"/>
    <w:rsid w:val="00C23848"/>
    <w:rsid w:val="00C24D99"/>
    <w:rsid w:val="00C35597"/>
    <w:rsid w:val="00C3677C"/>
    <w:rsid w:val="00C3727D"/>
    <w:rsid w:val="00C37D13"/>
    <w:rsid w:val="00C426BA"/>
    <w:rsid w:val="00C44043"/>
    <w:rsid w:val="00C468E4"/>
    <w:rsid w:val="00C5156D"/>
    <w:rsid w:val="00C53AD6"/>
    <w:rsid w:val="00C60B34"/>
    <w:rsid w:val="00C63572"/>
    <w:rsid w:val="00C644DB"/>
    <w:rsid w:val="00C64821"/>
    <w:rsid w:val="00C66F88"/>
    <w:rsid w:val="00C7121A"/>
    <w:rsid w:val="00C8740A"/>
    <w:rsid w:val="00C9011D"/>
    <w:rsid w:val="00C916F0"/>
    <w:rsid w:val="00C9359C"/>
    <w:rsid w:val="00CA2C5E"/>
    <w:rsid w:val="00CA371B"/>
    <w:rsid w:val="00CA7452"/>
    <w:rsid w:val="00CB06F3"/>
    <w:rsid w:val="00CB09F3"/>
    <w:rsid w:val="00CB2012"/>
    <w:rsid w:val="00CB2649"/>
    <w:rsid w:val="00CB5627"/>
    <w:rsid w:val="00CC0E94"/>
    <w:rsid w:val="00CC1151"/>
    <w:rsid w:val="00CC2F1C"/>
    <w:rsid w:val="00CC3273"/>
    <w:rsid w:val="00CC73D5"/>
    <w:rsid w:val="00CC79CE"/>
    <w:rsid w:val="00CD2ED7"/>
    <w:rsid w:val="00CD7AAE"/>
    <w:rsid w:val="00CD7C22"/>
    <w:rsid w:val="00CE3489"/>
    <w:rsid w:val="00CE37BE"/>
    <w:rsid w:val="00CE3AF7"/>
    <w:rsid w:val="00CE4BD6"/>
    <w:rsid w:val="00CE5BFA"/>
    <w:rsid w:val="00CE62FF"/>
    <w:rsid w:val="00CE644F"/>
    <w:rsid w:val="00CE7DE3"/>
    <w:rsid w:val="00CF027D"/>
    <w:rsid w:val="00CF048F"/>
    <w:rsid w:val="00CF0BAA"/>
    <w:rsid w:val="00CF0D0D"/>
    <w:rsid w:val="00CF0FAA"/>
    <w:rsid w:val="00CF4116"/>
    <w:rsid w:val="00CF509E"/>
    <w:rsid w:val="00CF5C56"/>
    <w:rsid w:val="00CF6306"/>
    <w:rsid w:val="00CF6900"/>
    <w:rsid w:val="00D008D3"/>
    <w:rsid w:val="00D00DDE"/>
    <w:rsid w:val="00D02110"/>
    <w:rsid w:val="00D051B7"/>
    <w:rsid w:val="00D07580"/>
    <w:rsid w:val="00D10075"/>
    <w:rsid w:val="00D1049B"/>
    <w:rsid w:val="00D12D31"/>
    <w:rsid w:val="00D214DC"/>
    <w:rsid w:val="00D23456"/>
    <w:rsid w:val="00D2516C"/>
    <w:rsid w:val="00D26AD4"/>
    <w:rsid w:val="00D3037F"/>
    <w:rsid w:val="00D34E98"/>
    <w:rsid w:val="00D364B6"/>
    <w:rsid w:val="00D400F5"/>
    <w:rsid w:val="00D423FE"/>
    <w:rsid w:val="00D43EBB"/>
    <w:rsid w:val="00D47077"/>
    <w:rsid w:val="00D507F7"/>
    <w:rsid w:val="00D50A3E"/>
    <w:rsid w:val="00D50EAC"/>
    <w:rsid w:val="00D51A73"/>
    <w:rsid w:val="00D52E4B"/>
    <w:rsid w:val="00D53AA1"/>
    <w:rsid w:val="00D567F8"/>
    <w:rsid w:val="00D6138B"/>
    <w:rsid w:val="00D64393"/>
    <w:rsid w:val="00D65D52"/>
    <w:rsid w:val="00D71BE8"/>
    <w:rsid w:val="00D74250"/>
    <w:rsid w:val="00D80BB8"/>
    <w:rsid w:val="00D835C1"/>
    <w:rsid w:val="00D84D38"/>
    <w:rsid w:val="00D86AF6"/>
    <w:rsid w:val="00D86E64"/>
    <w:rsid w:val="00D91D04"/>
    <w:rsid w:val="00D9214C"/>
    <w:rsid w:val="00D93974"/>
    <w:rsid w:val="00D93BB7"/>
    <w:rsid w:val="00D94AB3"/>
    <w:rsid w:val="00D950BD"/>
    <w:rsid w:val="00D976B7"/>
    <w:rsid w:val="00D97D04"/>
    <w:rsid w:val="00DA3796"/>
    <w:rsid w:val="00DA3921"/>
    <w:rsid w:val="00DA6DCD"/>
    <w:rsid w:val="00DA761C"/>
    <w:rsid w:val="00DB0C65"/>
    <w:rsid w:val="00DB5246"/>
    <w:rsid w:val="00DB6C00"/>
    <w:rsid w:val="00DC0111"/>
    <w:rsid w:val="00DC2FE8"/>
    <w:rsid w:val="00DC3EF3"/>
    <w:rsid w:val="00DC4DE5"/>
    <w:rsid w:val="00DC4DEF"/>
    <w:rsid w:val="00DC5632"/>
    <w:rsid w:val="00DC7DEF"/>
    <w:rsid w:val="00DD1E28"/>
    <w:rsid w:val="00DD2145"/>
    <w:rsid w:val="00DD690E"/>
    <w:rsid w:val="00DD69DD"/>
    <w:rsid w:val="00DE2B84"/>
    <w:rsid w:val="00DE3460"/>
    <w:rsid w:val="00DE4B1C"/>
    <w:rsid w:val="00DE5016"/>
    <w:rsid w:val="00DE62E3"/>
    <w:rsid w:val="00DE62FE"/>
    <w:rsid w:val="00DE6563"/>
    <w:rsid w:val="00DF41B1"/>
    <w:rsid w:val="00DF46B4"/>
    <w:rsid w:val="00E007EF"/>
    <w:rsid w:val="00E02DD5"/>
    <w:rsid w:val="00E072AB"/>
    <w:rsid w:val="00E11689"/>
    <w:rsid w:val="00E13ADE"/>
    <w:rsid w:val="00E14ACA"/>
    <w:rsid w:val="00E14BEF"/>
    <w:rsid w:val="00E15561"/>
    <w:rsid w:val="00E17F7D"/>
    <w:rsid w:val="00E20CBA"/>
    <w:rsid w:val="00E22729"/>
    <w:rsid w:val="00E23BE1"/>
    <w:rsid w:val="00E240E5"/>
    <w:rsid w:val="00E25F89"/>
    <w:rsid w:val="00E26DDB"/>
    <w:rsid w:val="00E27A8E"/>
    <w:rsid w:val="00E321EA"/>
    <w:rsid w:val="00E333B2"/>
    <w:rsid w:val="00E348AA"/>
    <w:rsid w:val="00E351BE"/>
    <w:rsid w:val="00E40821"/>
    <w:rsid w:val="00E40B0B"/>
    <w:rsid w:val="00E412E7"/>
    <w:rsid w:val="00E418B4"/>
    <w:rsid w:val="00E41E27"/>
    <w:rsid w:val="00E43F10"/>
    <w:rsid w:val="00E45F78"/>
    <w:rsid w:val="00E46D2C"/>
    <w:rsid w:val="00E4787C"/>
    <w:rsid w:val="00E55278"/>
    <w:rsid w:val="00E60441"/>
    <w:rsid w:val="00E62CC1"/>
    <w:rsid w:val="00E62D0D"/>
    <w:rsid w:val="00E63887"/>
    <w:rsid w:val="00E661CB"/>
    <w:rsid w:val="00E70C89"/>
    <w:rsid w:val="00E70DEA"/>
    <w:rsid w:val="00E74357"/>
    <w:rsid w:val="00E74409"/>
    <w:rsid w:val="00E75788"/>
    <w:rsid w:val="00E8064F"/>
    <w:rsid w:val="00E8149C"/>
    <w:rsid w:val="00E81F6C"/>
    <w:rsid w:val="00E829E5"/>
    <w:rsid w:val="00E90BF3"/>
    <w:rsid w:val="00E919A9"/>
    <w:rsid w:val="00E9214A"/>
    <w:rsid w:val="00E93DD1"/>
    <w:rsid w:val="00E94C32"/>
    <w:rsid w:val="00E97AC4"/>
    <w:rsid w:val="00EA066A"/>
    <w:rsid w:val="00EA2AF5"/>
    <w:rsid w:val="00EA2E25"/>
    <w:rsid w:val="00EA2E8B"/>
    <w:rsid w:val="00EA40B4"/>
    <w:rsid w:val="00EB2DC9"/>
    <w:rsid w:val="00EB34B1"/>
    <w:rsid w:val="00EB3AFE"/>
    <w:rsid w:val="00EB41CE"/>
    <w:rsid w:val="00EB5894"/>
    <w:rsid w:val="00EB6E60"/>
    <w:rsid w:val="00EC3156"/>
    <w:rsid w:val="00EC328E"/>
    <w:rsid w:val="00EC5734"/>
    <w:rsid w:val="00EC5A2F"/>
    <w:rsid w:val="00EC78D1"/>
    <w:rsid w:val="00ED3701"/>
    <w:rsid w:val="00ED6660"/>
    <w:rsid w:val="00ED799B"/>
    <w:rsid w:val="00EE2790"/>
    <w:rsid w:val="00EE2EA7"/>
    <w:rsid w:val="00EE540D"/>
    <w:rsid w:val="00EE7E24"/>
    <w:rsid w:val="00EF0B68"/>
    <w:rsid w:val="00EF1D7F"/>
    <w:rsid w:val="00EF6411"/>
    <w:rsid w:val="00F06DA1"/>
    <w:rsid w:val="00F06DC4"/>
    <w:rsid w:val="00F0794C"/>
    <w:rsid w:val="00F127F9"/>
    <w:rsid w:val="00F13ACF"/>
    <w:rsid w:val="00F16079"/>
    <w:rsid w:val="00F228A8"/>
    <w:rsid w:val="00F237FE"/>
    <w:rsid w:val="00F24212"/>
    <w:rsid w:val="00F27069"/>
    <w:rsid w:val="00F2777A"/>
    <w:rsid w:val="00F334C0"/>
    <w:rsid w:val="00F40FAA"/>
    <w:rsid w:val="00F4210B"/>
    <w:rsid w:val="00F44436"/>
    <w:rsid w:val="00F4551D"/>
    <w:rsid w:val="00F459FE"/>
    <w:rsid w:val="00F472A2"/>
    <w:rsid w:val="00F521FC"/>
    <w:rsid w:val="00F524B2"/>
    <w:rsid w:val="00F54E46"/>
    <w:rsid w:val="00F5616D"/>
    <w:rsid w:val="00F62E03"/>
    <w:rsid w:val="00F6564E"/>
    <w:rsid w:val="00F668AA"/>
    <w:rsid w:val="00F67BC6"/>
    <w:rsid w:val="00F67BD5"/>
    <w:rsid w:val="00F7004C"/>
    <w:rsid w:val="00F741BE"/>
    <w:rsid w:val="00F74A94"/>
    <w:rsid w:val="00F75211"/>
    <w:rsid w:val="00F755A1"/>
    <w:rsid w:val="00F81A2D"/>
    <w:rsid w:val="00F85162"/>
    <w:rsid w:val="00F8627D"/>
    <w:rsid w:val="00F8673D"/>
    <w:rsid w:val="00F86785"/>
    <w:rsid w:val="00F86F88"/>
    <w:rsid w:val="00FA53D6"/>
    <w:rsid w:val="00FA7583"/>
    <w:rsid w:val="00FA7AF8"/>
    <w:rsid w:val="00FA7B1C"/>
    <w:rsid w:val="00FB2658"/>
    <w:rsid w:val="00FB3370"/>
    <w:rsid w:val="00FC2443"/>
    <w:rsid w:val="00FC35B3"/>
    <w:rsid w:val="00FC47ED"/>
    <w:rsid w:val="00FC7CAF"/>
    <w:rsid w:val="00FD1DA1"/>
    <w:rsid w:val="00FD4AF6"/>
    <w:rsid w:val="00FE0198"/>
    <w:rsid w:val="00FE072B"/>
    <w:rsid w:val="00FE0B3A"/>
    <w:rsid w:val="00FE1658"/>
    <w:rsid w:val="00FE22CB"/>
    <w:rsid w:val="00FE5DA2"/>
    <w:rsid w:val="00FE6B39"/>
    <w:rsid w:val="00FF0039"/>
    <w:rsid w:val="00FF0710"/>
    <w:rsid w:val="00FF5287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5E"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3512"/>
    <w:pPr>
      <w:tabs>
        <w:tab w:val="center" w:pos="4320"/>
        <w:tab w:val="right" w:pos="8640"/>
      </w:tabs>
      <w:jc w:val="both"/>
    </w:pPr>
    <w:rPr>
      <w:sz w:val="22"/>
      <w:lang w:eastAsia="en-US"/>
    </w:rPr>
  </w:style>
  <w:style w:type="paragraph" w:customStyle="1" w:styleId="articolo">
    <w:name w:val="articolo"/>
    <w:basedOn w:val="Normal"/>
    <w:rsid w:val="001A14D4"/>
    <w:pPr>
      <w:widowControl w:val="0"/>
      <w:jc w:val="both"/>
    </w:pPr>
    <w:rPr>
      <w:sz w:val="16"/>
      <w:szCs w:val="20"/>
      <w:lang w:eastAsia="en-US"/>
    </w:rPr>
  </w:style>
  <w:style w:type="paragraph" w:styleId="Footer">
    <w:name w:val="footer"/>
    <w:basedOn w:val="Normal"/>
    <w:link w:val="FooterChar"/>
    <w:rsid w:val="001131F4"/>
    <w:pPr>
      <w:tabs>
        <w:tab w:val="center" w:pos="4819"/>
        <w:tab w:val="right" w:pos="9638"/>
      </w:tabs>
    </w:pPr>
  </w:style>
  <w:style w:type="paragraph" w:styleId="BodyText">
    <w:name w:val="Body Text"/>
    <w:basedOn w:val="Normal"/>
    <w:rsid w:val="001131F4"/>
    <w:pPr>
      <w:jc w:val="center"/>
    </w:pPr>
    <w:rPr>
      <w:b/>
      <w:bCs/>
      <w:sz w:val="70"/>
      <w:lang w:eastAsia="en-US"/>
    </w:rPr>
  </w:style>
  <w:style w:type="table" w:customStyle="1" w:styleId="BANCAIMI2">
    <w:name w:val="BANCA IMI 2"/>
    <w:basedOn w:val="TableNormal"/>
    <w:rsid w:val="00E25F89"/>
    <w:pPr>
      <w:spacing w:before="60" w:after="60"/>
    </w:pPr>
    <w:tblPr>
      <w:tblStyleRowBandSize w:val="1"/>
      <w:tblStyleColBandSize w:val="1"/>
      <w:jc w:val="center"/>
    </w:tblPr>
    <w:trPr>
      <w:jc w:val="center"/>
    </w:trPr>
    <w:tcPr>
      <w:shd w:val="clear" w:color="auto" w:fill="FFFFFF"/>
      <w:vAlign w:val="center"/>
    </w:tcPr>
    <w:tblStylePr w:type="firstRow">
      <w:rPr>
        <w:rFonts w:ascii="Times New Roman" w:hAnsi="Times New Roman"/>
        <w:b/>
        <w:sz w:val="20"/>
      </w:rPr>
      <w:tblPr/>
      <w:tcPr>
        <w:shd w:val="clear" w:color="auto" w:fill="FFFFFF"/>
      </w:tcPr>
    </w:tblStylePr>
    <w:tblStylePr w:type="firstCol">
      <w:rPr>
        <w:rFonts w:ascii="Times New Roman" w:hAnsi="Times New Roman"/>
        <w:sz w:val="20"/>
      </w:rPr>
    </w:tblStylePr>
    <w:tblStylePr w:type="band1Vert">
      <w:rPr>
        <w:b w:val="0"/>
      </w:rPr>
    </w:tblStylePr>
    <w:tblStylePr w:type="band1Horz">
      <w:rPr>
        <w:rFonts w:ascii="Times New Roman" w:hAnsi="Times New Roman"/>
        <w:b w:val="0"/>
        <w:sz w:val="20"/>
      </w:rPr>
      <w:tblPr/>
      <w:tcPr>
        <w:shd w:val="clear" w:color="auto" w:fill="E0E3E5"/>
      </w:tcPr>
    </w:tblStylePr>
    <w:tblStylePr w:type="band2Horz">
      <w:rPr>
        <w:rFonts w:ascii="Times New Roman" w:hAnsi="Times New Roman"/>
        <w:sz w:val="20"/>
      </w:rPr>
      <w:tblPr/>
      <w:tcPr>
        <w:shd w:val="clear" w:color="auto" w:fill="FFFFFF"/>
      </w:tcPr>
    </w:tblStylePr>
  </w:style>
  <w:style w:type="paragraph" w:styleId="BalloonText">
    <w:name w:val="Balloon Text"/>
    <w:basedOn w:val="Normal"/>
    <w:semiHidden/>
    <w:rsid w:val="00BB6A4A"/>
    <w:rPr>
      <w:rFonts w:ascii="Tahoma" w:hAnsi="Tahoma" w:cs="Tahoma"/>
      <w:sz w:val="16"/>
      <w:szCs w:val="16"/>
    </w:rPr>
  </w:style>
  <w:style w:type="paragraph" w:customStyle="1" w:styleId="AOHead2">
    <w:name w:val="AOHead2"/>
    <w:basedOn w:val="Normal"/>
    <w:next w:val="Normal"/>
    <w:rsid w:val="0051520B"/>
    <w:pPr>
      <w:keepNext/>
      <w:numPr>
        <w:ilvl w:val="2"/>
        <w:numId w:val="1"/>
      </w:numPr>
      <w:spacing w:before="240" w:line="260" w:lineRule="atLeast"/>
      <w:jc w:val="both"/>
      <w:outlineLvl w:val="1"/>
    </w:pPr>
    <w:rPr>
      <w:rFonts w:eastAsia="SimSun"/>
      <w:b/>
      <w:sz w:val="22"/>
      <w:szCs w:val="22"/>
      <w:lang w:eastAsia="en-US"/>
    </w:rPr>
  </w:style>
  <w:style w:type="character" w:customStyle="1" w:styleId="gamnal1a">
    <w:name w:val="gamnal1a"/>
    <w:semiHidden/>
    <w:rsid w:val="00A83967"/>
    <w:rPr>
      <w:rFonts w:ascii="Arial" w:hAnsi="Arial" w:cs="Arial"/>
      <w:color w:val="000080"/>
      <w:sz w:val="20"/>
      <w:szCs w:val="20"/>
    </w:rPr>
  </w:style>
  <w:style w:type="character" w:styleId="Strong">
    <w:name w:val="Strong"/>
    <w:qFormat/>
    <w:rsid w:val="006C5D5E"/>
    <w:rPr>
      <w:b/>
      <w:bCs/>
    </w:rPr>
  </w:style>
  <w:style w:type="table" w:customStyle="1" w:styleId="Style1">
    <w:name w:val="Style1"/>
    <w:basedOn w:val="BANCAIMI2"/>
    <w:uiPriority w:val="99"/>
    <w:rsid w:val="00CD2ED7"/>
    <w:pPr>
      <w:spacing w:before="0" w:after="0"/>
    </w:pPr>
    <w:tblPr>
      <w:tblBorders>
        <w:top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bottom w:w="28" w:type="dxa"/>
      </w:tblCellMar>
    </w:tblPr>
    <w:tcPr>
      <w:shd w:val="clear" w:color="auto" w:fill="D9D9D9"/>
    </w:tcPr>
    <w:tblStylePr w:type="firstRow">
      <w:rPr>
        <w:rFonts w:ascii="Times New Roman" w:hAnsi="Times New Roman"/>
        <w:b/>
        <w:sz w:val="20"/>
      </w:rPr>
      <w:tblPr/>
      <w:tcPr>
        <w:shd w:val="clear" w:color="auto" w:fill="FFFFFF"/>
      </w:tcPr>
    </w:tblStylePr>
    <w:tblStylePr w:type="firstCol">
      <w:rPr>
        <w:rFonts w:ascii="Times New Roman" w:hAnsi="Times New Roman"/>
        <w:sz w:val="20"/>
      </w:rPr>
    </w:tblStylePr>
    <w:tblStylePr w:type="band1Vert">
      <w:rPr>
        <w:b w:val="0"/>
      </w:rPr>
    </w:tblStylePr>
    <w:tblStylePr w:type="band1Horz">
      <w:rPr>
        <w:rFonts w:ascii="Times New Roman" w:hAnsi="Times New Roman"/>
        <w:b w:val="0"/>
        <w:sz w:val="20"/>
      </w:rPr>
      <w:tblPr/>
      <w:tcPr>
        <w:shd w:val="clear" w:color="auto" w:fill="E0E3E5"/>
      </w:tcPr>
    </w:tblStylePr>
    <w:tblStylePr w:type="band2Horz">
      <w:rPr>
        <w:rFonts w:ascii="Times New Roman" w:hAnsi="Times New Roman"/>
        <w:sz w:val="20"/>
      </w:rPr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E23BE1"/>
    <w:rPr>
      <w:color w:val="808080"/>
    </w:rPr>
  </w:style>
  <w:style w:type="character" w:styleId="CommentReference">
    <w:name w:val="annotation reference"/>
    <w:basedOn w:val="DefaultParagraphFont"/>
    <w:rsid w:val="00B91E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1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1E24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rsid w:val="00B91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1E24"/>
    <w:rPr>
      <w:b/>
      <w:bCs/>
      <w:lang w:val="it-IT" w:eastAsia="it-IT"/>
    </w:rPr>
  </w:style>
  <w:style w:type="paragraph" w:styleId="Revision">
    <w:name w:val="Revision"/>
    <w:hidden/>
    <w:uiPriority w:val="99"/>
    <w:semiHidden/>
    <w:rsid w:val="008271E7"/>
    <w:rPr>
      <w:sz w:val="24"/>
      <w:szCs w:val="24"/>
      <w:lang w:val="it-IT" w:eastAsia="it-IT"/>
    </w:rPr>
  </w:style>
  <w:style w:type="paragraph" w:customStyle="1" w:styleId="Default">
    <w:name w:val="Default"/>
    <w:rsid w:val="002173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567F8"/>
    <w:rPr>
      <w:sz w:val="24"/>
      <w:szCs w:val="24"/>
      <w:lang w:val="it-IT" w:eastAsia="it-IT"/>
    </w:rPr>
  </w:style>
  <w:style w:type="table" w:styleId="Table3Deffects1">
    <w:name w:val="Table 3D effects 1"/>
    <w:basedOn w:val="TableNormal"/>
    <w:rsid w:val="00983F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Head">
    <w:name w:val="DefHead"/>
    <w:rsid w:val="005006C2"/>
    <w:pPr>
      <w:spacing w:before="240" w:line="260" w:lineRule="atLeast"/>
      <w:jc w:val="both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5E"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3512"/>
    <w:pPr>
      <w:tabs>
        <w:tab w:val="center" w:pos="4320"/>
        <w:tab w:val="right" w:pos="8640"/>
      </w:tabs>
      <w:jc w:val="both"/>
    </w:pPr>
    <w:rPr>
      <w:sz w:val="22"/>
      <w:lang w:eastAsia="en-US"/>
    </w:rPr>
  </w:style>
  <w:style w:type="paragraph" w:customStyle="1" w:styleId="articolo">
    <w:name w:val="articolo"/>
    <w:basedOn w:val="Normal"/>
    <w:rsid w:val="001A14D4"/>
    <w:pPr>
      <w:widowControl w:val="0"/>
      <w:jc w:val="both"/>
    </w:pPr>
    <w:rPr>
      <w:sz w:val="16"/>
      <w:szCs w:val="20"/>
      <w:lang w:eastAsia="en-US"/>
    </w:rPr>
  </w:style>
  <w:style w:type="paragraph" w:styleId="Footer">
    <w:name w:val="footer"/>
    <w:basedOn w:val="Normal"/>
    <w:link w:val="FooterChar"/>
    <w:rsid w:val="001131F4"/>
    <w:pPr>
      <w:tabs>
        <w:tab w:val="center" w:pos="4819"/>
        <w:tab w:val="right" w:pos="9638"/>
      </w:tabs>
    </w:pPr>
  </w:style>
  <w:style w:type="paragraph" w:styleId="BodyText">
    <w:name w:val="Body Text"/>
    <w:basedOn w:val="Normal"/>
    <w:rsid w:val="001131F4"/>
    <w:pPr>
      <w:jc w:val="center"/>
    </w:pPr>
    <w:rPr>
      <w:b/>
      <w:bCs/>
      <w:sz w:val="70"/>
      <w:lang w:eastAsia="en-US"/>
    </w:rPr>
  </w:style>
  <w:style w:type="table" w:customStyle="1" w:styleId="BANCAIMI2">
    <w:name w:val="BANCA IMI 2"/>
    <w:basedOn w:val="TableNormal"/>
    <w:rsid w:val="00E25F89"/>
    <w:pPr>
      <w:spacing w:before="60" w:after="60"/>
    </w:pPr>
    <w:tblPr>
      <w:tblStyleRowBandSize w:val="1"/>
      <w:tblStyleColBandSize w:val="1"/>
      <w:jc w:val="center"/>
    </w:tblPr>
    <w:trPr>
      <w:jc w:val="center"/>
    </w:trPr>
    <w:tcPr>
      <w:shd w:val="clear" w:color="auto" w:fill="FFFFFF"/>
      <w:vAlign w:val="center"/>
    </w:tcPr>
    <w:tblStylePr w:type="firstRow">
      <w:rPr>
        <w:rFonts w:ascii="Times New Roman" w:hAnsi="Times New Roman"/>
        <w:b/>
        <w:sz w:val="20"/>
      </w:rPr>
      <w:tblPr/>
      <w:tcPr>
        <w:shd w:val="clear" w:color="auto" w:fill="FFFFFF"/>
      </w:tcPr>
    </w:tblStylePr>
    <w:tblStylePr w:type="firstCol">
      <w:rPr>
        <w:rFonts w:ascii="Times New Roman" w:hAnsi="Times New Roman"/>
        <w:sz w:val="20"/>
      </w:rPr>
    </w:tblStylePr>
    <w:tblStylePr w:type="band1Vert">
      <w:rPr>
        <w:b w:val="0"/>
      </w:rPr>
    </w:tblStylePr>
    <w:tblStylePr w:type="band1Horz">
      <w:rPr>
        <w:rFonts w:ascii="Times New Roman" w:hAnsi="Times New Roman"/>
        <w:b w:val="0"/>
        <w:sz w:val="20"/>
      </w:rPr>
      <w:tblPr/>
      <w:tcPr>
        <w:shd w:val="clear" w:color="auto" w:fill="E0E3E5"/>
      </w:tcPr>
    </w:tblStylePr>
    <w:tblStylePr w:type="band2Horz">
      <w:rPr>
        <w:rFonts w:ascii="Times New Roman" w:hAnsi="Times New Roman"/>
        <w:sz w:val="20"/>
      </w:rPr>
      <w:tblPr/>
      <w:tcPr>
        <w:shd w:val="clear" w:color="auto" w:fill="FFFFFF"/>
      </w:tcPr>
    </w:tblStylePr>
  </w:style>
  <w:style w:type="paragraph" w:styleId="BalloonText">
    <w:name w:val="Balloon Text"/>
    <w:basedOn w:val="Normal"/>
    <w:semiHidden/>
    <w:rsid w:val="00BB6A4A"/>
    <w:rPr>
      <w:rFonts w:ascii="Tahoma" w:hAnsi="Tahoma" w:cs="Tahoma"/>
      <w:sz w:val="16"/>
      <w:szCs w:val="16"/>
    </w:rPr>
  </w:style>
  <w:style w:type="paragraph" w:customStyle="1" w:styleId="AOHead2">
    <w:name w:val="AOHead2"/>
    <w:basedOn w:val="Normal"/>
    <w:next w:val="Normal"/>
    <w:rsid w:val="0051520B"/>
    <w:pPr>
      <w:keepNext/>
      <w:numPr>
        <w:ilvl w:val="2"/>
        <w:numId w:val="1"/>
      </w:numPr>
      <w:spacing w:before="240" w:line="260" w:lineRule="atLeast"/>
      <w:jc w:val="both"/>
      <w:outlineLvl w:val="1"/>
    </w:pPr>
    <w:rPr>
      <w:rFonts w:eastAsia="SimSun"/>
      <w:b/>
      <w:sz w:val="22"/>
      <w:szCs w:val="22"/>
      <w:lang w:eastAsia="en-US"/>
    </w:rPr>
  </w:style>
  <w:style w:type="character" w:customStyle="1" w:styleId="gamnal1a">
    <w:name w:val="gamnal1a"/>
    <w:semiHidden/>
    <w:rsid w:val="00A83967"/>
    <w:rPr>
      <w:rFonts w:ascii="Arial" w:hAnsi="Arial" w:cs="Arial"/>
      <w:color w:val="000080"/>
      <w:sz w:val="20"/>
      <w:szCs w:val="20"/>
    </w:rPr>
  </w:style>
  <w:style w:type="character" w:styleId="Strong">
    <w:name w:val="Strong"/>
    <w:qFormat/>
    <w:rsid w:val="006C5D5E"/>
    <w:rPr>
      <w:b/>
      <w:bCs/>
    </w:rPr>
  </w:style>
  <w:style w:type="table" w:customStyle="1" w:styleId="Style1">
    <w:name w:val="Style1"/>
    <w:basedOn w:val="BANCAIMI2"/>
    <w:uiPriority w:val="99"/>
    <w:rsid w:val="00CD2ED7"/>
    <w:pPr>
      <w:spacing w:before="0" w:after="0"/>
    </w:pPr>
    <w:tblPr>
      <w:tblBorders>
        <w:top w:val="single" w:sz="4" w:space="0" w:color="808080"/>
        <w:bottom w:val="single" w:sz="4" w:space="0" w:color="808080"/>
        <w:insideH w:val="single" w:sz="4" w:space="0" w:color="808080"/>
      </w:tblBorders>
      <w:tblCellMar>
        <w:top w:w="28" w:type="dxa"/>
        <w:bottom w:w="28" w:type="dxa"/>
      </w:tblCellMar>
    </w:tblPr>
    <w:tcPr>
      <w:shd w:val="clear" w:color="auto" w:fill="D9D9D9"/>
    </w:tcPr>
    <w:tblStylePr w:type="firstRow">
      <w:rPr>
        <w:rFonts w:ascii="Times New Roman" w:hAnsi="Times New Roman"/>
        <w:b/>
        <w:sz w:val="20"/>
      </w:rPr>
      <w:tblPr/>
      <w:tcPr>
        <w:shd w:val="clear" w:color="auto" w:fill="FFFFFF"/>
      </w:tcPr>
    </w:tblStylePr>
    <w:tblStylePr w:type="firstCol">
      <w:rPr>
        <w:rFonts w:ascii="Times New Roman" w:hAnsi="Times New Roman"/>
        <w:sz w:val="20"/>
      </w:rPr>
    </w:tblStylePr>
    <w:tblStylePr w:type="band1Vert">
      <w:rPr>
        <w:b w:val="0"/>
      </w:rPr>
    </w:tblStylePr>
    <w:tblStylePr w:type="band1Horz">
      <w:rPr>
        <w:rFonts w:ascii="Times New Roman" w:hAnsi="Times New Roman"/>
        <w:b w:val="0"/>
        <w:sz w:val="20"/>
      </w:rPr>
      <w:tblPr/>
      <w:tcPr>
        <w:shd w:val="clear" w:color="auto" w:fill="E0E3E5"/>
      </w:tcPr>
    </w:tblStylePr>
    <w:tblStylePr w:type="band2Horz">
      <w:rPr>
        <w:rFonts w:ascii="Times New Roman" w:hAnsi="Times New Roman"/>
        <w:sz w:val="20"/>
      </w:rPr>
      <w:tblPr/>
      <w:tcPr>
        <w:shd w:val="clear" w:color="auto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E23BE1"/>
    <w:rPr>
      <w:color w:val="808080"/>
    </w:rPr>
  </w:style>
  <w:style w:type="character" w:styleId="CommentReference">
    <w:name w:val="annotation reference"/>
    <w:basedOn w:val="DefaultParagraphFont"/>
    <w:rsid w:val="00B91E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1E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1E24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rsid w:val="00B91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1E24"/>
    <w:rPr>
      <w:b/>
      <w:bCs/>
      <w:lang w:val="it-IT" w:eastAsia="it-IT"/>
    </w:rPr>
  </w:style>
  <w:style w:type="paragraph" w:styleId="Revision">
    <w:name w:val="Revision"/>
    <w:hidden/>
    <w:uiPriority w:val="99"/>
    <w:semiHidden/>
    <w:rsid w:val="008271E7"/>
    <w:rPr>
      <w:sz w:val="24"/>
      <w:szCs w:val="24"/>
      <w:lang w:val="it-IT" w:eastAsia="it-IT"/>
    </w:rPr>
  </w:style>
  <w:style w:type="paragraph" w:customStyle="1" w:styleId="Default">
    <w:name w:val="Default"/>
    <w:rsid w:val="002173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567F8"/>
    <w:rPr>
      <w:sz w:val="24"/>
      <w:szCs w:val="24"/>
      <w:lang w:val="it-IT" w:eastAsia="it-IT"/>
    </w:rPr>
  </w:style>
  <w:style w:type="table" w:styleId="Table3Deffects1">
    <w:name w:val="Table 3D effects 1"/>
    <w:basedOn w:val="TableNormal"/>
    <w:rsid w:val="00983F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Head">
    <w:name w:val="DefHead"/>
    <w:rsid w:val="005006C2"/>
    <w:pPr>
      <w:spacing w:before="240" w:line="260" w:lineRule="atLeast"/>
      <w:jc w:val="both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FD65C-1B89-44E6-83D7-8DCEF93B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Caboto s.p.a.</Company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coloms1b</dc:creator>
  <cp:lastModifiedBy>LONGO ROCCO</cp:lastModifiedBy>
  <cp:revision>21</cp:revision>
  <cp:lastPrinted>2014-02-07T09:30:00Z</cp:lastPrinted>
  <dcterms:created xsi:type="dcterms:W3CDTF">2019-03-29T09:39:00Z</dcterms:created>
  <dcterms:modified xsi:type="dcterms:W3CDTF">2019-03-29T16:44:00Z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