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i w:val="0"/>
          <w:color w:val="D69E2E"/>
          <w:sz w:val="20"/>
        </w:rPr>
        <w:t>INVESTIGACIÓN + PROYECTO DE REDISEÑO</w:t>
      </w:r>
    </w:p>
    <w:p>
      <w:pPr>
        <w:spacing w:after="200"/>
        <w:jc w:val="center"/>
      </w:pPr>
      <w:r>
        <w:rPr>
          <w:rFonts w:ascii="Calibri" w:hAnsi="Calibri"/>
          <w:b/>
          <w:i w:val="0"/>
          <w:color w:val="17324D"/>
          <w:sz w:val="58"/>
        </w:rPr>
        <w:t>Motor de Rutinas VIP 2.0</w:t>
      </w:r>
    </w:p>
    <w:p>
      <w:pPr>
        <w:spacing w:after="520"/>
        <w:jc w:val="center"/>
      </w:pPr>
      <w:r>
        <w:rPr>
          <w:rFonts w:ascii="Calibri" w:hAnsi="Calibri"/>
          <w:b w:val="0"/>
          <w:i/>
          <w:color w:val="1F4D78"/>
          <w:sz w:val="28"/>
        </w:rPr>
        <w:t>De una lista de presets a un sistema de decisión explicable</w:t>
      </w:r>
    </w:p>
    <w:p>
      <w:pPr>
        <w:spacing w:after="120"/>
        <w:jc w:val="center"/>
      </w:pPr>
      <w:r>
        <w:rPr>
          <w:rFonts w:ascii="Calibri" w:hAnsi="Calibri"/>
          <w:b/>
          <w:i w:val="0"/>
          <w:color w:val="17212B"/>
          <w:sz w:val="24"/>
        </w:rPr>
        <w:t>¿A quién entrenamos? ¿Para qué entrenamos? ¿Qué dosis puede tolerar hoy?</w:t>
      </w:r>
    </w:p>
    <w:p>
      <w:pPr>
        <w:spacing w:after="1800"/>
        <w:jc w:val="center"/>
      </w:pPr>
      <w:r>
        <w:rPr>
          <w:rFonts w:ascii="Calibri" w:hAnsi="Calibri"/>
          <w:b w:val="0"/>
          <w:i w:val="0"/>
          <w:color w:val="667085"/>
          <w:sz w:val="21"/>
        </w:rPr>
        <w:t>Preparado para Alejandro Mendoza - Portal VIP Fitness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FF8E8"/>
          </w:tcPr>
          <w:p>
            <w:pPr>
              <w:spacing w:after="40"/>
            </w:pPr>
            <w:r>
              <w:rPr>
                <w:rFonts w:ascii="Calibri" w:hAnsi="Calibri"/>
                <w:b/>
                <w:i w:val="0"/>
                <w:color w:val="7A5A00"/>
                <w:sz w:val="22"/>
              </w:rPr>
              <w:t>Estado del proyecto</w:t>
            </w:r>
          </w:p>
          <w:p>
            <w:pPr>
              <w:spacing w:after="0" w:line="276" w:lineRule="auto"/>
            </w:pPr>
            <w:r>
              <w:rPr>
                <w:rFonts w:ascii="Calibri" w:hAnsi="Calibri"/>
                <w:b w:val="0"/>
                <w:i w:val="0"/>
                <w:color w:val="17212B"/>
                <w:sz w:val="20"/>
              </w:rPr>
              <w:t>Investigación y propuesta listas para aprobación. No se ha reemplazado todavía el motor actual ni se ha ejecutado el rediseño visual.</w:t>
            </w:r>
          </w:p>
        </w:tc>
      </w:tr>
    </w:tbl>
    <w:p>
      <w:pPr>
        <w:spacing w:after="40"/>
      </w:pPr>
    </w:p>
    <w:p>
      <w:r>
        <w:br w:type="page"/>
      </w:r>
    </w:p>
    <w:p>
      <w:pPr>
        <w:pStyle w:val="Heading1"/>
        <w:keepNext/>
      </w:pPr>
      <w:r>
        <w:t>Resumen ejecutivo</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E8EEF5"/>
          </w:tcPr>
          <w:p>
            <w:pPr>
              <w:spacing w:after="40"/>
            </w:pPr>
            <w:r>
              <w:rPr>
                <w:rFonts w:ascii="Calibri" w:hAnsi="Calibri"/>
                <w:b/>
                <w:i w:val="0"/>
                <w:color w:val="17324D"/>
                <w:sz w:val="22"/>
              </w:rPr>
              <w:t>Conclusión principal</w:t>
            </w:r>
          </w:p>
          <w:p>
            <w:pPr>
              <w:spacing w:after="0" w:line="276" w:lineRule="auto"/>
            </w:pPr>
            <w:r>
              <w:rPr>
                <w:rFonts w:ascii="Calibri" w:hAnsi="Calibri"/>
                <w:b w:val="0"/>
                <w:i w:val="0"/>
                <w:color w:val="17212B"/>
                <w:sz w:val="20"/>
              </w:rPr>
              <w:t>El problema no se resuelve agregando más estilos de atletas. VIP necesita un motor en capas: entrevista, seguridad, clasificación multidimensional, dosis inicial, selección de ejercicios, validación semanal y ajuste por respuesta. El entrenador conserva la decisión final.</w:t>
            </w:r>
          </w:p>
        </w:tc>
      </w:tr>
    </w:tbl>
    <w:p>
      <w:pPr>
        <w:spacing w:after="40"/>
      </w:pPr>
    </w:p>
    <w:p>
      <w:pPr>
        <w:keepLines w:val="0"/>
        <w:spacing w:after="120" w:line="283" w:lineRule="auto"/>
      </w:pPr>
      <w:r>
        <w:rPr>
          <w:rFonts w:ascii="Calibri" w:hAnsi="Calibri"/>
          <w:b w:val="0"/>
          <w:i w:val="0"/>
          <w:color w:val="17212B"/>
          <w:sz w:val="21"/>
        </w:rPr>
        <w:t>El motor actual tiene buenas barreras: usa ejercicios reales por ID, respeta prohibidos, deja trazabilidad y exige aprobación del entrenador. Sin embargo, mezcla edad, nivel, condición y estatus competitivo en una misma etiqueta; usa volúmenes fijos por preset; y ofrece estilos asociados a atletas antes de conocer suficiente información sobre la persona.</w:t>
      </w:r>
    </w:p>
    <w:p>
      <w:pPr>
        <w:keepLines w:val="0"/>
        <w:spacing w:after="120" w:line="283" w:lineRule="auto"/>
      </w:pPr>
      <w:r>
        <w:rPr>
          <w:rFonts w:ascii="Calibri" w:hAnsi="Calibri"/>
          <w:b w:val="0"/>
          <w:i w:val="0"/>
          <w:color w:val="17212B"/>
          <w:sz w:val="21"/>
        </w:rPr>
        <w:t>La evidencia más reciente de ACSM (2026) favorece consistencia, individualización y dosis adaptada al objetivo por encima de la complejidad. Para hipertrofia, el volumen semanal importa; para fuerza, las cargas altas y el orden del ejercicio; para potencia, cargas moderadas movidas rápido. La cercanía al fallo y las técnicas avanzadas son herramientas opcionales, no requisitos universales. [S1-S3]</w:t>
      </w:r>
    </w:p>
    <w:p>
      <w:pPr>
        <w:keepLines w:val="0"/>
        <w:spacing w:after="120" w:line="283" w:lineRule="auto"/>
      </w:pPr>
      <w:r>
        <w:rPr>
          <w:rFonts w:ascii="Calibri" w:hAnsi="Calibri"/>
          <w:b w:val="0"/>
          <w:i w:val="0"/>
          <w:color w:val="17212B"/>
          <w:sz w:val="21"/>
        </w:rPr>
        <w:t>Recomendación: construir el Motor VIP 2.0 en paralelo y compararlo contra el actual antes de retirarlo. La salida debe explicar por qué eligió la división semanal, cuántas series directas asignó a cada grupo, qué restricciones aplicó y cómo progresar o retroceder.</w:t>
      </w:r>
    </w:p>
    <w:p>
      <w:pPr>
        <w:pStyle w:val="Heading2"/>
        <w:keepNext/>
      </w:pPr>
      <w:r>
        <w:t>Qué conservar, qué reemplazar</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shd w:fill="E8EEF5"/>
            <w:tcMar>
              <w:top w:w="100" w:type="dxa"/>
              <w:start w:w="120" w:type="dxa"/>
              <w:bottom w:w="100" w:type="dxa"/>
              <w:end w:w="120" w:type="dxa"/>
            </w:tcMar>
            <w:vAlign w:val="center"/>
          </w:tcPr>
          <w:p>
            <w:pPr>
              <w:jc w:val="left"/>
            </w:pPr>
            <w:r>
              <w:rPr>
                <w:rFonts w:ascii="Calibri" w:hAnsi="Calibri"/>
                <w:b/>
                <w:i w:val="0"/>
                <w:color w:val="17324D"/>
                <w:sz w:val="19"/>
              </w:rPr>
              <w:t>Conservar</w:t>
            </w:r>
          </w:p>
        </w:tc>
        <w:tc>
          <w:tcPr>
            <w:tcW w:type="dxa" w:w="4680"/>
            <w:shd w:fill="E8EEF5"/>
            <w:tcMar>
              <w:top w:w="100" w:type="dxa"/>
              <w:start w:w="120" w:type="dxa"/>
              <w:bottom w:w="100" w:type="dxa"/>
              <w:end w:w="120" w:type="dxa"/>
            </w:tcMar>
            <w:vAlign w:val="center"/>
          </w:tcPr>
          <w:p>
            <w:pPr>
              <w:jc w:val="left"/>
            </w:pPr>
            <w:r>
              <w:rPr>
                <w:rFonts w:ascii="Calibri" w:hAnsi="Calibri"/>
                <w:b/>
                <w:i w:val="0"/>
                <w:color w:val="17324D"/>
                <w:sz w:val="19"/>
              </w:rPr>
              <w:t>Reemplazar o corregir</w:t>
            </w:r>
          </w:p>
        </w:tc>
      </w:tr>
      <w:tr>
        <w:tc>
          <w:tcPr>
            <w:tcW w:type="dxa" w:w="4680"/>
            <w:tcMar>
              <w:top w:w="100" w:type="dxa"/>
              <w:start w:w="120" w:type="dxa"/>
              <w:bottom w:w="100" w:type="dxa"/>
              <w:end w:w="120" w:type="dxa"/>
            </w:tcMar>
            <w:vAlign w:val="center"/>
          </w:tcPr>
          <w:p>
            <w:pPr>
              <w:spacing w:after="0" w:line="259" w:lineRule="auto"/>
            </w:pPr>
            <w:r>
              <w:rPr>
                <w:rFonts w:ascii="Calibri" w:hAnsi="Calibri"/>
                <w:b w:val="0"/>
                <w:i w:val="0"/>
                <w:color w:val="17212B"/>
                <w:sz w:val="18"/>
              </w:rPr>
              <w:t>Ejercicios activos con ID real; prohibidos; aprobación; auditoría; editor manual.</w:t>
            </w:r>
          </w:p>
        </w:tc>
        <w:tc>
          <w:tcPr>
            <w:tcW w:type="dxa" w:w="4680"/>
            <w:tcMar>
              <w:top w:w="100" w:type="dxa"/>
              <w:start w:w="120" w:type="dxa"/>
              <w:bottom w:w="100" w:type="dxa"/>
              <w:end w:w="120" w:type="dxa"/>
            </w:tcMar>
            <w:vAlign w:val="center"/>
          </w:tcPr>
          <w:p>
            <w:pPr>
              <w:spacing w:after="0" w:line="259" w:lineRule="auto"/>
            </w:pPr>
            <w:r>
              <w:rPr>
                <w:rFonts w:ascii="Calibri" w:hAnsi="Calibri"/>
                <w:b w:val="0"/>
                <w:i w:val="0"/>
                <w:color w:val="17212B"/>
                <w:sz w:val="18"/>
              </w:rPr>
              <w:t>Presets que mezclan principiante, senior, profesional y Olympia como si fueran una sola escala.</w:t>
            </w:r>
          </w:p>
        </w:tc>
      </w:tr>
      <w:tr>
        <w:tc>
          <w:tcPr>
            <w:tcW w:type="dxa" w:w="4680"/>
            <w:tcMar>
              <w:top w:w="100" w:type="dxa"/>
              <w:start w:w="120" w:type="dxa"/>
              <w:bottom w:w="100" w:type="dxa"/>
              <w:end w:w="120" w:type="dxa"/>
            </w:tcMar>
            <w:vAlign w:val="center"/>
          </w:tcPr>
          <w:p>
            <w:pPr>
              <w:spacing w:after="0" w:line="259" w:lineRule="auto"/>
            </w:pPr>
            <w:r>
              <w:rPr>
                <w:rFonts w:ascii="Calibri" w:hAnsi="Calibri"/>
                <w:b w:val="0"/>
                <w:i w:val="0"/>
                <w:color w:val="17212B"/>
                <w:sz w:val="18"/>
              </w:rPr>
              <w:t>Reglas biomecánicas por patrón y cobertura muscular.</w:t>
            </w:r>
          </w:p>
        </w:tc>
        <w:tc>
          <w:tcPr>
            <w:tcW w:type="dxa" w:w="4680"/>
            <w:tcMar>
              <w:top w:w="100" w:type="dxa"/>
              <w:start w:w="120" w:type="dxa"/>
              <w:bottom w:w="100" w:type="dxa"/>
              <w:end w:w="120" w:type="dxa"/>
            </w:tcMar>
            <w:vAlign w:val="center"/>
          </w:tcPr>
          <w:p>
            <w:pPr>
              <w:spacing w:after="0" w:line="259" w:lineRule="auto"/>
            </w:pPr>
            <w:r>
              <w:rPr>
                <w:rFonts w:ascii="Calibri" w:hAnsi="Calibri"/>
                <w:b w:val="0"/>
                <w:i w:val="0"/>
                <w:color w:val="17212B"/>
                <w:sz w:val="18"/>
              </w:rPr>
              <w:t>Series y repeticiones fijas sin conocer el volumen reciente ni la recuperación.</w:t>
            </w:r>
          </w:p>
        </w:tc>
      </w:tr>
      <w:tr>
        <w:tc>
          <w:tcPr>
            <w:tcW w:type="dxa" w:w="4680"/>
            <w:tcMar>
              <w:top w:w="100" w:type="dxa"/>
              <w:start w:w="120" w:type="dxa"/>
              <w:bottom w:w="100" w:type="dxa"/>
              <w:end w:w="120" w:type="dxa"/>
            </w:tcMar>
            <w:vAlign w:val="center"/>
          </w:tcPr>
          <w:p>
            <w:pPr>
              <w:spacing w:after="0" w:line="259" w:lineRule="auto"/>
            </w:pPr>
            <w:r>
              <w:rPr>
                <w:rFonts w:ascii="Calibri" w:hAnsi="Calibri"/>
                <w:b w:val="0"/>
                <w:i w:val="0"/>
                <w:color w:val="17212B"/>
                <w:sz w:val="18"/>
              </w:rPr>
              <w:t>Alertas visibles y no relajación silenciosa de filtros.</w:t>
            </w:r>
          </w:p>
        </w:tc>
        <w:tc>
          <w:tcPr>
            <w:tcW w:type="dxa" w:w="4680"/>
            <w:tcMar>
              <w:top w:w="100" w:type="dxa"/>
              <w:start w:w="120" w:type="dxa"/>
              <w:bottom w:w="100" w:type="dxa"/>
              <w:end w:w="120" w:type="dxa"/>
            </w:tcMar>
            <w:vAlign w:val="center"/>
          </w:tcPr>
          <w:p>
            <w:pPr>
              <w:spacing w:after="0" w:line="259" w:lineRule="auto"/>
            </w:pPr>
            <w:r>
              <w:rPr>
                <w:rFonts w:ascii="Calibri" w:hAnsi="Calibri"/>
                <w:b w:val="0"/>
                <w:i w:val="0"/>
                <w:color w:val="17212B"/>
                <w:sz w:val="18"/>
              </w:rPr>
              <w:t>Inspiración por nombres de atletas como selector primario de la dosis.</w:t>
            </w:r>
          </w:p>
        </w:tc>
      </w:tr>
      <w:tr>
        <w:tc>
          <w:tcPr>
            <w:tcW w:type="dxa" w:w="4680"/>
            <w:tcMar>
              <w:top w:w="100" w:type="dxa"/>
              <w:start w:w="120" w:type="dxa"/>
              <w:bottom w:w="100" w:type="dxa"/>
              <w:end w:w="120" w:type="dxa"/>
            </w:tcMar>
            <w:vAlign w:val="center"/>
          </w:tcPr>
          <w:p>
            <w:pPr>
              <w:spacing w:after="0" w:line="259" w:lineRule="auto"/>
            </w:pPr>
            <w:r>
              <w:rPr>
                <w:rFonts w:ascii="Calibri" w:hAnsi="Calibri"/>
                <w:b w:val="0"/>
                <w:i w:val="0"/>
                <w:color w:val="17212B"/>
                <w:sz w:val="18"/>
              </w:rPr>
              <w:t>Modo manual y automático dentro del mismo portal.</w:t>
            </w:r>
          </w:p>
        </w:tc>
        <w:tc>
          <w:tcPr>
            <w:tcW w:type="dxa" w:w="4680"/>
            <w:tcMar>
              <w:top w:w="100" w:type="dxa"/>
              <w:start w:w="120" w:type="dxa"/>
              <w:bottom w:w="100" w:type="dxa"/>
              <w:end w:w="120" w:type="dxa"/>
            </w:tcMar>
            <w:vAlign w:val="center"/>
          </w:tcPr>
          <w:p>
            <w:pPr>
              <w:spacing w:after="0" w:line="259" w:lineRule="auto"/>
            </w:pPr>
            <w:r>
              <w:rPr>
                <w:rFonts w:ascii="Calibri" w:hAnsi="Calibri"/>
                <w:b w:val="0"/>
                <w:i w:val="0"/>
                <w:color w:val="17212B"/>
                <w:sz w:val="18"/>
              </w:rPr>
              <w:t>Dos flujos superpuestos y cuestionario opcional escondido bajo el armado manual.</w:t>
            </w:r>
          </w:p>
        </w:tc>
      </w:tr>
    </w:tbl>
    <w:p>
      <w:pPr>
        <w:spacing w:after="40"/>
      </w:pPr>
    </w:p>
    <w:p>
      <w:pPr>
        <w:pStyle w:val="Heading1"/>
        <w:keepNext/>
      </w:pPr>
      <w:r>
        <w:t>1. Diagnóstico del sistema actual</w:t>
      </w:r>
    </w:p>
    <w:p>
      <w:pPr>
        <w:pStyle w:val="Heading2"/>
        <w:keepNext/>
      </w:pPr>
      <w:r>
        <w:t>Fortalezas reales</w:t>
      </w:r>
    </w:p>
    <w:p>
      <w:pPr>
        <w:pStyle w:val="ListBullet"/>
        <w:spacing w:after="80" w:line="283" w:lineRule="auto"/>
      </w:pPr>
      <w:r>
        <w:rPr>
          <w:rFonts w:ascii="Calibri" w:hAnsi="Calibri"/>
          <w:b w:val="0"/>
          <w:i w:val="0"/>
          <w:color w:val="17212B"/>
          <w:sz w:val="21"/>
        </w:rPr>
        <w:t>El motor no inventa ejercicios y conserva identificadores de la biblioteca.</w:t>
      </w:r>
    </w:p>
    <w:p>
      <w:pPr>
        <w:pStyle w:val="ListBullet"/>
        <w:spacing w:after="80" w:line="283" w:lineRule="auto"/>
      </w:pPr>
      <w:r>
        <w:rPr>
          <w:rFonts w:ascii="Calibri" w:hAnsi="Calibri"/>
          <w:b w:val="0"/>
          <w:i w:val="0"/>
          <w:color w:val="17212B"/>
          <w:sz w:val="21"/>
        </w:rPr>
        <w:t>Existe una segunda barrera semanal para cobertura y volumen.</w:t>
      </w:r>
    </w:p>
    <w:p>
      <w:pPr>
        <w:pStyle w:val="ListBullet"/>
        <w:spacing w:after="80" w:line="283" w:lineRule="auto"/>
      </w:pPr>
      <w:r>
        <w:rPr>
          <w:rFonts w:ascii="Calibri" w:hAnsi="Calibri"/>
          <w:b w:val="0"/>
          <w:i w:val="0"/>
          <w:color w:val="17212B"/>
          <w:sz w:val="21"/>
        </w:rPr>
        <w:t>Los antecedentes generan revisión; el sistema no diagnostica rehabilitación.</w:t>
      </w:r>
    </w:p>
    <w:p>
      <w:pPr>
        <w:pStyle w:val="ListBullet"/>
        <w:spacing w:after="80" w:line="283" w:lineRule="auto"/>
      </w:pPr>
      <w:r>
        <w:rPr>
          <w:rFonts w:ascii="Calibri" w:hAnsi="Calibri"/>
          <w:b w:val="0"/>
          <w:i w:val="0"/>
          <w:color w:val="17212B"/>
          <w:sz w:val="21"/>
        </w:rPr>
        <w:t>La rutina se puede editar antes de publicar y el entrenador mantiene el control.</w:t>
      </w:r>
    </w:p>
    <w:p>
      <w:pPr>
        <w:pStyle w:val="ListBullet"/>
        <w:spacing w:after="80" w:line="283" w:lineRule="auto"/>
      </w:pPr>
      <w:r>
        <w:rPr>
          <w:rFonts w:ascii="Calibri" w:hAnsi="Calibri"/>
          <w:b w:val="0"/>
          <w:i w:val="0"/>
          <w:color w:val="17212B"/>
          <w:sz w:val="21"/>
        </w:rPr>
        <w:t>El Método VIP ya codifica patrones útiles: press cargable para pecho, amplitud y densidad para espalda, cobertura deltoidea, dominancia de rodilla/cadera y balance bíceps-tríceps.</w:t>
      </w:r>
    </w:p>
    <w:p>
      <w:pPr>
        <w:pStyle w:val="Heading2"/>
        <w:keepNext/>
      </w:pPr>
      <w:r>
        <w:t>Fallos que explican rutinas incorrectas</w:t>
      </w:r>
    </w:p>
    <w:p>
      <w:pPr>
        <w:pStyle w:val="ListBullet"/>
        <w:spacing w:after="80" w:line="283" w:lineRule="auto"/>
      </w:pPr>
      <w:r>
        <w:rPr>
          <w:rFonts w:ascii="Calibri" w:hAnsi="Calibri"/>
          <w:b w:val="0"/>
          <w:i w:val="0"/>
          <w:color w:val="17212B"/>
          <w:sz w:val="21"/>
        </w:rPr>
        <w:t>Clasificación unidimensional: 'senior', 'Olympia' y 'profesional' conviven con principiante/intermedio/avanzado, aunque describen cosas diferentes.</w:t>
      </w:r>
    </w:p>
    <w:p>
      <w:pPr>
        <w:pStyle w:val="ListBullet"/>
        <w:spacing w:after="80" w:line="283" w:lineRule="auto"/>
      </w:pPr>
      <w:r>
        <w:rPr>
          <w:rFonts w:ascii="Calibri" w:hAnsi="Calibri"/>
          <w:b w:val="0"/>
          <w:i w:val="0"/>
          <w:color w:val="17212B"/>
          <w:sz w:val="21"/>
        </w:rPr>
        <w:t>Edad como atajo: cumplir 30 años no crea una fisiología de programación distinta. Incluso en mayores, la capacidad funcional y el historial pesan más que la edad sola. [S4]</w:t>
      </w:r>
    </w:p>
    <w:p>
      <w:pPr>
        <w:pStyle w:val="ListBullet"/>
        <w:spacing w:after="80" w:line="283" w:lineRule="auto"/>
      </w:pPr>
      <w:r>
        <w:rPr>
          <w:rFonts w:ascii="Calibri" w:hAnsi="Calibri"/>
          <w:b w:val="0"/>
          <w:i w:val="0"/>
          <w:color w:val="17212B"/>
          <w:sz w:val="21"/>
        </w:rPr>
        <w:t>Dosis sin ancla: se asignan ejercicios y series sin preguntar cuántas series efectivas venía tolerando cada músculo durante las últimas semanas.</w:t>
      </w:r>
    </w:p>
    <w:p>
      <w:pPr>
        <w:pStyle w:val="ListBullet"/>
        <w:spacing w:after="80" w:line="283" w:lineRule="auto"/>
      </w:pPr>
      <w:r>
        <w:rPr>
          <w:rFonts w:ascii="Calibri" w:hAnsi="Calibri"/>
          <w:b w:val="0"/>
          <w:i w:val="0"/>
          <w:color w:val="17212B"/>
          <w:sz w:val="21"/>
        </w:rPr>
        <w:t>Técnicas antes que necesidad: el estilo puede activar fallo, FST-7, drop sets o rest-pause sin una puntuación explícita de elegibilidad, fatiga y supervisión.</w:t>
      </w:r>
    </w:p>
    <w:p>
      <w:pPr>
        <w:pStyle w:val="ListBullet"/>
        <w:spacing w:after="80" w:line="283" w:lineRule="auto"/>
      </w:pPr>
      <w:r>
        <w:rPr>
          <w:rFonts w:ascii="Calibri" w:hAnsi="Calibri"/>
          <w:b w:val="0"/>
          <w:i w:val="0"/>
          <w:color w:val="17212B"/>
          <w:sz w:val="21"/>
        </w:rPr>
        <w:t>Recuperación insuficientemente operacionalizada: sueño, estrés, rendimiento reciente, DOMS, nutrición y actividad adicional no se convierten en ajustes verificables.</w:t>
      </w:r>
    </w:p>
    <w:p>
      <w:pPr>
        <w:pStyle w:val="ListBullet"/>
        <w:spacing w:after="80" w:line="283" w:lineRule="auto"/>
      </w:pPr>
      <w:r>
        <w:rPr>
          <w:rFonts w:ascii="Calibri" w:hAnsi="Calibri"/>
          <w:b w:val="0"/>
          <w:i w:val="0"/>
          <w:color w:val="17212B"/>
          <w:sz w:val="21"/>
        </w:rPr>
        <w:t>Competición incompleta: faltan divisiones actuales y, sobre todo, fase, fecha, puntos débiles, calendario y criterios de evaluación.</w:t>
      </w:r>
    </w:p>
    <w:p>
      <w:pPr>
        <w:pStyle w:val="ListBullet"/>
        <w:spacing w:after="80" w:line="283" w:lineRule="auto"/>
      </w:pPr>
      <w:r>
        <w:rPr>
          <w:rFonts w:ascii="Calibri" w:hAnsi="Calibri"/>
          <w:b w:val="0"/>
          <w:i w:val="0"/>
          <w:color w:val="17212B"/>
          <w:sz w:val="21"/>
        </w:rPr>
        <w:t>Experiencia medida casi solo por tiempo: dos años no garantizan dominio técnico, capacidad de estimar RIR ni tolerancia de volumen.</w:t>
      </w:r>
    </w:p>
    <w:p>
      <w:pPr>
        <w:pStyle w:val="ListBullet"/>
        <w:spacing w:after="80" w:line="283" w:lineRule="auto"/>
      </w:pPr>
      <w:r>
        <w:rPr>
          <w:rFonts w:ascii="Calibri" w:hAnsi="Calibri"/>
          <w:b w:val="0"/>
          <w:i w:val="0"/>
          <w:color w:val="17212B"/>
          <w:sz w:val="21"/>
        </w:rPr>
        <w:t>Interfaz duplicada y densa: armado manual y cuestionario aparecen como capas separadas; textos pequeños, bajo contraste y demasiadas decisiones simultáneas aumentan fatiga visual.</w:t>
      </w:r>
    </w:p>
    <w:p>
      <w:pPr>
        <w:pStyle w:val="Heading1"/>
        <w:keepNext/>
      </w:pPr>
      <w:r>
        <w:t>2. Base científica de programación</w:t>
      </w:r>
    </w:p>
    <w:p>
      <w:pPr>
        <w:pStyle w:val="Heading2"/>
        <w:keepNext/>
      </w:pPr>
      <w:r>
        <w:t>Principios con mayor respaldo</w:t>
      </w:r>
    </w:p>
    <w:tbl>
      <w:tblPr>
        <w:tblStyle w:val="TableGrid"/>
        <w:tblW w:type="dxa" w:w="9360"/>
        <w:jc w:val="left"/>
        <w:tblLayout w:type="fixed"/>
        <w:tblLook w:firstColumn="1" w:firstRow="1" w:lastColumn="0" w:lastRow="0" w:noHBand="0" w:noVBand="1" w:val="04A0"/>
        <w:tblInd w:w="120" w:type="dxa"/>
      </w:tblPr>
      <w:tblGrid>
        <w:gridCol w:w="1500"/>
        <w:gridCol w:w="3750"/>
        <w:gridCol w:w="4110"/>
      </w:tblGrid>
      <w:tr>
        <w:trPr>
          <w:tblHeader w:val="true"/>
        </w:trPr>
        <w:tc>
          <w:tcPr>
            <w:tcW w:type="dxa" w:w="1500"/>
            <w:shd w:fill="E8EEF5"/>
            <w:tcMar>
              <w:top w:w="100" w:type="dxa"/>
              <w:start w:w="120" w:type="dxa"/>
              <w:bottom w:w="100" w:type="dxa"/>
              <w:end w:w="120" w:type="dxa"/>
            </w:tcMar>
            <w:vAlign w:val="center"/>
          </w:tcPr>
          <w:p>
            <w:pPr>
              <w:jc w:val="left"/>
            </w:pPr>
            <w:r>
              <w:rPr>
                <w:rFonts w:ascii="Calibri" w:hAnsi="Calibri"/>
                <w:b/>
                <w:i w:val="0"/>
                <w:color w:val="17324D"/>
                <w:sz w:val="19"/>
              </w:rPr>
              <w:t>Variable</w:t>
            </w:r>
          </w:p>
        </w:tc>
        <w:tc>
          <w:tcPr>
            <w:tcW w:type="dxa" w:w="3750"/>
            <w:shd w:fill="E8EEF5"/>
            <w:tcMar>
              <w:top w:w="100" w:type="dxa"/>
              <w:start w:w="120" w:type="dxa"/>
              <w:bottom w:w="100" w:type="dxa"/>
              <w:end w:w="120" w:type="dxa"/>
            </w:tcMar>
            <w:vAlign w:val="center"/>
          </w:tcPr>
          <w:p>
            <w:pPr>
              <w:jc w:val="left"/>
            </w:pPr>
            <w:r>
              <w:rPr>
                <w:rFonts w:ascii="Calibri" w:hAnsi="Calibri"/>
                <w:b/>
                <w:i w:val="0"/>
                <w:color w:val="17324D"/>
                <w:sz w:val="19"/>
              </w:rPr>
              <w:t>Regla de partida</w:t>
            </w:r>
          </w:p>
        </w:tc>
        <w:tc>
          <w:tcPr>
            <w:tcW w:type="dxa" w:w="4110"/>
            <w:shd w:fill="E8EEF5"/>
            <w:tcMar>
              <w:top w:w="100" w:type="dxa"/>
              <w:start w:w="120" w:type="dxa"/>
              <w:bottom w:w="100" w:type="dxa"/>
              <w:end w:w="120" w:type="dxa"/>
            </w:tcMar>
            <w:vAlign w:val="center"/>
          </w:tcPr>
          <w:p>
            <w:pPr>
              <w:jc w:val="left"/>
            </w:pPr>
            <w:r>
              <w:rPr>
                <w:rFonts w:ascii="Calibri" w:hAnsi="Calibri"/>
                <w:b/>
                <w:i w:val="0"/>
                <w:color w:val="17324D"/>
                <w:sz w:val="19"/>
              </w:rPr>
              <w:t>Cómo la usará VIP</w:t>
            </w:r>
          </w:p>
        </w:tc>
      </w:tr>
      <w:tr>
        <w:tc>
          <w:tcPr>
            <w:tcW w:type="dxa" w:w="1500"/>
            <w:tcMar>
              <w:top w:w="100" w:type="dxa"/>
              <w:start w:w="120" w:type="dxa"/>
              <w:bottom w:w="100" w:type="dxa"/>
              <w:end w:w="120" w:type="dxa"/>
            </w:tcMar>
            <w:vAlign w:val="center"/>
          </w:tcPr>
          <w:p>
            <w:pPr>
              <w:spacing w:after="0" w:line="259" w:lineRule="auto"/>
            </w:pPr>
            <w:r>
              <w:rPr>
                <w:rFonts w:ascii="Calibri" w:hAnsi="Calibri"/>
                <w:b w:val="0"/>
                <w:i w:val="0"/>
                <w:color w:val="17212B"/>
                <w:sz w:val="18"/>
              </w:rPr>
              <w:t>Adherencia</w:t>
            </w:r>
          </w:p>
        </w:tc>
        <w:tc>
          <w:tcPr>
            <w:tcW w:type="dxa" w:w="3750"/>
            <w:tcMar>
              <w:top w:w="100" w:type="dxa"/>
              <w:start w:w="120" w:type="dxa"/>
              <w:bottom w:w="100" w:type="dxa"/>
              <w:end w:w="120" w:type="dxa"/>
            </w:tcMar>
            <w:vAlign w:val="center"/>
          </w:tcPr>
          <w:p>
            <w:pPr>
              <w:spacing w:after="0" w:line="259" w:lineRule="auto"/>
            </w:pPr>
            <w:r>
              <w:rPr>
                <w:rFonts w:ascii="Calibri" w:hAnsi="Calibri"/>
                <w:b w:val="0"/>
                <w:i w:val="0"/>
                <w:color w:val="17212B"/>
                <w:sz w:val="18"/>
              </w:rPr>
              <w:t>El programa sostenible supera al programa perfecto que no se cumple. [S1-S2]</w:t>
            </w:r>
          </w:p>
        </w:tc>
        <w:tc>
          <w:tcPr>
            <w:tcW w:type="dxa" w:w="4110"/>
            <w:tcMar>
              <w:top w:w="100" w:type="dxa"/>
              <w:start w:w="120" w:type="dxa"/>
              <w:bottom w:w="100" w:type="dxa"/>
              <w:end w:w="120" w:type="dxa"/>
            </w:tcMar>
            <w:vAlign w:val="center"/>
          </w:tcPr>
          <w:p>
            <w:pPr>
              <w:spacing w:after="0" w:line="259" w:lineRule="auto"/>
            </w:pPr>
            <w:r>
              <w:rPr>
                <w:rFonts w:ascii="Calibri" w:hAnsi="Calibri"/>
                <w:b w:val="0"/>
                <w:i w:val="0"/>
                <w:color w:val="17212B"/>
                <w:sz w:val="18"/>
              </w:rPr>
              <w:t>Las preferencias, tiempo real y equipo son restricciones, no decoración.</w:t>
            </w:r>
          </w:p>
        </w:tc>
      </w:tr>
      <w:tr>
        <w:tc>
          <w:tcPr>
            <w:tcW w:type="dxa" w:w="1500"/>
            <w:tcMar>
              <w:top w:w="100" w:type="dxa"/>
              <w:start w:w="120" w:type="dxa"/>
              <w:bottom w:w="100" w:type="dxa"/>
              <w:end w:w="120" w:type="dxa"/>
            </w:tcMar>
            <w:vAlign w:val="center"/>
          </w:tcPr>
          <w:p>
            <w:pPr>
              <w:spacing w:after="0" w:line="259" w:lineRule="auto"/>
            </w:pPr>
            <w:r>
              <w:rPr>
                <w:rFonts w:ascii="Calibri" w:hAnsi="Calibri"/>
                <w:b w:val="0"/>
                <w:i w:val="0"/>
                <w:color w:val="17212B"/>
                <w:sz w:val="18"/>
              </w:rPr>
              <w:t>Frecuencia</w:t>
            </w:r>
          </w:p>
        </w:tc>
        <w:tc>
          <w:tcPr>
            <w:tcW w:type="dxa" w:w="3750"/>
            <w:tcMar>
              <w:top w:w="100" w:type="dxa"/>
              <w:start w:w="120" w:type="dxa"/>
              <w:bottom w:w="100" w:type="dxa"/>
              <w:end w:w="120" w:type="dxa"/>
            </w:tcMar>
            <w:vAlign w:val="center"/>
          </w:tcPr>
          <w:p>
            <w:pPr>
              <w:spacing w:after="0" w:line="259" w:lineRule="auto"/>
            </w:pPr>
            <w:r>
              <w:rPr>
                <w:rFonts w:ascii="Calibri" w:hAnsi="Calibri"/>
                <w:b w:val="0"/>
                <w:i w:val="0"/>
                <w:color w:val="17212B"/>
                <w:sz w:val="18"/>
              </w:rPr>
              <w:t>Para salud general, todos los grandes grupos al menos 2 días/semana. En hipertrofia, frecuencia distribuye volumen; no es magia si el volumen se iguala. [S1-S3]</w:t>
            </w:r>
          </w:p>
        </w:tc>
        <w:tc>
          <w:tcPr>
            <w:tcW w:type="dxa" w:w="4110"/>
            <w:tcMar>
              <w:top w:w="100" w:type="dxa"/>
              <w:start w:w="120" w:type="dxa"/>
              <w:bottom w:w="100" w:type="dxa"/>
              <w:end w:w="120" w:type="dxa"/>
            </w:tcMar>
            <w:vAlign w:val="center"/>
          </w:tcPr>
          <w:p>
            <w:pPr>
              <w:spacing w:after="0" w:line="259" w:lineRule="auto"/>
            </w:pPr>
            <w:r>
              <w:rPr>
                <w:rFonts w:ascii="Calibri" w:hAnsi="Calibri"/>
                <w:b w:val="0"/>
                <w:i w:val="0"/>
                <w:color w:val="17212B"/>
                <w:sz w:val="18"/>
              </w:rPr>
              <w:t>Elegir split después de calcular dosis, no al revés.</w:t>
            </w:r>
          </w:p>
        </w:tc>
      </w:tr>
      <w:tr>
        <w:tc>
          <w:tcPr>
            <w:tcW w:type="dxa" w:w="1500"/>
            <w:tcMar>
              <w:top w:w="100" w:type="dxa"/>
              <w:start w:w="120" w:type="dxa"/>
              <w:bottom w:w="100" w:type="dxa"/>
              <w:end w:w="120" w:type="dxa"/>
            </w:tcMar>
            <w:vAlign w:val="center"/>
          </w:tcPr>
          <w:p>
            <w:pPr>
              <w:spacing w:after="0" w:line="259" w:lineRule="auto"/>
            </w:pPr>
            <w:r>
              <w:rPr>
                <w:rFonts w:ascii="Calibri" w:hAnsi="Calibri"/>
                <w:b w:val="0"/>
                <w:i w:val="0"/>
                <w:color w:val="17212B"/>
                <w:sz w:val="18"/>
              </w:rPr>
              <w:t>Volumen</w:t>
            </w:r>
          </w:p>
        </w:tc>
        <w:tc>
          <w:tcPr>
            <w:tcW w:type="dxa" w:w="3750"/>
            <w:tcMar>
              <w:top w:w="100" w:type="dxa"/>
              <w:start w:w="120" w:type="dxa"/>
              <w:bottom w:w="100" w:type="dxa"/>
              <w:end w:w="120" w:type="dxa"/>
            </w:tcMar>
            <w:vAlign w:val="center"/>
          </w:tcPr>
          <w:p>
            <w:pPr>
              <w:spacing w:after="0" w:line="259" w:lineRule="auto"/>
            </w:pPr>
            <w:r>
              <w:rPr>
                <w:rFonts w:ascii="Calibri" w:hAnsi="Calibri"/>
                <w:b w:val="0"/>
                <w:i w:val="0"/>
                <w:color w:val="17212B"/>
                <w:sz w:val="18"/>
              </w:rPr>
              <w:t>ACSM 2026 sitúa ~10 series/semana por músculo como referencia de hipertrofia; IUSCA la trata como mínimo general para optimizar en atletas, con respondedores por debajo. [S1-S3]</w:t>
            </w:r>
          </w:p>
        </w:tc>
        <w:tc>
          <w:tcPr>
            <w:tcW w:type="dxa" w:w="4110"/>
            <w:tcMar>
              <w:top w:w="100" w:type="dxa"/>
              <w:start w:w="120" w:type="dxa"/>
              <w:bottom w:w="100" w:type="dxa"/>
              <w:end w:w="120" w:type="dxa"/>
            </w:tcMar>
            <w:vAlign w:val="center"/>
          </w:tcPr>
          <w:p>
            <w:pPr>
              <w:spacing w:after="0" w:line="259" w:lineRule="auto"/>
            </w:pPr>
            <w:r>
              <w:rPr>
                <w:rFonts w:ascii="Calibri" w:hAnsi="Calibri"/>
                <w:b w:val="0"/>
                <w:i w:val="0"/>
                <w:color w:val="17212B"/>
                <w:sz w:val="18"/>
              </w:rPr>
              <w:t>Rango inicial, no obligación. Ajustar desde historial y respuesta.</w:t>
            </w:r>
          </w:p>
        </w:tc>
      </w:tr>
      <w:tr>
        <w:tc>
          <w:tcPr>
            <w:tcW w:type="dxa" w:w="1500"/>
            <w:tcMar>
              <w:top w:w="100" w:type="dxa"/>
              <w:start w:w="120" w:type="dxa"/>
              <w:bottom w:w="100" w:type="dxa"/>
              <w:end w:w="120" w:type="dxa"/>
            </w:tcMar>
            <w:vAlign w:val="center"/>
          </w:tcPr>
          <w:p>
            <w:pPr>
              <w:spacing w:after="0" w:line="259" w:lineRule="auto"/>
            </w:pPr>
            <w:r>
              <w:rPr>
                <w:rFonts w:ascii="Calibri" w:hAnsi="Calibri"/>
                <w:b w:val="0"/>
                <w:i w:val="0"/>
                <w:color w:val="17212B"/>
                <w:sz w:val="18"/>
              </w:rPr>
              <w:t>Por sesión</w:t>
            </w:r>
          </w:p>
        </w:tc>
        <w:tc>
          <w:tcPr>
            <w:tcW w:type="dxa" w:w="3750"/>
            <w:tcMar>
              <w:top w:w="100" w:type="dxa"/>
              <w:start w:w="120" w:type="dxa"/>
              <w:bottom w:w="100" w:type="dxa"/>
              <w:end w:w="120" w:type="dxa"/>
            </w:tcMar>
            <w:vAlign w:val="center"/>
          </w:tcPr>
          <w:p>
            <w:pPr>
              <w:spacing w:after="0" w:line="259" w:lineRule="auto"/>
            </w:pPr>
            <w:r>
              <w:rPr>
                <w:rFonts w:ascii="Calibri" w:hAnsi="Calibri"/>
                <w:b w:val="0"/>
                <w:i w:val="0"/>
                <w:color w:val="17212B"/>
                <w:sz w:val="18"/>
              </w:rPr>
              <w:t>IUSCA sugiere repartir cuando se superan ~10 series por músculo en una sesión. [S3]</w:t>
            </w:r>
          </w:p>
        </w:tc>
        <w:tc>
          <w:tcPr>
            <w:tcW w:type="dxa" w:w="4110"/>
            <w:tcMar>
              <w:top w:w="100" w:type="dxa"/>
              <w:start w:w="120" w:type="dxa"/>
              <w:bottom w:w="100" w:type="dxa"/>
              <w:end w:w="120" w:type="dxa"/>
            </w:tcMar>
            <w:vAlign w:val="center"/>
          </w:tcPr>
          <w:p>
            <w:pPr>
              <w:spacing w:after="0" w:line="259" w:lineRule="auto"/>
            </w:pPr>
            <w:r>
              <w:rPr>
                <w:rFonts w:ascii="Calibri" w:hAnsi="Calibri"/>
                <w:b w:val="0"/>
                <w:i w:val="0"/>
                <w:color w:val="17212B"/>
                <w:sz w:val="18"/>
              </w:rPr>
              <w:t>Validador duro/alerta según nivel y fase.</w:t>
            </w:r>
          </w:p>
        </w:tc>
      </w:tr>
      <w:tr>
        <w:tc>
          <w:tcPr>
            <w:tcW w:type="dxa" w:w="1500"/>
            <w:tcMar>
              <w:top w:w="100" w:type="dxa"/>
              <w:start w:w="120" w:type="dxa"/>
              <w:bottom w:w="100" w:type="dxa"/>
              <w:end w:w="120" w:type="dxa"/>
            </w:tcMar>
            <w:vAlign w:val="center"/>
          </w:tcPr>
          <w:p>
            <w:pPr>
              <w:spacing w:after="0" w:line="259" w:lineRule="auto"/>
            </w:pPr>
            <w:r>
              <w:rPr>
                <w:rFonts w:ascii="Calibri" w:hAnsi="Calibri"/>
                <w:b w:val="0"/>
                <w:i w:val="0"/>
                <w:color w:val="17212B"/>
                <w:sz w:val="18"/>
              </w:rPr>
              <w:t>Carga</w:t>
            </w:r>
          </w:p>
        </w:tc>
        <w:tc>
          <w:tcPr>
            <w:tcW w:type="dxa" w:w="3750"/>
            <w:tcMar>
              <w:top w:w="100" w:type="dxa"/>
              <w:start w:w="120" w:type="dxa"/>
              <w:bottom w:w="100" w:type="dxa"/>
              <w:end w:w="120" w:type="dxa"/>
            </w:tcMar>
            <w:vAlign w:val="center"/>
          </w:tcPr>
          <w:p>
            <w:pPr>
              <w:spacing w:after="0" w:line="259" w:lineRule="auto"/>
            </w:pPr>
            <w:r>
              <w:rPr>
                <w:rFonts w:ascii="Calibri" w:hAnsi="Calibri"/>
                <w:b w:val="0"/>
                <w:i w:val="0"/>
                <w:color w:val="17212B"/>
                <w:sz w:val="18"/>
              </w:rPr>
              <w:t>Hipertrofia puede lograrse en un rango amplio; cargas moderadas son prácticas. Fuerza favorece &gt;=80% 1RM; potencia 30-70% 1RM con intención rápida. [S1-S3]</w:t>
            </w:r>
          </w:p>
        </w:tc>
        <w:tc>
          <w:tcPr>
            <w:tcW w:type="dxa" w:w="4110"/>
            <w:tcMar>
              <w:top w:w="100" w:type="dxa"/>
              <w:start w:w="120" w:type="dxa"/>
              <w:bottom w:w="100" w:type="dxa"/>
              <w:end w:w="120" w:type="dxa"/>
            </w:tcMar>
            <w:vAlign w:val="center"/>
          </w:tcPr>
          <w:p>
            <w:pPr>
              <w:spacing w:after="0" w:line="259" w:lineRule="auto"/>
            </w:pPr>
            <w:r>
              <w:rPr>
                <w:rFonts w:ascii="Calibri" w:hAnsi="Calibri"/>
                <w:b w:val="0"/>
                <w:i w:val="0"/>
                <w:color w:val="17212B"/>
                <w:sz w:val="18"/>
              </w:rPr>
              <w:t>La carga se deriva del objetivo y del ejercicio.</w:t>
            </w:r>
          </w:p>
        </w:tc>
      </w:tr>
      <w:tr>
        <w:tc>
          <w:tcPr>
            <w:tcW w:type="dxa" w:w="1500"/>
            <w:tcMar>
              <w:top w:w="100" w:type="dxa"/>
              <w:start w:w="120" w:type="dxa"/>
              <w:bottom w:w="100" w:type="dxa"/>
              <w:end w:w="120" w:type="dxa"/>
            </w:tcMar>
            <w:vAlign w:val="center"/>
          </w:tcPr>
          <w:p>
            <w:pPr>
              <w:spacing w:after="0" w:line="259" w:lineRule="auto"/>
            </w:pPr>
            <w:r>
              <w:rPr>
                <w:rFonts w:ascii="Calibri" w:hAnsi="Calibri"/>
                <w:b w:val="0"/>
                <w:i w:val="0"/>
                <w:color w:val="17212B"/>
                <w:sz w:val="18"/>
              </w:rPr>
              <w:t>Descanso</w:t>
            </w:r>
          </w:p>
        </w:tc>
        <w:tc>
          <w:tcPr>
            <w:tcW w:type="dxa" w:w="3750"/>
            <w:tcMar>
              <w:top w:w="100" w:type="dxa"/>
              <w:start w:w="120" w:type="dxa"/>
              <w:bottom w:w="100" w:type="dxa"/>
              <w:end w:w="120" w:type="dxa"/>
            </w:tcMar>
            <w:vAlign w:val="center"/>
          </w:tcPr>
          <w:p>
            <w:pPr>
              <w:spacing w:after="0" w:line="259" w:lineRule="auto"/>
            </w:pPr>
            <w:r>
              <w:rPr>
                <w:rFonts w:ascii="Calibri" w:hAnsi="Calibri"/>
                <w:b w:val="0"/>
                <w:i w:val="0"/>
                <w:color w:val="17212B"/>
                <w:sz w:val="18"/>
              </w:rPr>
              <w:t>Al menos 2 min en multiarticulares; 60-90 s en uniarticulares y máquinas, con más descanso si hay fallo. [S3]</w:t>
            </w:r>
          </w:p>
        </w:tc>
        <w:tc>
          <w:tcPr>
            <w:tcW w:type="dxa" w:w="4110"/>
            <w:tcMar>
              <w:top w:w="100" w:type="dxa"/>
              <w:start w:w="120" w:type="dxa"/>
              <w:bottom w:w="100" w:type="dxa"/>
              <w:end w:w="120" w:type="dxa"/>
            </w:tcMar>
            <w:vAlign w:val="center"/>
          </w:tcPr>
          <w:p>
            <w:pPr>
              <w:spacing w:after="0" w:line="259" w:lineRule="auto"/>
            </w:pPr>
            <w:r>
              <w:rPr>
                <w:rFonts w:ascii="Calibri" w:hAnsi="Calibri"/>
                <w:b w:val="0"/>
                <w:i w:val="0"/>
                <w:color w:val="17212B"/>
                <w:sz w:val="18"/>
              </w:rPr>
              <w:t>Descanso por tipo y objetivo, no 60 s universal.</w:t>
            </w:r>
          </w:p>
        </w:tc>
      </w:tr>
      <w:tr>
        <w:tc>
          <w:tcPr>
            <w:tcW w:type="dxa" w:w="1500"/>
            <w:tcMar>
              <w:top w:w="100" w:type="dxa"/>
              <w:start w:w="120" w:type="dxa"/>
              <w:bottom w:w="100" w:type="dxa"/>
              <w:end w:w="120" w:type="dxa"/>
            </w:tcMar>
            <w:vAlign w:val="center"/>
          </w:tcPr>
          <w:p>
            <w:pPr>
              <w:spacing w:after="0" w:line="259" w:lineRule="auto"/>
            </w:pPr>
            <w:r>
              <w:rPr>
                <w:rFonts w:ascii="Calibri" w:hAnsi="Calibri"/>
                <w:b w:val="0"/>
                <w:i w:val="0"/>
                <w:color w:val="17212B"/>
                <w:sz w:val="18"/>
              </w:rPr>
              <w:t>Fallo</w:t>
            </w:r>
          </w:p>
        </w:tc>
        <w:tc>
          <w:tcPr>
            <w:tcW w:type="dxa" w:w="3750"/>
            <w:tcMar>
              <w:top w:w="100" w:type="dxa"/>
              <w:start w:w="120" w:type="dxa"/>
              <w:bottom w:w="100" w:type="dxa"/>
              <w:end w:w="120" w:type="dxa"/>
            </w:tcMar>
            <w:vAlign w:val="center"/>
          </w:tcPr>
          <w:p>
            <w:pPr>
              <w:spacing w:after="0" w:line="259" w:lineRule="auto"/>
            </w:pPr>
            <w:r>
              <w:rPr>
                <w:rFonts w:ascii="Calibri" w:hAnsi="Calibri"/>
                <w:b w:val="0"/>
                <w:i w:val="0"/>
                <w:color w:val="17212B"/>
                <w:sz w:val="18"/>
              </w:rPr>
              <w:t>No es necesario para el adulto promedio. En entrenados puede usarse con prudencia, principalmente última serie estable/aislada. [S1-S3]</w:t>
            </w:r>
          </w:p>
        </w:tc>
        <w:tc>
          <w:tcPr>
            <w:tcW w:type="dxa" w:w="4110"/>
            <w:tcMar>
              <w:top w:w="100" w:type="dxa"/>
              <w:start w:w="120" w:type="dxa"/>
              <w:bottom w:w="100" w:type="dxa"/>
              <w:end w:w="120" w:type="dxa"/>
            </w:tcMar>
            <w:vAlign w:val="center"/>
          </w:tcPr>
          <w:p>
            <w:pPr>
              <w:spacing w:after="0" w:line="259" w:lineRule="auto"/>
            </w:pPr>
            <w:r>
              <w:rPr>
                <w:rFonts w:ascii="Calibri" w:hAnsi="Calibri"/>
                <w:b w:val="0"/>
                <w:i w:val="0"/>
                <w:color w:val="17212B"/>
                <w:sz w:val="18"/>
              </w:rPr>
              <w:t>Elegibilidad explícita y presupuesto semanal de fatiga.</w:t>
            </w:r>
          </w:p>
        </w:tc>
      </w:tr>
      <w:tr>
        <w:tc>
          <w:tcPr>
            <w:tcW w:type="dxa" w:w="1500"/>
            <w:tcMar>
              <w:top w:w="100" w:type="dxa"/>
              <w:start w:w="120" w:type="dxa"/>
              <w:bottom w:w="100" w:type="dxa"/>
              <w:end w:w="120" w:type="dxa"/>
            </w:tcMar>
            <w:vAlign w:val="center"/>
          </w:tcPr>
          <w:p>
            <w:pPr>
              <w:spacing w:after="0" w:line="259" w:lineRule="auto"/>
            </w:pPr>
            <w:r>
              <w:rPr>
                <w:rFonts w:ascii="Calibri" w:hAnsi="Calibri"/>
                <w:b w:val="0"/>
                <w:i w:val="0"/>
                <w:color w:val="17212B"/>
                <w:sz w:val="18"/>
              </w:rPr>
              <w:t>Selección</w:t>
            </w:r>
          </w:p>
        </w:tc>
        <w:tc>
          <w:tcPr>
            <w:tcW w:type="dxa" w:w="3750"/>
            <w:tcMar>
              <w:top w:w="100" w:type="dxa"/>
              <w:start w:w="120" w:type="dxa"/>
              <w:bottom w:w="100" w:type="dxa"/>
              <w:end w:w="120" w:type="dxa"/>
            </w:tcMar>
            <w:vAlign w:val="center"/>
          </w:tcPr>
          <w:p>
            <w:pPr>
              <w:spacing w:after="0" w:line="259" w:lineRule="auto"/>
            </w:pPr>
            <w:r>
              <w:rPr>
                <w:rFonts w:ascii="Calibri" w:hAnsi="Calibri"/>
                <w:b w:val="0"/>
                <w:i w:val="0"/>
                <w:color w:val="17212B"/>
                <w:sz w:val="18"/>
              </w:rPr>
              <w:t>Combinar multi y uniarticulares, ángulos/patrones complementarios y anatomía aplicada; preferir longitudes musculares largas cuando sea apropiado. [S3]</w:t>
            </w:r>
          </w:p>
        </w:tc>
        <w:tc>
          <w:tcPr>
            <w:tcW w:type="dxa" w:w="4110"/>
            <w:tcMar>
              <w:top w:w="100" w:type="dxa"/>
              <w:start w:w="120" w:type="dxa"/>
              <w:bottom w:w="100" w:type="dxa"/>
              <w:end w:w="120" w:type="dxa"/>
            </w:tcMar>
            <w:vAlign w:val="center"/>
          </w:tcPr>
          <w:p>
            <w:pPr>
              <w:spacing w:after="0" w:line="259" w:lineRule="auto"/>
            </w:pPr>
            <w:r>
              <w:rPr>
                <w:rFonts w:ascii="Calibri" w:hAnsi="Calibri"/>
                <w:b w:val="0"/>
                <w:i w:val="0"/>
                <w:color w:val="17212B"/>
                <w:sz w:val="18"/>
              </w:rPr>
              <w:t>Slots funcionales antes de nombres de ejercicios.</w:t>
            </w:r>
          </w:p>
        </w:tc>
      </w:tr>
      <w:tr>
        <w:tc>
          <w:tcPr>
            <w:tcW w:type="dxa" w:w="1500"/>
            <w:tcMar>
              <w:top w:w="100" w:type="dxa"/>
              <w:start w:w="120" w:type="dxa"/>
              <w:bottom w:w="100" w:type="dxa"/>
              <w:end w:w="120" w:type="dxa"/>
            </w:tcMar>
            <w:vAlign w:val="center"/>
          </w:tcPr>
          <w:p>
            <w:pPr>
              <w:spacing w:after="0" w:line="259" w:lineRule="auto"/>
            </w:pPr>
            <w:r>
              <w:rPr>
                <w:rFonts w:ascii="Calibri" w:hAnsi="Calibri"/>
                <w:b w:val="0"/>
                <w:i w:val="0"/>
                <w:color w:val="17212B"/>
                <w:sz w:val="18"/>
              </w:rPr>
              <w:t>Progresión</w:t>
            </w:r>
          </w:p>
        </w:tc>
        <w:tc>
          <w:tcPr>
            <w:tcW w:type="dxa" w:w="3750"/>
            <w:tcMar>
              <w:top w:w="100" w:type="dxa"/>
              <w:start w:w="120" w:type="dxa"/>
              <w:bottom w:w="100" w:type="dxa"/>
              <w:end w:w="120" w:type="dxa"/>
            </w:tcMar>
            <w:vAlign w:val="center"/>
          </w:tcPr>
          <w:p>
            <w:pPr>
              <w:spacing w:after="0" w:line="259" w:lineRule="auto"/>
            </w:pPr>
            <w:r>
              <w:rPr>
                <w:rFonts w:ascii="Calibri" w:hAnsi="Calibri"/>
                <w:b w:val="0"/>
                <w:i w:val="0"/>
                <w:color w:val="17212B"/>
                <w:sz w:val="18"/>
              </w:rPr>
              <w:t>Construir gradualmente; IUSCA propone prudencia al aumentar volumen, alrededor de &lt;=20% por ciclo de ~4 semanas. [S3]</w:t>
            </w:r>
          </w:p>
        </w:tc>
        <w:tc>
          <w:tcPr>
            <w:tcW w:type="dxa" w:w="4110"/>
            <w:tcMar>
              <w:top w:w="100" w:type="dxa"/>
              <w:start w:w="120" w:type="dxa"/>
              <w:bottom w:w="100" w:type="dxa"/>
              <w:end w:w="120" w:type="dxa"/>
            </w:tcMar>
            <w:vAlign w:val="center"/>
          </w:tcPr>
          <w:p>
            <w:pPr>
              <w:spacing w:after="0" w:line="259" w:lineRule="auto"/>
            </w:pPr>
            <w:r>
              <w:rPr>
                <w:rFonts w:ascii="Calibri" w:hAnsi="Calibri"/>
                <w:b w:val="0"/>
                <w:i w:val="0"/>
                <w:color w:val="17212B"/>
                <w:sz w:val="18"/>
              </w:rPr>
              <w:t>Cambiar una variable y registrar respuesta.</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FF4E5"/>
          </w:tcPr>
          <w:p>
            <w:pPr>
              <w:spacing w:after="40"/>
            </w:pPr>
            <w:r>
              <w:rPr>
                <w:rFonts w:ascii="Calibri" w:hAnsi="Calibri"/>
                <w:b/>
                <w:i w:val="0"/>
                <w:color w:val="7A5A00"/>
                <w:sz w:val="22"/>
              </w:rPr>
              <w:t>Qué no dice la ciencia</w:t>
            </w:r>
          </w:p>
          <w:p>
            <w:pPr>
              <w:spacing w:after="0" w:line="276" w:lineRule="auto"/>
            </w:pPr>
            <w:r>
              <w:rPr>
                <w:rFonts w:ascii="Calibri" w:hAnsi="Calibri"/>
                <w:b w:val="0"/>
                <w:i w:val="0"/>
                <w:color w:val="17212B"/>
                <w:sz w:val="20"/>
              </w:rPr>
              <w:t>No existe una rutina universal de Arnold, Mentzer, Bumstead o un campeón actual que pueda copiarse y volverse correcta para otra persona. Sus métodos sirven como escuelas históricas o repertorio de herramientas; la dosis se decide por el perfil y la respuesta.</w:t>
            </w:r>
          </w:p>
        </w:tc>
      </w:tr>
    </w:tbl>
    <w:p>
      <w:pPr>
        <w:spacing w:after="40"/>
      </w:pPr>
    </w:p>
    <w:p>
      <w:pPr>
        <w:pStyle w:val="Heading1"/>
        <w:keepNext/>
      </w:pPr>
      <w:r>
        <w:t>3. ¿A quién entrenamos? Taxonomía correcta</w:t>
      </w:r>
    </w:p>
    <w:p>
      <w:pPr>
        <w:keepLines w:val="0"/>
        <w:spacing w:after="120" w:line="283" w:lineRule="auto"/>
      </w:pPr>
      <w:r>
        <w:rPr>
          <w:rFonts w:ascii="Calibri" w:hAnsi="Calibri"/>
          <w:b w:val="0"/>
          <w:i w:val="0"/>
          <w:color w:val="17212B"/>
          <w:sz w:val="21"/>
        </w:rPr>
        <w:t>Una persona no pertenece a un único perfil. El motor debe clasificarla simultáneamente en cinco ejes.</w:t>
      </w:r>
    </w:p>
    <w:tbl>
      <w:tblPr>
        <w:tblStyle w:val="TableGrid"/>
        <w:tblW w:type="dxa" w:w="9360"/>
        <w:jc w:val="left"/>
        <w:tblLayout w:type="fixed"/>
        <w:tblLook w:firstColumn="1" w:firstRow="1" w:lastColumn="0" w:lastRow="0" w:noHBand="0" w:noVBand="1" w:val="04A0"/>
        <w:tblInd w:w="120" w:type="dxa"/>
      </w:tblPr>
      <w:tblGrid>
        <w:gridCol w:w="1750"/>
        <w:gridCol w:w="4050"/>
        <w:gridCol w:w="3560"/>
      </w:tblGrid>
      <w:tr>
        <w:trPr>
          <w:tblHeader w:val="true"/>
        </w:trPr>
        <w:tc>
          <w:tcPr>
            <w:tcW w:type="dxa" w:w="1750"/>
            <w:shd w:fill="E8EEF5"/>
            <w:tcMar>
              <w:top w:w="100" w:type="dxa"/>
              <w:start w:w="120" w:type="dxa"/>
              <w:bottom w:w="100" w:type="dxa"/>
              <w:end w:w="120" w:type="dxa"/>
            </w:tcMar>
            <w:vAlign w:val="center"/>
          </w:tcPr>
          <w:p>
            <w:pPr>
              <w:jc w:val="left"/>
            </w:pPr>
            <w:r>
              <w:rPr>
                <w:rFonts w:ascii="Calibri" w:hAnsi="Calibri"/>
                <w:b/>
                <w:i w:val="0"/>
                <w:color w:val="17324D"/>
                <w:sz w:val="19"/>
              </w:rPr>
              <w:t>Eje</w:t>
            </w:r>
          </w:p>
        </w:tc>
        <w:tc>
          <w:tcPr>
            <w:tcW w:type="dxa" w:w="4050"/>
            <w:shd w:fill="E8EEF5"/>
            <w:tcMar>
              <w:top w:w="100" w:type="dxa"/>
              <w:start w:w="120" w:type="dxa"/>
              <w:bottom w:w="100" w:type="dxa"/>
              <w:end w:w="120" w:type="dxa"/>
            </w:tcMar>
            <w:vAlign w:val="center"/>
          </w:tcPr>
          <w:p>
            <w:pPr>
              <w:jc w:val="left"/>
            </w:pPr>
            <w:r>
              <w:rPr>
                <w:rFonts w:ascii="Calibri" w:hAnsi="Calibri"/>
                <w:b/>
                <w:i w:val="0"/>
                <w:color w:val="17324D"/>
                <w:sz w:val="19"/>
              </w:rPr>
              <w:t>Opciones</w:t>
            </w:r>
          </w:p>
        </w:tc>
        <w:tc>
          <w:tcPr>
            <w:tcW w:type="dxa" w:w="3560"/>
            <w:shd w:fill="E8EEF5"/>
            <w:tcMar>
              <w:top w:w="100" w:type="dxa"/>
              <w:start w:w="120" w:type="dxa"/>
              <w:bottom w:w="100" w:type="dxa"/>
              <w:end w:w="120" w:type="dxa"/>
            </w:tcMar>
            <w:vAlign w:val="center"/>
          </w:tcPr>
          <w:p>
            <w:pPr>
              <w:jc w:val="left"/>
            </w:pPr>
            <w:r>
              <w:rPr>
                <w:rFonts w:ascii="Calibri" w:hAnsi="Calibri"/>
                <w:b/>
                <w:i w:val="0"/>
                <w:color w:val="17324D"/>
                <w:sz w:val="19"/>
              </w:rPr>
              <w:t>Efecto real</w:t>
            </w:r>
          </w:p>
        </w:tc>
      </w:tr>
      <w:tr>
        <w:tc>
          <w:tcPr>
            <w:tcW w:type="dxa" w:w="1750"/>
            <w:tcMar>
              <w:top w:w="100" w:type="dxa"/>
              <w:start w:w="120" w:type="dxa"/>
              <w:bottom w:w="100" w:type="dxa"/>
              <w:end w:w="120" w:type="dxa"/>
            </w:tcMar>
            <w:vAlign w:val="center"/>
          </w:tcPr>
          <w:p>
            <w:pPr>
              <w:spacing w:after="0" w:line="259" w:lineRule="auto"/>
            </w:pPr>
            <w:r>
              <w:rPr>
                <w:rFonts w:ascii="Calibri" w:hAnsi="Calibri"/>
                <w:b w:val="0"/>
                <w:i w:val="0"/>
                <w:color w:val="17212B"/>
                <w:sz w:val="18"/>
              </w:rPr>
              <w:t>Etapa y contexto</w:t>
            </w:r>
          </w:p>
        </w:tc>
        <w:tc>
          <w:tcPr>
            <w:tcW w:type="dxa" w:w="4050"/>
            <w:tcMar>
              <w:top w:w="100" w:type="dxa"/>
              <w:start w:w="120" w:type="dxa"/>
              <w:bottom w:w="100" w:type="dxa"/>
              <w:end w:w="120" w:type="dxa"/>
            </w:tcMar>
            <w:vAlign w:val="center"/>
          </w:tcPr>
          <w:p>
            <w:pPr>
              <w:spacing w:after="0" w:line="259" w:lineRule="auto"/>
            </w:pPr>
            <w:r>
              <w:rPr>
                <w:rFonts w:ascii="Calibri" w:hAnsi="Calibri"/>
                <w:b w:val="0"/>
                <w:i w:val="0"/>
                <w:color w:val="17212B"/>
                <w:sz w:val="18"/>
              </w:rPr>
              <w:t>Adolescente; adulto; adulto mayor; embarazo/posparto; retorno tras inactividad.</w:t>
            </w:r>
          </w:p>
        </w:tc>
        <w:tc>
          <w:tcPr>
            <w:tcW w:type="dxa" w:w="3560"/>
            <w:tcMar>
              <w:top w:w="100" w:type="dxa"/>
              <w:start w:w="120" w:type="dxa"/>
              <w:bottom w:w="100" w:type="dxa"/>
              <w:end w:w="120" w:type="dxa"/>
            </w:tcMar>
            <w:vAlign w:val="center"/>
          </w:tcPr>
          <w:p>
            <w:pPr>
              <w:spacing w:after="0" w:line="259" w:lineRule="auto"/>
            </w:pPr>
            <w:r>
              <w:rPr>
                <w:rFonts w:ascii="Calibri" w:hAnsi="Calibri"/>
                <w:b w:val="0"/>
                <w:i w:val="0"/>
                <w:color w:val="17212B"/>
                <w:sz w:val="18"/>
              </w:rPr>
              <w:t>Supervisión, selección, progresión y requisitos de derivación.</w:t>
            </w:r>
          </w:p>
        </w:tc>
      </w:tr>
      <w:tr>
        <w:tc>
          <w:tcPr>
            <w:tcW w:type="dxa" w:w="1750"/>
            <w:tcMar>
              <w:top w:w="100" w:type="dxa"/>
              <w:start w:w="120" w:type="dxa"/>
              <w:bottom w:w="100" w:type="dxa"/>
              <w:end w:w="120" w:type="dxa"/>
            </w:tcMar>
            <w:vAlign w:val="center"/>
          </w:tcPr>
          <w:p>
            <w:pPr>
              <w:spacing w:after="0" w:line="259" w:lineRule="auto"/>
            </w:pPr>
            <w:r>
              <w:rPr>
                <w:rFonts w:ascii="Calibri" w:hAnsi="Calibri"/>
                <w:b w:val="0"/>
                <w:i w:val="0"/>
                <w:color w:val="17212B"/>
                <w:sz w:val="18"/>
              </w:rPr>
              <w:t>Capacidad funcional</w:t>
            </w:r>
          </w:p>
        </w:tc>
        <w:tc>
          <w:tcPr>
            <w:tcW w:type="dxa" w:w="4050"/>
            <w:tcMar>
              <w:top w:w="100" w:type="dxa"/>
              <w:start w:w="120" w:type="dxa"/>
              <w:bottom w:w="100" w:type="dxa"/>
              <w:end w:w="120" w:type="dxa"/>
            </w:tcMar>
            <w:vAlign w:val="center"/>
          </w:tcPr>
          <w:p>
            <w:pPr>
              <w:spacing w:after="0" w:line="259" w:lineRule="auto"/>
            </w:pPr>
            <w:r>
              <w:rPr>
                <w:rFonts w:ascii="Calibri" w:hAnsi="Calibri"/>
                <w:b w:val="0"/>
                <w:i w:val="0"/>
                <w:color w:val="17212B"/>
                <w:sz w:val="18"/>
              </w:rPr>
              <w:t>Sin limitación relevante; movilidad reducida; discapacidad física, sensorial o intelectual; fragilidad; riesgo de caída.</w:t>
            </w:r>
          </w:p>
        </w:tc>
        <w:tc>
          <w:tcPr>
            <w:tcW w:type="dxa" w:w="3560"/>
            <w:tcMar>
              <w:top w:w="100" w:type="dxa"/>
              <w:start w:w="120" w:type="dxa"/>
              <w:bottom w:w="100" w:type="dxa"/>
              <w:end w:w="120" w:type="dxa"/>
            </w:tcMar>
            <w:vAlign w:val="center"/>
          </w:tcPr>
          <w:p>
            <w:pPr>
              <w:spacing w:after="0" w:line="259" w:lineRule="auto"/>
            </w:pPr>
            <w:r>
              <w:rPr>
                <w:rFonts w:ascii="Calibri" w:hAnsi="Calibri"/>
                <w:b w:val="0"/>
                <w:i w:val="0"/>
                <w:color w:val="17212B"/>
                <w:sz w:val="18"/>
              </w:rPr>
              <w:t>Adaptaciones de acceso, estabilidad, rango, agarre, transferencia y comunicación.</w:t>
            </w:r>
          </w:p>
        </w:tc>
      </w:tr>
      <w:tr>
        <w:tc>
          <w:tcPr>
            <w:tcW w:type="dxa" w:w="1750"/>
            <w:tcMar>
              <w:top w:w="100" w:type="dxa"/>
              <w:start w:w="120" w:type="dxa"/>
              <w:bottom w:w="100" w:type="dxa"/>
              <w:end w:w="120" w:type="dxa"/>
            </w:tcMar>
            <w:vAlign w:val="center"/>
          </w:tcPr>
          <w:p>
            <w:pPr>
              <w:spacing w:after="0" w:line="259" w:lineRule="auto"/>
            </w:pPr>
            <w:r>
              <w:rPr>
                <w:rFonts w:ascii="Calibri" w:hAnsi="Calibri"/>
                <w:b w:val="0"/>
                <w:i w:val="0"/>
                <w:color w:val="17212B"/>
                <w:sz w:val="18"/>
              </w:rPr>
              <w:t>Experiencia</w:t>
            </w:r>
          </w:p>
        </w:tc>
        <w:tc>
          <w:tcPr>
            <w:tcW w:type="dxa" w:w="4050"/>
            <w:tcMar>
              <w:top w:w="100" w:type="dxa"/>
              <w:start w:w="120" w:type="dxa"/>
              <w:bottom w:w="100" w:type="dxa"/>
              <w:end w:w="120" w:type="dxa"/>
            </w:tcMar>
            <w:vAlign w:val="center"/>
          </w:tcPr>
          <w:p>
            <w:pPr>
              <w:spacing w:after="0" w:line="259" w:lineRule="auto"/>
            </w:pPr>
            <w:r>
              <w:rPr>
                <w:rFonts w:ascii="Calibri" w:hAnsi="Calibri"/>
                <w:b w:val="0"/>
                <w:i w:val="0"/>
                <w:color w:val="17212B"/>
                <w:sz w:val="18"/>
              </w:rPr>
              <w:t>Novato; intermedio; avanzado; élite/profesional.</w:t>
            </w:r>
          </w:p>
        </w:tc>
        <w:tc>
          <w:tcPr>
            <w:tcW w:type="dxa" w:w="3560"/>
            <w:tcMar>
              <w:top w:w="100" w:type="dxa"/>
              <w:start w:w="120" w:type="dxa"/>
              <w:bottom w:w="100" w:type="dxa"/>
              <w:end w:w="120" w:type="dxa"/>
            </w:tcMar>
            <w:vAlign w:val="center"/>
          </w:tcPr>
          <w:p>
            <w:pPr>
              <w:spacing w:after="0" w:line="259" w:lineRule="auto"/>
            </w:pPr>
            <w:r>
              <w:rPr>
                <w:rFonts w:ascii="Calibri" w:hAnsi="Calibri"/>
                <w:b w:val="0"/>
                <w:i w:val="0"/>
                <w:color w:val="17212B"/>
                <w:sz w:val="18"/>
              </w:rPr>
              <w:t>Complejidad, cercanía al fallo, volumen tolerado y autonomía.</w:t>
            </w:r>
          </w:p>
        </w:tc>
      </w:tr>
      <w:tr>
        <w:tc>
          <w:tcPr>
            <w:tcW w:type="dxa" w:w="1750"/>
            <w:tcMar>
              <w:top w:w="100" w:type="dxa"/>
              <w:start w:w="120" w:type="dxa"/>
              <w:bottom w:w="100" w:type="dxa"/>
              <w:end w:w="120" w:type="dxa"/>
            </w:tcMar>
            <w:vAlign w:val="center"/>
          </w:tcPr>
          <w:p>
            <w:pPr>
              <w:spacing w:after="0" w:line="259" w:lineRule="auto"/>
            </w:pPr>
            <w:r>
              <w:rPr>
                <w:rFonts w:ascii="Calibri" w:hAnsi="Calibri"/>
                <w:b w:val="0"/>
                <w:i w:val="0"/>
                <w:color w:val="17212B"/>
                <w:sz w:val="18"/>
              </w:rPr>
              <w:t>Propósito</w:t>
            </w:r>
          </w:p>
        </w:tc>
        <w:tc>
          <w:tcPr>
            <w:tcW w:type="dxa" w:w="4050"/>
            <w:tcMar>
              <w:top w:w="100" w:type="dxa"/>
              <w:start w:w="120" w:type="dxa"/>
              <w:bottom w:w="100" w:type="dxa"/>
              <w:end w:w="120" w:type="dxa"/>
            </w:tcMar>
            <w:vAlign w:val="center"/>
          </w:tcPr>
          <w:p>
            <w:pPr>
              <w:spacing w:after="0" w:line="259" w:lineRule="auto"/>
            </w:pPr>
            <w:r>
              <w:rPr>
                <w:rFonts w:ascii="Calibri" w:hAnsi="Calibri"/>
                <w:b w:val="0"/>
                <w:i w:val="0"/>
                <w:color w:val="17212B"/>
                <w:sz w:val="18"/>
              </w:rPr>
              <w:t>Salud, hipertrofia, fuerza, potencia, pérdida de grasa, recomposición, rendimiento, funcionalidad, competencia.</w:t>
            </w:r>
          </w:p>
        </w:tc>
        <w:tc>
          <w:tcPr>
            <w:tcW w:type="dxa" w:w="3560"/>
            <w:tcMar>
              <w:top w:w="100" w:type="dxa"/>
              <w:start w:w="120" w:type="dxa"/>
              <w:bottom w:w="100" w:type="dxa"/>
              <w:end w:w="120" w:type="dxa"/>
            </w:tcMar>
            <w:vAlign w:val="center"/>
          </w:tcPr>
          <w:p>
            <w:pPr>
              <w:spacing w:after="0" w:line="259" w:lineRule="auto"/>
            </w:pPr>
            <w:r>
              <w:rPr>
                <w:rFonts w:ascii="Calibri" w:hAnsi="Calibri"/>
                <w:b w:val="0"/>
                <w:i w:val="0"/>
                <w:color w:val="17212B"/>
                <w:sz w:val="18"/>
              </w:rPr>
              <w:t>Carga, volumen, selección, prioridades y métricas.</w:t>
            </w:r>
          </w:p>
        </w:tc>
      </w:tr>
      <w:tr>
        <w:tc>
          <w:tcPr>
            <w:tcW w:type="dxa" w:w="1750"/>
            <w:tcMar>
              <w:top w:w="100" w:type="dxa"/>
              <w:start w:w="120" w:type="dxa"/>
              <w:bottom w:w="100" w:type="dxa"/>
              <w:end w:w="120" w:type="dxa"/>
            </w:tcMar>
            <w:vAlign w:val="center"/>
          </w:tcPr>
          <w:p>
            <w:pPr>
              <w:spacing w:after="0" w:line="259" w:lineRule="auto"/>
            </w:pPr>
            <w:r>
              <w:rPr>
                <w:rFonts w:ascii="Calibri" w:hAnsi="Calibri"/>
                <w:b w:val="0"/>
                <w:i w:val="0"/>
                <w:color w:val="17212B"/>
                <w:sz w:val="18"/>
              </w:rPr>
              <w:t>Entorno</w:t>
            </w:r>
          </w:p>
        </w:tc>
        <w:tc>
          <w:tcPr>
            <w:tcW w:type="dxa" w:w="4050"/>
            <w:tcMar>
              <w:top w:w="100" w:type="dxa"/>
              <w:start w:w="120" w:type="dxa"/>
              <w:bottom w:w="100" w:type="dxa"/>
              <w:end w:w="120" w:type="dxa"/>
            </w:tcMar>
            <w:vAlign w:val="center"/>
          </w:tcPr>
          <w:p>
            <w:pPr>
              <w:spacing w:after="0" w:line="259" w:lineRule="auto"/>
            </w:pPr>
            <w:r>
              <w:rPr>
                <w:rFonts w:ascii="Calibri" w:hAnsi="Calibri"/>
                <w:b w:val="0"/>
                <w:i w:val="0"/>
                <w:color w:val="17212B"/>
                <w:sz w:val="18"/>
              </w:rPr>
              <w:t>Días, minutos, equipo, supervisión, entrenamiento grupal, deporte concurrente.</w:t>
            </w:r>
          </w:p>
        </w:tc>
        <w:tc>
          <w:tcPr>
            <w:tcW w:type="dxa" w:w="3560"/>
            <w:tcMar>
              <w:top w:w="100" w:type="dxa"/>
              <w:start w:w="120" w:type="dxa"/>
              <w:bottom w:w="100" w:type="dxa"/>
              <w:end w:w="120" w:type="dxa"/>
            </w:tcMar>
            <w:vAlign w:val="center"/>
          </w:tcPr>
          <w:p>
            <w:pPr>
              <w:spacing w:after="0" w:line="259" w:lineRule="auto"/>
            </w:pPr>
            <w:r>
              <w:rPr>
                <w:rFonts w:ascii="Calibri" w:hAnsi="Calibri"/>
                <w:b w:val="0"/>
                <w:i w:val="0"/>
                <w:color w:val="17212B"/>
                <w:sz w:val="18"/>
              </w:rPr>
              <w:t>Split, densidad, sustituciones y logística.</w:t>
            </w:r>
          </w:p>
        </w:tc>
      </w:tr>
    </w:tbl>
    <w:p>
      <w:pPr>
        <w:spacing w:after="40"/>
      </w:pPr>
    </w:p>
    <w:p>
      <w:pPr>
        <w:pStyle w:val="Heading2"/>
        <w:keepNext/>
      </w:pPr>
      <w:r>
        <w:t>Perfiles de población y protocolos</w:t>
      </w:r>
    </w:p>
    <w:p>
      <w:pPr>
        <w:pStyle w:val="Heading3"/>
        <w:keepNext/>
      </w:pPr>
      <w:r>
        <w:t>Jóvenes y adolescentes</w:t>
      </w:r>
    </w:p>
    <w:p>
      <w:pPr>
        <w:keepLines w:val="0"/>
        <w:spacing w:after="120" w:line="283" w:lineRule="auto"/>
      </w:pPr>
      <w:r>
        <w:rPr>
          <w:rFonts w:ascii="Calibri" w:hAnsi="Calibri"/>
          <w:b w:val="0"/>
          <w:i w:val="0"/>
          <w:color w:val="17212B"/>
          <w:sz w:val="21"/>
        </w:rPr>
        <w:t>Con instrucción competente, entorno seguro y progresión apropiada, el entrenamiento de fuerza es relativamente seguro. La NSCA recomienda como inicio 1-3 series de 6-15 repeticiones, 2-3 días no consecutivos, calentamiento dinámico de 5-10 minutos y aumentos graduales de 5-10% cuando la técnica se mantiene. [S5]</w:t>
      </w:r>
    </w:p>
    <w:p>
      <w:pPr>
        <w:pStyle w:val="ListBullet"/>
        <w:spacing w:after="80" w:line="283" w:lineRule="auto"/>
      </w:pPr>
      <w:r>
        <w:rPr>
          <w:rFonts w:ascii="Calibri" w:hAnsi="Calibri"/>
          <w:b w:val="0"/>
          <w:i w:val="0"/>
          <w:color w:val="17212B"/>
          <w:sz w:val="21"/>
        </w:rPr>
        <w:t>Obligatorio: edad, maduración, experiencia, deporte adicional, supervisión disponible y consentimiento según la política del gimnasio.</w:t>
      </w:r>
    </w:p>
    <w:p>
      <w:pPr>
        <w:pStyle w:val="ListBullet"/>
        <w:spacing w:after="80" w:line="283" w:lineRule="auto"/>
      </w:pPr>
      <w:r>
        <w:rPr>
          <w:rFonts w:ascii="Calibri" w:hAnsi="Calibri"/>
          <w:b w:val="0"/>
          <w:i w:val="0"/>
          <w:color w:val="17212B"/>
          <w:sz w:val="21"/>
        </w:rPr>
        <w:t>Prioridad: competencia motriz, simetría, disfrute y hábito; no fallo ni técnicas de fatiga automáticas.</w:t>
      </w:r>
    </w:p>
    <w:p>
      <w:pPr>
        <w:pStyle w:val="ListBullet"/>
        <w:spacing w:after="80" w:line="283" w:lineRule="auto"/>
      </w:pPr>
      <w:r>
        <w:rPr>
          <w:rFonts w:ascii="Calibri" w:hAnsi="Calibri"/>
          <w:b w:val="0"/>
          <w:i w:val="0"/>
          <w:color w:val="17212B"/>
          <w:sz w:val="21"/>
        </w:rPr>
        <w:t>Bloquear una propuesta compleja si no existe supervisión calificada.</w:t>
      </w:r>
    </w:p>
    <w:p>
      <w:pPr>
        <w:pStyle w:val="Heading3"/>
        <w:keepNext/>
      </w:pPr>
      <w:r>
        <w:t>Adultos, incluidos los mayores de 30 años</w:t>
      </w:r>
    </w:p>
    <w:p>
      <w:pPr>
        <w:keepLines w:val="0"/>
        <w:spacing w:after="120" w:line="283" w:lineRule="auto"/>
      </w:pPr>
      <w:r>
        <w:rPr>
          <w:rFonts w:ascii="Calibri" w:hAnsi="Calibri"/>
          <w:b w:val="0"/>
          <w:i w:val="0"/>
          <w:color w:val="17212B"/>
          <w:sz w:val="21"/>
        </w:rPr>
        <w:t>Treinta años no es una categoría de prescripción. El motor no reducirá volumen por cumplir 30, 40 o 50 años sin señales funcionales o de recuperación. El ajuste se hará por historial, dolor, sueño, rendimiento, tolerancia y objetivo.</w:t>
      </w:r>
    </w:p>
    <w:p>
      <w:pPr>
        <w:pStyle w:val="Heading3"/>
        <w:keepNext/>
      </w:pPr>
      <w:r>
        <w:t>Adultos mayores, fragilidad y riesgo de caída</w:t>
      </w:r>
    </w:p>
    <w:p>
      <w:pPr>
        <w:keepLines w:val="0"/>
        <w:spacing w:after="120" w:line="283" w:lineRule="auto"/>
      </w:pPr>
      <w:r>
        <w:rPr>
          <w:rFonts w:ascii="Calibri" w:hAnsi="Calibri"/>
          <w:b w:val="0"/>
          <w:i w:val="0"/>
          <w:color w:val="17212B"/>
          <w:sz w:val="21"/>
        </w:rPr>
        <w:t>En adultos mayores sanos, la NSCA propone progresar hacia 2-3 series, 1-2 ejercicios multiarticulares por grupo, 2-3 días/semana y 70-85% 1RM para fuerza; también puede incluir potencia con 40-60% 1RM. Fragilidad, limitaciones o enfermedad exigen comenzar por debajo y adaptar. [S4]</w:t>
      </w:r>
    </w:p>
    <w:p>
      <w:pPr>
        <w:pStyle w:val="ListBullet"/>
        <w:spacing w:after="80" w:line="283" w:lineRule="auto"/>
      </w:pPr>
      <w:r>
        <w:rPr>
          <w:rFonts w:ascii="Calibri" w:hAnsi="Calibri"/>
          <w:b w:val="0"/>
          <w:i w:val="0"/>
          <w:color w:val="17212B"/>
          <w:sz w:val="21"/>
        </w:rPr>
        <w:t>Preguntar capacidad para actividades diarias, caídas, equilibrio, ayudas técnicas, presión arterial/condiciones conocidas y autorización cuando corresponda.</w:t>
      </w:r>
    </w:p>
    <w:p>
      <w:pPr>
        <w:pStyle w:val="ListBullet"/>
        <w:spacing w:after="80" w:line="283" w:lineRule="auto"/>
      </w:pPr>
      <w:r>
        <w:rPr>
          <w:rFonts w:ascii="Calibri" w:hAnsi="Calibri"/>
          <w:b w:val="0"/>
          <w:i w:val="0"/>
          <w:color w:val="17212B"/>
          <w:sz w:val="21"/>
        </w:rPr>
        <w:t>No usar 'senior' como sinónimo de rutina suave; usar función y riesgo.</w:t>
      </w:r>
    </w:p>
    <w:p>
      <w:pPr>
        <w:pStyle w:val="ListBullet"/>
        <w:spacing w:after="80" w:line="283" w:lineRule="auto"/>
      </w:pPr>
      <w:r>
        <w:rPr>
          <w:rFonts w:ascii="Calibri" w:hAnsi="Calibri"/>
          <w:b w:val="0"/>
          <w:i w:val="0"/>
          <w:color w:val="17212B"/>
          <w:sz w:val="21"/>
        </w:rPr>
        <w:t>Fallo más conservador y énfasis en fuerza, potencia segura, equilibrio y autonomía.</w:t>
      </w:r>
    </w:p>
    <w:p>
      <w:pPr>
        <w:pStyle w:val="Heading3"/>
        <w:keepNext/>
      </w:pPr>
      <w:r>
        <w:t>Personas con discapacidad y atletas adaptados</w:t>
      </w:r>
    </w:p>
    <w:p>
      <w:pPr>
        <w:keepLines w:val="0"/>
        <w:spacing w:after="120" w:line="283" w:lineRule="auto"/>
      </w:pPr>
      <w:r>
        <w:rPr>
          <w:rFonts w:ascii="Calibri" w:hAnsi="Calibri"/>
          <w:b w:val="0"/>
          <w:i w:val="0"/>
          <w:color w:val="17212B"/>
          <w:sz w:val="21"/>
        </w:rPr>
        <w:t>No existe una plantilla 'discapacidad'. La OMS recomienda actividad de fortalecimiento para los grandes grupos al menos 2 días por semana y comenzar gradualmente, pero la selección debe partir de función, salud y acceso; algunas personas necesitan apoyo de un profesional de salud o especialista en actividad adaptada. [S6]</w:t>
      </w:r>
    </w:p>
    <w:p>
      <w:pPr>
        <w:pStyle w:val="ListBullet"/>
        <w:spacing w:after="80" w:line="283" w:lineRule="auto"/>
      </w:pPr>
      <w:r>
        <w:rPr>
          <w:rFonts w:ascii="Calibri" w:hAnsi="Calibri"/>
          <w:b w:val="0"/>
          <w:i w:val="0"/>
          <w:color w:val="17212B"/>
          <w:sz w:val="21"/>
        </w:rPr>
        <w:t>Registrar solo lo relevante para entrenar: control de tronco, transferencia, agarre, rango activo, espasticidad, fatiga, equilibrio, sensibilidad, prótesis/órtesis, piel/presión, comunicación y asistencia.</w:t>
      </w:r>
    </w:p>
    <w:p>
      <w:pPr>
        <w:pStyle w:val="ListBullet"/>
        <w:spacing w:after="80" w:line="283" w:lineRule="auto"/>
      </w:pPr>
      <w:r>
        <w:rPr>
          <w:rFonts w:ascii="Calibri" w:hAnsi="Calibri"/>
          <w:b w:val="0"/>
          <w:i w:val="0"/>
          <w:color w:val="17212B"/>
          <w:sz w:val="21"/>
        </w:rPr>
        <w:t>Separar discapacidad física, visual, auditiva, intelectual y neurológica; cada una cambia la instrucción de forma diferente.</w:t>
      </w:r>
    </w:p>
    <w:p>
      <w:pPr>
        <w:pStyle w:val="ListBullet"/>
        <w:spacing w:after="80" w:line="283" w:lineRule="auto"/>
      </w:pPr>
      <w:r>
        <w:rPr>
          <w:rFonts w:ascii="Calibri" w:hAnsi="Calibri"/>
          <w:b w:val="0"/>
          <w:i w:val="0"/>
          <w:color w:val="17212B"/>
          <w:sz w:val="21"/>
        </w:rPr>
        <w:t>Para deporte adaptado o Wheelchair Bodybuilding, sumar clasificación deportiva, calendario, volumen de propulsión y salud del hombro; no inferir capacidades por diagnóstico.</w:t>
      </w:r>
    </w:p>
    <w:p>
      <w:pPr>
        <w:pStyle w:val="Heading3"/>
        <w:keepNext/>
      </w:pPr>
      <w:r>
        <w:t>Condiciones clínicas, dolor, cirugía, embarazo y posparto</w:t>
      </w:r>
    </w:p>
    <w:p>
      <w:pPr>
        <w:keepLines w:val="0"/>
        <w:spacing w:after="120" w:line="283" w:lineRule="auto"/>
      </w:pPr>
      <w:r>
        <w:rPr>
          <w:rFonts w:ascii="Calibri" w:hAnsi="Calibri"/>
          <w:b w:val="0"/>
          <w:i w:val="0"/>
          <w:color w:val="17212B"/>
          <w:sz w:val="21"/>
        </w:rPr>
        <w:t>El generador no diagnostica ni crea rehabilitación. El cribado ACSM considera actividad actual, signos/síntomas, enfermedad cardiovascular/metabólica/renal conocida e intensidad deseada para decidir si se requiere autorización. [S7]</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DECEC"/>
          </w:tcPr>
          <w:p>
            <w:pPr>
              <w:spacing w:after="40"/>
            </w:pPr>
            <w:r>
              <w:rPr>
                <w:rFonts w:ascii="Calibri" w:hAnsi="Calibri"/>
                <w:b/>
                <w:i w:val="0"/>
                <w:color w:val="9B1C1C"/>
                <w:sz w:val="22"/>
              </w:rPr>
              <w:t>Regla de bloqueo</w:t>
            </w:r>
          </w:p>
          <w:p>
            <w:pPr>
              <w:spacing w:after="0" w:line="276" w:lineRule="auto"/>
            </w:pPr>
            <w:r>
              <w:rPr>
                <w:rFonts w:ascii="Calibri" w:hAnsi="Calibri"/>
                <w:b w:val="0"/>
                <w:i w:val="0"/>
                <w:color w:val="17212B"/>
                <w:sz w:val="20"/>
              </w:rPr>
              <w:t>Síntomas de alarma, condición inestable, posoperatorio sin alta, dolor no evaluado o embarazo/posparto con factores que exceden la competencia del entrenador detienen la generación automática. Se solicita autorización o coordinación profesional; luego se programa dentro de las restricciones indicadas.</w:t>
            </w:r>
          </w:p>
        </w:tc>
      </w:tr>
    </w:tbl>
    <w:p>
      <w:pPr>
        <w:spacing w:after="40"/>
      </w:pPr>
    </w:p>
    <w:p>
      <w:pPr>
        <w:pStyle w:val="Heading1"/>
        <w:keepNext/>
      </w:pPr>
      <w:r>
        <w:t>4. Experiencia y nivel competitivo</w:t>
      </w:r>
    </w:p>
    <w:p>
      <w:pPr>
        <w:pStyle w:val="Heading2"/>
        <w:keepNext/>
      </w:pPr>
      <w:r>
        <w:t>La experiencia debe demostrarse</w:t>
      </w:r>
    </w:p>
    <w:tbl>
      <w:tblPr>
        <w:tblStyle w:val="TableGrid"/>
        <w:tblW w:type="dxa" w:w="9360"/>
        <w:jc w:val="left"/>
        <w:tblLayout w:type="fixed"/>
        <w:tblLook w:firstColumn="1" w:firstRow="1" w:lastColumn="0" w:lastRow="0" w:noHBand="0" w:noVBand="1" w:val="04A0"/>
        <w:tblInd w:w="120" w:type="dxa"/>
      </w:tblPr>
      <w:tblGrid>
        <w:gridCol w:w="1500"/>
        <w:gridCol w:w="4050"/>
        <w:gridCol w:w="3810"/>
      </w:tblGrid>
      <w:tr>
        <w:trPr>
          <w:tblHeader w:val="true"/>
        </w:trPr>
        <w:tc>
          <w:tcPr>
            <w:tcW w:type="dxa" w:w="1500"/>
            <w:shd w:fill="E8EEF5"/>
            <w:tcMar>
              <w:top w:w="100" w:type="dxa"/>
              <w:start w:w="120" w:type="dxa"/>
              <w:bottom w:w="100" w:type="dxa"/>
              <w:end w:w="120" w:type="dxa"/>
            </w:tcMar>
            <w:vAlign w:val="center"/>
          </w:tcPr>
          <w:p>
            <w:pPr>
              <w:jc w:val="left"/>
            </w:pPr>
            <w:r>
              <w:rPr>
                <w:rFonts w:ascii="Calibri" w:hAnsi="Calibri"/>
                <w:b/>
                <w:i w:val="0"/>
                <w:color w:val="17324D"/>
                <w:sz w:val="19"/>
              </w:rPr>
              <w:t>Nivel</w:t>
            </w:r>
          </w:p>
        </w:tc>
        <w:tc>
          <w:tcPr>
            <w:tcW w:type="dxa" w:w="4050"/>
            <w:shd w:fill="E8EEF5"/>
            <w:tcMar>
              <w:top w:w="100" w:type="dxa"/>
              <w:start w:w="120" w:type="dxa"/>
              <w:bottom w:w="100" w:type="dxa"/>
              <w:end w:w="120" w:type="dxa"/>
            </w:tcMar>
            <w:vAlign w:val="center"/>
          </w:tcPr>
          <w:p>
            <w:pPr>
              <w:jc w:val="left"/>
            </w:pPr>
            <w:r>
              <w:rPr>
                <w:rFonts w:ascii="Calibri" w:hAnsi="Calibri"/>
                <w:b/>
                <w:i w:val="0"/>
                <w:color w:val="17324D"/>
                <w:sz w:val="19"/>
              </w:rPr>
              <w:t>Criterios mínimos</w:t>
            </w:r>
          </w:p>
        </w:tc>
        <w:tc>
          <w:tcPr>
            <w:tcW w:type="dxa" w:w="3810"/>
            <w:shd w:fill="E8EEF5"/>
            <w:tcMar>
              <w:top w:w="100" w:type="dxa"/>
              <w:start w:w="120" w:type="dxa"/>
              <w:bottom w:w="100" w:type="dxa"/>
              <w:end w:w="120" w:type="dxa"/>
            </w:tcMar>
            <w:vAlign w:val="center"/>
          </w:tcPr>
          <w:p>
            <w:pPr>
              <w:jc w:val="left"/>
            </w:pPr>
            <w:r>
              <w:rPr>
                <w:rFonts w:ascii="Calibri" w:hAnsi="Calibri"/>
                <w:b/>
                <w:i w:val="0"/>
                <w:color w:val="17324D"/>
                <w:sz w:val="19"/>
              </w:rPr>
              <w:t>Programación inicial</w:t>
            </w:r>
          </w:p>
        </w:tc>
      </w:tr>
      <w:tr>
        <w:tc>
          <w:tcPr>
            <w:tcW w:type="dxa" w:w="1500"/>
            <w:tcMar>
              <w:top w:w="100" w:type="dxa"/>
              <w:start w:w="120" w:type="dxa"/>
              <w:bottom w:w="100" w:type="dxa"/>
              <w:end w:w="120" w:type="dxa"/>
            </w:tcMar>
            <w:vAlign w:val="center"/>
          </w:tcPr>
          <w:p>
            <w:pPr>
              <w:spacing w:after="0" w:line="259" w:lineRule="auto"/>
            </w:pPr>
            <w:r>
              <w:rPr>
                <w:rFonts w:ascii="Calibri" w:hAnsi="Calibri"/>
                <w:b w:val="0"/>
                <w:i w:val="0"/>
                <w:color w:val="17212B"/>
                <w:sz w:val="18"/>
              </w:rPr>
              <w:t>Novato</w:t>
            </w:r>
          </w:p>
        </w:tc>
        <w:tc>
          <w:tcPr>
            <w:tcW w:type="dxa" w:w="4050"/>
            <w:tcMar>
              <w:top w:w="100" w:type="dxa"/>
              <w:start w:w="120" w:type="dxa"/>
              <w:bottom w:w="100" w:type="dxa"/>
              <w:end w:w="120" w:type="dxa"/>
            </w:tcMar>
            <w:vAlign w:val="center"/>
          </w:tcPr>
          <w:p>
            <w:pPr>
              <w:spacing w:after="0" w:line="259" w:lineRule="auto"/>
            </w:pPr>
            <w:r>
              <w:rPr>
                <w:rFonts w:ascii="Calibri" w:hAnsi="Calibri"/>
                <w:b w:val="0"/>
                <w:i w:val="0"/>
                <w:color w:val="17212B"/>
                <w:sz w:val="18"/>
              </w:rPr>
              <w:t>Poca práctica consistente, técnica inestable, no estima RIR con fiabilidad.</w:t>
            </w:r>
          </w:p>
        </w:tc>
        <w:tc>
          <w:tcPr>
            <w:tcW w:type="dxa" w:w="3810"/>
            <w:tcMar>
              <w:top w:w="100" w:type="dxa"/>
              <w:start w:w="120" w:type="dxa"/>
              <w:bottom w:w="100" w:type="dxa"/>
              <w:end w:w="120" w:type="dxa"/>
            </w:tcMar>
            <w:vAlign w:val="center"/>
          </w:tcPr>
          <w:p>
            <w:pPr>
              <w:spacing w:after="0" w:line="259" w:lineRule="auto"/>
            </w:pPr>
            <w:r>
              <w:rPr>
                <w:rFonts w:ascii="Calibri" w:hAnsi="Calibri"/>
                <w:b w:val="0"/>
                <w:i w:val="0"/>
                <w:color w:val="17212B"/>
                <w:sz w:val="18"/>
              </w:rPr>
              <w:t>Pocos ejercicios, 1-3 series, RIR holgado, doble progresión simple, alta repetición de patrones.</w:t>
            </w:r>
          </w:p>
        </w:tc>
      </w:tr>
      <w:tr>
        <w:tc>
          <w:tcPr>
            <w:tcW w:type="dxa" w:w="1500"/>
            <w:tcMar>
              <w:top w:w="100" w:type="dxa"/>
              <w:start w:w="120" w:type="dxa"/>
              <w:bottom w:w="100" w:type="dxa"/>
              <w:end w:w="120" w:type="dxa"/>
            </w:tcMar>
            <w:vAlign w:val="center"/>
          </w:tcPr>
          <w:p>
            <w:pPr>
              <w:spacing w:after="0" w:line="259" w:lineRule="auto"/>
            </w:pPr>
            <w:r>
              <w:rPr>
                <w:rFonts w:ascii="Calibri" w:hAnsi="Calibri"/>
                <w:b w:val="0"/>
                <w:i w:val="0"/>
                <w:color w:val="17212B"/>
                <w:sz w:val="18"/>
              </w:rPr>
              <w:t>Intermedio</w:t>
            </w:r>
          </w:p>
        </w:tc>
        <w:tc>
          <w:tcPr>
            <w:tcW w:type="dxa" w:w="4050"/>
            <w:tcMar>
              <w:top w:w="100" w:type="dxa"/>
              <w:start w:w="120" w:type="dxa"/>
              <w:bottom w:w="100" w:type="dxa"/>
              <w:end w:w="120" w:type="dxa"/>
            </w:tcMar>
            <w:vAlign w:val="center"/>
          </w:tcPr>
          <w:p>
            <w:pPr>
              <w:spacing w:after="0" w:line="259" w:lineRule="auto"/>
            </w:pPr>
            <w:r>
              <w:rPr>
                <w:rFonts w:ascii="Calibri" w:hAnsi="Calibri"/>
                <w:b w:val="0"/>
                <w:i w:val="0"/>
                <w:color w:val="17212B"/>
                <w:sz w:val="18"/>
              </w:rPr>
              <w:t>Técnica reproducible, historial de cargas, tolera volumen moderado y entiende RIR.</w:t>
            </w:r>
          </w:p>
        </w:tc>
        <w:tc>
          <w:tcPr>
            <w:tcW w:type="dxa" w:w="3810"/>
            <w:tcMar>
              <w:top w:w="100" w:type="dxa"/>
              <w:start w:w="120" w:type="dxa"/>
              <w:bottom w:w="100" w:type="dxa"/>
              <w:end w:w="120" w:type="dxa"/>
            </w:tcMar>
            <w:vAlign w:val="center"/>
          </w:tcPr>
          <w:p>
            <w:pPr>
              <w:spacing w:after="0" w:line="259" w:lineRule="auto"/>
            </w:pPr>
            <w:r>
              <w:rPr>
                <w:rFonts w:ascii="Calibri" w:hAnsi="Calibri"/>
                <w:b w:val="0"/>
                <w:i w:val="0"/>
                <w:color w:val="17212B"/>
                <w:sz w:val="18"/>
              </w:rPr>
              <w:t>Volumen por respuesta, variedad contenida, RIR 1-3, técnicas puntuales.</w:t>
            </w:r>
          </w:p>
        </w:tc>
      </w:tr>
      <w:tr>
        <w:tc>
          <w:tcPr>
            <w:tcW w:type="dxa" w:w="1500"/>
            <w:tcMar>
              <w:top w:w="100" w:type="dxa"/>
              <w:start w:w="120" w:type="dxa"/>
              <w:bottom w:w="100" w:type="dxa"/>
              <w:end w:w="120" w:type="dxa"/>
            </w:tcMar>
            <w:vAlign w:val="center"/>
          </w:tcPr>
          <w:p>
            <w:pPr>
              <w:spacing w:after="0" w:line="259" w:lineRule="auto"/>
            </w:pPr>
            <w:r>
              <w:rPr>
                <w:rFonts w:ascii="Calibri" w:hAnsi="Calibri"/>
                <w:b w:val="0"/>
                <w:i w:val="0"/>
                <w:color w:val="17212B"/>
                <w:sz w:val="18"/>
              </w:rPr>
              <w:t>Avanzado</w:t>
            </w:r>
          </w:p>
        </w:tc>
        <w:tc>
          <w:tcPr>
            <w:tcW w:type="dxa" w:w="4050"/>
            <w:tcMar>
              <w:top w:w="100" w:type="dxa"/>
              <w:start w:w="120" w:type="dxa"/>
              <w:bottom w:w="100" w:type="dxa"/>
              <w:end w:w="120" w:type="dxa"/>
            </w:tcMar>
            <w:vAlign w:val="center"/>
          </w:tcPr>
          <w:p>
            <w:pPr>
              <w:spacing w:after="0" w:line="259" w:lineRule="auto"/>
            </w:pPr>
            <w:r>
              <w:rPr>
                <w:rFonts w:ascii="Calibri" w:hAnsi="Calibri"/>
                <w:b w:val="0"/>
                <w:i w:val="0"/>
                <w:color w:val="17212B"/>
                <w:sz w:val="18"/>
              </w:rPr>
              <w:t>Años consistentes, alto dominio, registro confiable y capacidad de autoregulación.</w:t>
            </w:r>
          </w:p>
        </w:tc>
        <w:tc>
          <w:tcPr>
            <w:tcW w:type="dxa" w:w="3810"/>
            <w:tcMar>
              <w:top w:w="100" w:type="dxa"/>
              <w:start w:w="120" w:type="dxa"/>
              <w:bottom w:w="100" w:type="dxa"/>
              <w:end w:w="120" w:type="dxa"/>
            </w:tcMar>
            <w:vAlign w:val="center"/>
          </w:tcPr>
          <w:p>
            <w:pPr>
              <w:spacing w:after="0" w:line="259" w:lineRule="auto"/>
            </w:pPr>
            <w:r>
              <w:rPr>
                <w:rFonts w:ascii="Calibri" w:hAnsi="Calibri"/>
                <w:b w:val="0"/>
                <w:i w:val="0"/>
                <w:color w:val="17212B"/>
                <w:sz w:val="18"/>
              </w:rPr>
              <w:t>Especialización, periodización de volumen/esfuerzo, fallo dosificado y técnicas con presupuesto.</w:t>
            </w:r>
          </w:p>
        </w:tc>
      </w:tr>
      <w:tr>
        <w:tc>
          <w:tcPr>
            <w:tcW w:type="dxa" w:w="1500"/>
            <w:tcMar>
              <w:top w:w="100" w:type="dxa"/>
              <w:start w:w="120" w:type="dxa"/>
              <w:bottom w:w="100" w:type="dxa"/>
              <w:end w:w="120" w:type="dxa"/>
            </w:tcMar>
            <w:vAlign w:val="center"/>
          </w:tcPr>
          <w:p>
            <w:pPr>
              <w:spacing w:after="0" w:line="259" w:lineRule="auto"/>
            </w:pPr>
            <w:r>
              <w:rPr>
                <w:rFonts w:ascii="Calibri" w:hAnsi="Calibri"/>
                <w:b w:val="0"/>
                <w:i w:val="0"/>
                <w:color w:val="17212B"/>
                <w:sz w:val="18"/>
              </w:rPr>
              <w:t>Élite/profesional</w:t>
            </w:r>
          </w:p>
        </w:tc>
        <w:tc>
          <w:tcPr>
            <w:tcW w:type="dxa" w:w="4050"/>
            <w:tcMar>
              <w:top w:w="100" w:type="dxa"/>
              <w:start w:w="120" w:type="dxa"/>
              <w:bottom w:w="100" w:type="dxa"/>
              <w:end w:w="120" w:type="dxa"/>
            </w:tcMar>
            <w:vAlign w:val="center"/>
          </w:tcPr>
          <w:p>
            <w:pPr>
              <w:spacing w:after="0" w:line="259" w:lineRule="auto"/>
            </w:pPr>
            <w:r>
              <w:rPr>
                <w:rFonts w:ascii="Calibri" w:hAnsi="Calibri"/>
                <w:b w:val="0"/>
                <w:i w:val="0"/>
                <w:color w:val="17212B"/>
                <w:sz w:val="18"/>
              </w:rPr>
              <w:t>Rendimiento competitivo demostrado y equipo de apoyo.</w:t>
            </w:r>
          </w:p>
        </w:tc>
        <w:tc>
          <w:tcPr>
            <w:tcW w:type="dxa" w:w="3810"/>
            <w:tcMar>
              <w:top w:w="100" w:type="dxa"/>
              <w:start w:w="120" w:type="dxa"/>
              <w:bottom w:w="100" w:type="dxa"/>
              <w:end w:w="120" w:type="dxa"/>
            </w:tcMar>
            <w:vAlign w:val="center"/>
          </w:tcPr>
          <w:p>
            <w:pPr>
              <w:spacing w:after="0" w:line="259" w:lineRule="auto"/>
            </w:pPr>
            <w:r>
              <w:rPr>
                <w:rFonts w:ascii="Calibri" w:hAnsi="Calibri"/>
                <w:b w:val="0"/>
                <w:i w:val="0"/>
                <w:color w:val="17212B"/>
                <w:sz w:val="18"/>
              </w:rPr>
              <w:t>Plan por calendario, puntos débiles, fatiga y fase. Más individualización, no simplemente más series.</w:t>
            </w:r>
          </w:p>
        </w:tc>
      </w:tr>
    </w:tbl>
    <w:p>
      <w:pPr>
        <w:spacing w:after="40"/>
      </w:pPr>
    </w:p>
    <w:p>
      <w:pPr>
        <w:pStyle w:val="Heading2"/>
        <w:keepNext/>
      </w:pPr>
      <w:r>
        <w:t>Divisiones IFBB Pro y Olympia</w:t>
      </w:r>
    </w:p>
    <w:p>
      <w:pPr>
        <w:keepLines w:val="0"/>
        <w:spacing w:after="120" w:line="283" w:lineRule="auto"/>
      </w:pPr>
      <w:r>
        <w:rPr>
          <w:rFonts w:ascii="Calibri" w:hAnsi="Calibri"/>
          <w:b w:val="0"/>
          <w:i w:val="0"/>
          <w:color w:val="17212B"/>
          <w:sz w:val="21"/>
        </w:rPr>
        <w:t>En 2026, las reglas IFBB Pro enumeran: Men's Open, 212, Classic Physique, Men's Physique, Men's Wheelchair, Women's Bodybuilding, Fitness, Figure, Bikini, Women's Physique, Wellness y Fit Model. El programa Olympia 2026 publicado incluye las divisiones Olympia tradicionales; Fit Model debe tratarse como división IFBB Pro y confirmarse para cada evento. [S8-S10]</w:t>
      </w:r>
    </w:p>
    <w:p>
      <w:pPr>
        <w:keepLines w:val="0"/>
        <w:spacing w:after="120" w:line="283" w:lineRule="auto"/>
      </w:pPr>
      <w:r>
        <w:rPr>
          <w:rFonts w:ascii="Calibri" w:hAnsi="Calibri"/>
          <w:b w:val="0"/>
          <w:i w:val="0"/>
          <w:color w:val="17212B"/>
          <w:sz w:val="21"/>
        </w:rPr>
        <w:t>La categoría no entrega una rutina. Entrega criterios de proporción y prioridades que deben cruzarse con fase, fecha, puntos débiles, salud y volumen tolerado.</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E8EEF5"/>
            <w:tcMar>
              <w:top w:w="100" w:type="dxa"/>
              <w:start w:w="120" w:type="dxa"/>
              <w:bottom w:w="100" w:type="dxa"/>
              <w:end w:w="120" w:type="dxa"/>
            </w:tcMar>
            <w:vAlign w:val="center"/>
          </w:tcPr>
          <w:p>
            <w:pPr>
              <w:jc w:val="left"/>
            </w:pPr>
            <w:r>
              <w:rPr>
                <w:rFonts w:ascii="Calibri" w:hAnsi="Calibri"/>
                <w:b/>
                <w:i w:val="0"/>
                <w:color w:val="17324D"/>
                <w:sz w:val="19"/>
              </w:rPr>
              <w:t>División</w:t>
            </w:r>
          </w:p>
        </w:tc>
        <w:tc>
          <w:tcPr>
            <w:tcW w:type="dxa" w:w="7160"/>
            <w:shd w:fill="E8EEF5"/>
            <w:tcMar>
              <w:top w:w="100" w:type="dxa"/>
              <w:start w:w="120" w:type="dxa"/>
              <w:bottom w:w="100" w:type="dxa"/>
              <w:end w:w="120" w:type="dxa"/>
            </w:tcMar>
            <w:vAlign w:val="center"/>
          </w:tcPr>
          <w:p>
            <w:pPr>
              <w:jc w:val="left"/>
            </w:pPr>
            <w:r>
              <w:rPr>
                <w:rFonts w:ascii="Calibri" w:hAnsi="Calibri"/>
                <w:b/>
                <w:i w:val="0"/>
                <w:color w:val="17324D"/>
                <w:sz w:val="19"/>
              </w:rPr>
              <w:t>Traducción útil para el motor</w:t>
            </w:r>
          </w:p>
        </w:tc>
      </w:tr>
      <w:tr>
        <w:tc>
          <w:tcPr>
            <w:tcW w:type="dxa" w:w="2200"/>
            <w:tcMar>
              <w:top w:w="100" w:type="dxa"/>
              <w:start w:w="120" w:type="dxa"/>
              <w:bottom w:w="100" w:type="dxa"/>
              <w:end w:w="120" w:type="dxa"/>
            </w:tcMar>
            <w:vAlign w:val="center"/>
          </w:tcPr>
          <w:p>
            <w:pPr>
              <w:spacing w:after="0" w:line="259" w:lineRule="auto"/>
            </w:pPr>
            <w:r>
              <w:rPr>
                <w:rFonts w:ascii="Calibri" w:hAnsi="Calibri"/>
                <w:b w:val="0"/>
                <w:i w:val="0"/>
                <w:color w:val="17212B"/>
                <w:sz w:val="18"/>
              </w:rPr>
              <w:t>Open / Women's Bodybuilding</w:t>
            </w:r>
          </w:p>
        </w:tc>
        <w:tc>
          <w:tcPr>
            <w:tcW w:type="dxa" w:w="7160"/>
            <w:tcMar>
              <w:top w:w="100" w:type="dxa"/>
              <w:start w:w="120" w:type="dxa"/>
              <w:bottom w:w="100" w:type="dxa"/>
              <w:end w:w="120" w:type="dxa"/>
            </w:tcMar>
            <w:vAlign w:val="center"/>
          </w:tcPr>
          <w:p>
            <w:pPr>
              <w:spacing w:after="0" w:line="259" w:lineRule="auto"/>
            </w:pPr>
            <w:r>
              <w:rPr>
                <w:rFonts w:ascii="Calibri" w:hAnsi="Calibri"/>
                <w:b w:val="0"/>
                <w:i w:val="0"/>
                <w:color w:val="17212B"/>
                <w:sz w:val="18"/>
              </w:rPr>
              <w:t>Desarrollo global; priorizar rezagos sin perder cobertura.</w:t>
            </w:r>
          </w:p>
        </w:tc>
      </w:tr>
      <w:tr>
        <w:tc>
          <w:tcPr>
            <w:tcW w:type="dxa" w:w="2200"/>
            <w:tcMar>
              <w:top w:w="100" w:type="dxa"/>
              <w:start w:w="120" w:type="dxa"/>
              <w:bottom w:w="100" w:type="dxa"/>
              <w:end w:w="120" w:type="dxa"/>
            </w:tcMar>
            <w:vAlign w:val="center"/>
          </w:tcPr>
          <w:p>
            <w:pPr>
              <w:spacing w:after="0" w:line="259" w:lineRule="auto"/>
            </w:pPr>
            <w:r>
              <w:rPr>
                <w:rFonts w:ascii="Calibri" w:hAnsi="Calibri"/>
                <w:b w:val="0"/>
                <w:i w:val="0"/>
                <w:color w:val="17212B"/>
                <w:sz w:val="18"/>
              </w:rPr>
              <w:t>212</w:t>
            </w:r>
          </w:p>
        </w:tc>
        <w:tc>
          <w:tcPr>
            <w:tcW w:type="dxa" w:w="7160"/>
            <w:tcMar>
              <w:top w:w="100" w:type="dxa"/>
              <w:start w:w="120" w:type="dxa"/>
              <w:bottom w:w="100" w:type="dxa"/>
              <w:end w:w="120" w:type="dxa"/>
            </w:tcMar>
            <w:vAlign w:val="center"/>
          </w:tcPr>
          <w:p>
            <w:pPr>
              <w:spacing w:after="0" w:line="259" w:lineRule="auto"/>
            </w:pPr>
            <w:r>
              <w:rPr>
                <w:rFonts w:ascii="Calibri" w:hAnsi="Calibri"/>
                <w:b w:val="0"/>
                <w:i w:val="0"/>
                <w:color w:val="17212B"/>
                <w:sz w:val="18"/>
              </w:rPr>
              <w:t>Máxima muscularidad dentro del límite; calendario de peso y fatiga fuera del alcance automático de entrenamiento.</w:t>
            </w:r>
          </w:p>
        </w:tc>
      </w:tr>
      <w:tr>
        <w:tc>
          <w:tcPr>
            <w:tcW w:type="dxa" w:w="2200"/>
            <w:tcMar>
              <w:top w:w="100" w:type="dxa"/>
              <w:start w:w="120" w:type="dxa"/>
              <w:bottom w:w="100" w:type="dxa"/>
              <w:end w:w="120" w:type="dxa"/>
            </w:tcMar>
            <w:vAlign w:val="center"/>
          </w:tcPr>
          <w:p>
            <w:pPr>
              <w:spacing w:after="0" w:line="259" w:lineRule="auto"/>
            </w:pPr>
            <w:r>
              <w:rPr>
                <w:rFonts w:ascii="Calibri" w:hAnsi="Calibri"/>
                <w:b w:val="0"/>
                <w:i w:val="0"/>
                <w:color w:val="17212B"/>
                <w:sz w:val="18"/>
              </w:rPr>
              <w:t>Classic Physique</w:t>
            </w:r>
          </w:p>
        </w:tc>
        <w:tc>
          <w:tcPr>
            <w:tcW w:type="dxa" w:w="7160"/>
            <w:tcMar>
              <w:top w:w="100" w:type="dxa"/>
              <w:start w:w="120" w:type="dxa"/>
              <w:bottom w:w="100" w:type="dxa"/>
              <w:end w:w="120" w:type="dxa"/>
            </w:tcMar>
            <w:vAlign w:val="center"/>
          </w:tcPr>
          <w:p>
            <w:pPr>
              <w:spacing w:after="0" w:line="259" w:lineRule="auto"/>
            </w:pPr>
            <w:r>
              <w:rPr>
                <w:rFonts w:ascii="Calibri" w:hAnsi="Calibri"/>
                <w:b w:val="0"/>
                <w:i w:val="0"/>
                <w:color w:val="17212B"/>
                <w:sz w:val="18"/>
              </w:rPr>
              <w:t>Simetría, línea, balance y presentación; especialización prudente.</w:t>
            </w:r>
          </w:p>
        </w:tc>
      </w:tr>
      <w:tr>
        <w:tc>
          <w:tcPr>
            <w:tcW w:type="dxa" w:w="2200"/>
            <w:tcMar>
              <w:top w:w="100" w:type="dxa"/>
              <w:start w:w="120" w:type="dxa"/>
              <w:bottom w:w="100" w:type="dxa"/>
              <w:end w:w="120" w:type="dxa"/>
            </w:tcMar>
            <w:vAlign w:val="center"/>
          </w:tcPr>
          <w:p>
            <w:pPr>
              <w:spacing w:after="0" w:line="259" w:lineRule="auto"/>
            </w:pPr>
            <w:r>
              <w:rPr>
                <w:rFonts w:ascii="Calibri" w:hAnsi="Calibri"/>
                <w:b w:val="0"/>
                <w:i w:val="0"/>
                <w:color w:val="17212B"/>
                <w:sz w:val="18"/>
              </w:rPr>
              <w:t>Men's Physique</w:t>
            </w:r>
          </w:p>
        </w:tc>
        <w:tc>
          <w:tcPr>
            <w:tcW w:type="dxa" w:w="7160"/>
            <w:tcMar>
              <w:top w:w="100" w:type="dxa"/>
              <w:start w:w="120" w:type="dxa"/>
              <w:bottom w:w="100" w:type="dxa"/>
              <w:end w:w="120" w:type="dxa"/>
            </w:tcMar>
            <w:vAlign w:val="center"/>
          </w:tcPr>
          <w:p>
            <w:pPr>
              <w:spacing w:after="0" w:line="259" w:lineRule="auto"/>
            </w:pPr>
            <w:r>
              <w:rPr>
                <w:rFonts w:ascii="Calibri" w:hAnsi="Calibri"/>
                <w:b w:val="0"/>
                <w:i w:val="0"/>
                <w:color w:val="17212B"/>
                <w:sz w:val="18"/>
              </w:rPr>
              <w:t>V-taper, hombros/espalda/pecho/brazos; mantener piernas por salud y base atlética.</w:t>
            </w:r>
          </w:p>
        </w:tc>
      </w:tr>
      <w:tr>
        <w:tc>
          <w:tcPr>
            <w:tcW w:type="dxa" w:w="2200"/>
            <w:tcMar>
              <w:top w:w="100" w:type="dxa"/>
              <w:start w:w="120" w:type="dxa"/>
              <w:bottom w:w="100" w:type="dxa"/>
              <w:end w:w="120" w:type="dxa"/>
            </w:tcMar>
            <w:vAlign w:val="center"/>
          </w:tcPr>
          <w:p>
            <w:pPr>
              <w:spacing w:after="0" w:line="259" w:lineRule="auto"/>
            </w:pPr>
            <w:r>
              <w:rPr>
                <w:rFonts w:ascii="Calibri" w:hAnsi="Calibri"/>
                <w:b w:val="0"/>
                <w:i w:val="0"/>
                <w:color w:val="17212B"/>
                <w:sz w:val="18"/>
              </w:rPr>
              <w:t>Bikini</w:t>
            </w:r>
          </w:p>
        </w:tc>
        <w:tc>
          <w:tcPr>
            <w:tcW w:type="dxa" w:w="7160"/>
            <w:tcMar>
              <w:top w:w="100" w:type="dxa"/>
              <w:start w:w="120" w:type="dxa"/>
              <w:bottom w:w="100" w:type="dxa"/>
              <w:end w:w="120" w:type="dxa"/>
            </w:tcMar>
            <w:vAlign w:val="center"/>
          </w:tcPr>
          <w:p>
            <w:pPr>
              <w:spacing w:after="0" w:line="259" w:lineRule="auto"/>
            </w:pPr>
            <w:r>
              <w:rPr>
                <w:rFonts w:ascii="Calibri" w:hAnsi="Calibri"/>
                <w:b w:val="0"/>
                <w:i w:val="0"/>
                <w:color w:val="17212B"/>
                <w:sz w:val="18"/>
              </w:rPr>
              <w:t>Proporción atlética, glúteos y balance superior sin convertirlo en una plantilla universal.</w:t>
            </w:r>
          </w:p>
        </w:tc>
      </w:tr>
      <w:tr>
        <w:tc>
          <w:tcPr>
            <w:tcW w:type="dxa" w:w="2200"/>
            <w:tcMar>
              <w:top w:w="100" w:type="dxa"/>
              <w:start w:w="120" w:type="dxa"/>
              <w:bottom w:w="100" w:type="dxa"/>
              <w:end w:w="120" w:type="dxa"/>
            </w:tcMar>
            <w:vAlign w:val="center"/>
          </w:tcPr>
          <w:p>
            <w:pPr>
              <w:spacing w:after="0" w:line="259" w:lineRule="auto"/>
            </w:pPr>
            <w:r>
              <w:rPr>
                <w:rFonts w:ascii="Calibri" w:hAnsi="Calibri"/>
                <w:b w:val="0"/>
                <w:i w:val="0"/>
                <w:color w:val="17212B"/>
                <w:sz w:val="18"/>
              </w:rPr>
              <w:t>Wellness</w:t>
            </w:r>
          </w:p>
        </w:tc>
        <w:tc>
          <w:tcPr>
            <w:tcW w:type="dxa" w:w="7160"/>
            <w:tcMar>
              <w:top w:w="100" w:type="dxa"/>
              <w:start w:w="120" w:type="dxa"/>
              <w:bottom w:w="100" w:type="dxa"/>
              <w:end w:w="120" w:type="dxa"/>
            </w:tcMar>
            <w:vAlign w:val="center"/>
          </w:tcPr>
          <w:p>
            <w:pPr>
              <w:spacing w:after="0" w:line="259" w:lineRule="auto"/>
            </w:pPr>
            <w:r>
              <w:rPr>
                <w:rFonts w:ascii="Calibri" w:hAnsi="Calibri"/>
                <w:b w:val="0"/>
                <w:i w:val="0"/>
                <w:color w:val="17212B"/>
                <w:sz w:val="18"/>
              </w:rPr>
              <w:t>Mayor protagonismo inferior; distinguir glúteo, cuádriceps y femoral y controlar recuperación.</w:t>
            </w:r>
          </w:p>
        </w:tc>
      </w:tr>
      <w:tr>
        <w:tc>
          <w:tcPr>
            <w:tcW w:type="dxa" w:w="2200"/>
            <w:tcMar>
              <w:top w:w="100" w:type="dxa"/>
              <w:start w:w="120" w:type="dxa"/>
              <w:bottom w:w="100" w:type="dxa"/>
              <w:end w:w="120" w:type="dxa"/>
            </w:tcMar>
            <w:vAlign w:val="center"/>
          </w:tcPr>
          <w:p>
            <w:pPr>
              <w:spacing w:after="0" w:line="259" w:lineRule="auto"/>
            </w:pPr>
            <w:r>
              <w:rPr>
                <w:rFonts w:ascii="Calibri" w:hAnsi="Calibri"/>
                <w:b w:val="0"/>
                <w:i w:val="0"/>
                <w:color w:val="17212B"/>
                <w:sz w:val="18"/>
              </w:rPr>
              <w:t>Figure / Women's Physique</w:t>
            </w:r>
          </w:p>
        </w:tc>
        <w:tc>
          <w:tcPr>
            <w:tcW w:type="dxa" w:w="7160"/>
            <w:tcMar>
              <w:top w:w="100" w:type="dxa"/>
              <w:start w:w="120" w:type="dxa"/>
              <w:bottom w:w="100" w:type="dxa"/>
              <w:end w:w="120" w:type="dxa"/>
            </w:tcMar>
            <w:vAlign w:val="center"/>
          </w:tcPr>
          <w:p>
            <w:pPr>
              <w:spacing w:after="0" w:line="259" w:lineRule="auto"/>
            </w:pPr>
            <w:r>
              <w:rPr>
                <w:rFonts w:ascii="Calibri" w:hAnsi="Calibri"/>
                <w:b w:val="0"/>
                <w:i w:val="0"/>
                <w:color w:val="17212B"/>
                <w:sz w:val="18"/>
              </w:rPr>
              <w:t>Más musculatura y separación que Bikini, con criterios diferentes entre ambas.</w:t>
            </w:r>
          </w:p>
        </w:tc>
      </w:tr>
      <w:tr>
        <w:tc>
          <w:tcPr>
            <w:tcW w:type="dxa" w:w="2200"/>
            <w:tcMar>
              <w:top w:w="100" w:type="dxa"/>
              <w:start w:w="120" w:type="dxa"/>
              <w:bottom w:w="100" w:type="dxa"/>
              <w:end w:w="120" w:type="dxa"/>
            </w:tcMar>
            <w:vAlign w:val="center"/>
          </w:tcPr>
          <w:p>
            <w:pPr>
              <w:spacing w:after="0" w:line="259" w:lineRule="auto"/>
            </w:pPr>
            <w:r>
              <w:rPr>
                <w:rFonts w:ascii="Calibri" w:hAnsi="Calibri"/>
                <w:b w:val="0"/>
                <w:i w:val="0"/>
                <w:color w:val="17212B"/>
                <w:sz w:val="18"/>
              </w:rPr>
              <w:t>Fitness</w:t>
            </w:r>
          </w:p>
        </w:tc>
        <w:tc>
          <w:tcPr>
            <w:tcW w:type="dxa" w:w="7160"/>
            <w:tcMar>
              <w:top w:w="100" w:type="dxa"/>
              <w:start w:w="120" w:type="dxa"/>
              <w:bottom w:w="100" w:type="dxa"/>
              <w:end w:w="120" w:type="dxa"/>
            </w:tcMar>
            <w:vAlign w:val="center"/>
          </w:tcPr>
          <w:p>
            <w:pPr>
              <w:spacing w:after="0" w:line="259" w:lineRule="auto"/>
            </w:pPr>
            <w:r>
              <w:rPr>
                <w:rFonts w:ascii="Calibri" w:hAnsi="Calibri"/>
                <w:b w:val="0"/>
                <w:i w:val="0"/>
                <w:color w:val="17212B"/>
                <w:sz w:val="18"/>
              </w:rPr>
              <w:t>Físico más rutina atlética: fuerza/potencia/movilidad y práctica técnica concurrente.</w:t>
            </w:r>
          </w:p>
        </w:tc>
      </w:tr>
      <w:tr>
        <w:tc>
          <w:tcPr>
            <w:tcW w:type="dxa" w:w="2200"/>
            <w:tcMar>
              <w:top w:w="100" w:type="dxa"/>
              <w:start w:w="120" w:type="dxa"/>
              <w:bottom w:w="100" w:type="dxa"/>
              <w:end w:w="120" w:type="dxa"/>
            </w:tcMar>
            <w:vAlign w:val="center"/>
          </w:tcPr>
          <w:p>
            <w:pPr>
              <w:spacing w:after="0" w:line="259" w:lineRule="auto"/>
            </w:pPr>
            <w:r>
              <w:rPr>
                <w:rFonts w:ascii="Calibri" w:hAnsi="Calibri"/>
                <w:b w:val="0"/>
                <w:i w:val="0"/>
                <w:color w:val="17212B"/>
                <w:sz w:val="18"/>
              </w:rPr>
              <w:t>Wheelchair</w:t>
            </w:r>
          </w:p>
        </w:tc>
        <w:tc>
          <w:tcPr>
            <w:tcW w:type="dxa" w:w="7160"/>
            <w:tcMar>
              <w:top w:w="100" w:type="dxa"/>
              <w:start w:w="120" w:type="dxa"/>
              <w:bottom w:w="100" w:type="dxa"/>
              <w:end w:w="120" w:type="dxa"/>
            </w:tcMar>
            <w:vAlign w:val="center"/>
          </w:tcPr>
          <w:p>
            <w:pPr>
              <w:spacing w:after="0" w:line="259" w:lineRule="auto"/>
            </w:pPr>
            <w:r>
              <w:rPr>
                <w:rFonts w:ascii="Calibri" w:hAnsi="Calibri"/>
                <w:b w:val="0"/>
                <w:i w:val="0"/>
                <w:color w:val="17212B"/>
                <w:sz w:val="18"/>
              </w:rPr>
              <w:t>Tren superior competitivo más protección de hombro, función de tronco y necesidades individuales.</w:t>
            </w:r>
          </w:p>
        </w:tc>
      </w:tr>
    </w:tbl>
    <w:p>
      <w:pPr>
        <w:spacing w:after="40"/>
      </w:pPr>
    </w:p>
    <w:p>
      <w:pPr>
        <w:pStyle w:val="Heading2"/>
        <w:keepNext/>
      </w:pPr>
      <w:r>
        <w:t>Exponentes: historia, actualidad y uso correcto</w:t>
      </w:r>
    </w:p>
    <w:p>
      <w:pPr>
        <w:keepLines w:val="0"/>
        <w:spacing w:after="120" w:line="283" w:lineRule="auto"/>
      </w:pPr>
      <w:r>
        <w:rPr>
          <w:rFonts w:ascii="Calibri" w:hAnsi="Calibri"/>
          <w:b w:val="0"/>
          <w:i w:val="0"/>
          <w:color w:val="17212B"/>
          <w:sz w:val="21"/>
        </w:rPr>
        <w:t>Mike Mentzer representa HIT/Heavy Duty: poco volumen, esfuerzo muy alto y recuperación amplia. Arnold Schwarzenegger representa alto volumen, frecuencia y superseries antagonistas. Chris Bumstead es una referencia contemporánea de Classic Physique. Ninguno debe convertirse en un botón que copie su rutina.</w:t>
      </w:r>
    </w:p>
    <w:p>
      <w:pPr>
        <w:keepLines w:val="0"/>
        <w:spacing w:after="120" w:line="283" w:lineRule="auto"/>
      </w:pPr>
      <w:r>
        <w:rPr>
          <w:rFonts w:ascii="Calibri" w:hAnsi="Calibri"/>
          <w:b w:val="0"/>
          <w:i w:val="0"/>
          <w:color w:val="17212B"/>
          <w:sz w:val="21"/>
        </w:rPr>
        <w:t>Como referencias actuales, los resultados oficiales de Olympia 2025 incluyen a Derek Lunsford (Open), Ramon Rocha Queiroz (Classic), Keone Pearson (212), Ryan Terry (Men's Physique), James Berger (Wheelchair), Andrea Shaw (Women's Bodybuilding), Maureen Blanquisco (Bikini), Rhea Gayle (Figure), Natalia Abraham Coelho (Women's Physique), Eduarda Bezerra (Wellness) y Michelle Fredua-Mensah (Fitness). El Olympia 2026 todavía no se había realizado al cerrar este documento. [S11]</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E8EEF5"/>
          </w:tcPr>
          <w:p>
            <w:pPr>
              <w:spacing w:after="40"/>
            </w:pPr>
            <w:r>
              <w:rPr>
                <w:rFonts w:ascii="Calibri" w:hAnsi="Calibri"/>
                <w:b/>
                <w:i w:val="0"/>
                <w:color w:val="17324D"/>
                <w:sz w:val="22"/>
              </w:rPr>
              <w:t>Uso permitido de una escuela</w:t>
            </w:r>
          </w:p>
          <w:p>
            <w:pPr>
              <w:spacing w:after="0" w:line="276" w:lineRule="auto"/>
            </w:pPr>
            <w:r>
              <w:rPr>
                <w:rFonts w:ascii="Calibri" w:hAnsi="Calibri"/>
                <w:b w:val="0"/>
                <w:i w:val="0"/>
                <w:color w:val="17212B"/>
                <w:sz w:val="20"/>
              </w:rPr>
              <w:t>El entrenador puede elegir una influencia (HIT, volumen clásico, híbrido, RIR/autoregulado), pero el sistema traduce esa influencia a cambios acotados de volumen, esfuerzo, frecuencia y técnicas; luego vuelve a validar seguridad y recuperación.</w:t>
            </w:r>
          </w:p>
        </w:tc>
      </w:tr>
    </w:tbl>
    <w:p>
      <w:pPr>
        <w:spacing w:after="40"/>
      </w:pPr>
    </w:p>
    <w:p>
      <w:pPr>
        <w:pStyle w:val="Heading1"/>
        <w:keepNext/>
      </w:pPr>
      <w:r>
        <w:t>5. Cuestionario VIP 2.0</w:t>
      </w:r>
    </w:p>
    <w:p>
      <w:pPr>
        <w:keepLines w:val="0"/>
        <w:spacing w:after="120" w:line="283" w:lineRule="auto"/>
      </w:pPr>
      <w:r>
        <w:rPr>
          <w:rFonts w:ascii="Calibri" w:hAnsi="Calibri"/>
          <w:b w:val="0"/>
          <w:i w:val="0"/>
          <w:color w:val="17212B"/>
          <w:sz w:val="21"/>
        </w:rPr>
        <w:t>Las preguntas deben aparecer por etapas y solo abrir ramas cuando una respuesta lo exige. El entrenador verá por qué cada respuesta cambia la rutina.</w:t>
      </w:r>
    </w:p>
    <w:tbl>
      <w:tblPr>
        <w:tblStyle w:val="TableGrid"/>
        <w:tblW w:type="dxa" w:w="9360"/>
        <w:jc w:val="left"/>
        <w:tblLayout w:type="fixed"/>
        <w:tblLook w:firstColumn="1" w:firstRow="1" w:lastColumn="0" w:lastRow="0" w:noHBand="0" w:noVBand="1" w:val="04A0"/>
        <w:tblInd w:w="120" w:type="dxa"/>
      </w:tblPr>
      <w:tblGrid>
        <w:gridCol w:w="2500"/>
        <w:gridCol w:w="4300"/>
        <w:gridCol w:w="2560"/>
      </w:tblGrid>
      <w:tr>
        <w:trPr>
          <w:tblHeader w:val="true"/>
        </w:trPr>
        <w:tc>
          <w:tcPr>
            <w:tcW w:type="dxa" w:w="2500"/>
            <w:shd w:fill="E8EEF5"/>
            <w:tcMar>
              <w:top w:w="100" w:type="dxa"/>
              <w:start w:w="120" w:type="dxa"/>
              <w:bottom w:w="100" w:type="dxa"/>
              <w:end w:w="120" w:type="dxa"/>
            </w:tcMar>
            <w:vAlign w:val="center"/>
          </w:tcPr>
          <w:p>
            <w:pPr>
              <w:jc w:val="left"/>
            </w:pPr>
            <w:r>
              <w:rPr>
                <w:rFonts w:ascii="Calibri" w:hAnsi="Calibri"/>
                <w:b/>
                <w:i w:val="0"/>
                <w:color w:val="17324D"/>
                <w:sz w:val="19"/>
              </w:rPr>
              <w:t>Etapa</w:t>
            </w:r>
          </w:p>
        </w:tc>
        <w:tc>
          <w:tcPr>
            <w:tcW w:type="dxa" w:w="4300"/>
            <w:shd w:fill="E8EEF5"/>
            <w:tcMar>
              <w:top w:w="100" w:type="dxa"/>
              <w:start w:w="120" w:type="dxa"/>
              <w:bottom w:w="100" w:type="dxa"/>
              <w:end w:w="120" w:type="dxa"/>
            </w:tcMar>
            <w:vAlign w:val="center"/>
          </w:tcPr>
          <w:p>
            <w:pPr>
              <w:jc w:val="left"/>
            </w:pPr>
            <w:r>
              <w:rPr>
                <w:rFonts w:ascii="Calibri" w:hAnsi="Calibri"/>
                <w:b/>
                <w:i w:val="0"/>
                <w:color w:val="17324D"/>
                <w:sz w:val="19"/>
              </w:rPr>
              <w:t>Datos</w:t>
            </w:r>
          </w:p>
        </w:tc>
        <w:tc>
          <w:tcPr>
            <w:tcW w:type="dxa" w:w="2560"/>
            <w:shd w:fill="E8EEF5"/>
            <w:tcMar>
              <w:top w:w="100" w:type="dxa"/>
              <w:start w:w="120" w:type="dxa"/>
              <w:bottom w:w="100" w:type="dxa"/>
              <w:end w:w="120" w:type="dxa"/>
            </w:tcMar>
            <w:vAlign w:val="center"/>
          </w:tcPr>
          <w:p>
            <w:pPr>
              <w:jc w:val="left"/>
            </w:pPr>
            <w:r>
              <w:rPr>
                <w:rFonts w:ascii="Calibri" w:hAnsi="Calibri"/>
                <w:b/>
                <w:i w:val="0"/>
                <w:color w:val="17324D"/>
                <w:sz w:val="19"/>
              </w:rPr>
              <w:t>Decisión</w:t>
            </w:r>
          </w:p>
        </w:tc>
      </w:tr>
      <w:tr>
        <w:tc>
          <w:tcPr>
            <w:tcW w:type="dxa" w:w="2500"/>
            <w:tcMar>
              <w:top w:w="100" w:type="dxa"/>
              <w:start w:w="120" w:type="dxa"/>
              <w:bottom w:w="100" w:type="dxa"/>
              <w:end w:w="120" w:type="dxa"/>
            </w:tcMar>
            <w:vAlign w:val="center"/>
          </w:tcPr>
          <w:p>
            <w:pPr>
              <w:spacing w:after="0" w:line="259" w:lineRule="auto"/>
            </w:pPr>
            <w:r>
              <w:rPr>
                <w:rFonts w:ascii="Calibri" w:hAnsi="Calibri"/>
                <w:b w:val="0"/>
                <w:i w:val="0"/>
                <w:color w:val="17212B"/>
                <w:sz w:val="18"/>
              </w:rPr>
              <w:t>1. ¿A quién entrenamos?</w:t>
            </w:r>
          </w:p>
        </w:tc>
        <w:tc>
          <w:tcPr>
            <w:tcW w:type="dxa" w:w="4300"/>
            <w:tcMar>
              <w:top w:w="100" w:type="dxa"/>
              <w:start w:w="120" w:type="dxa"/>
              <w:bottom w:w="100" w:type="dxa"/>
              <w:end w:w="120" w:type="dxa"/>
            </w:tcMar>
            <w:vAlign w:val="center"/>
          </w:tcPr>
          <w:p>
            <w:pPr>
              <w:spacing w:after="0" w:line="259" w:lineRule="auto"/>
            </w:pPr>
            <w:r>
              <w:rPr>
                <w:rFonts w:ascii="Calibri" w:hAnsi="Calibri"/>
                <w:b w:val="0"/>
                <w:i w:val="0"/>
                <w:color w:val="17212B"/>
                <w:sz w:val="18"/>
              </w:rPr>
              <w:t>Edad/fecha; capacidad funcional; contexto especial; entrenamiento individual o grupal.</w:t>
            </w:r>
          </w:p>
        </w:tc>
        <w:tc>
          <w:tcPr>
            <w:tcW w:type="dxa" w:w="2560"/>
            <w:tcMar>
              <w:top w:w="100" w:type="dxa"/>
              <w:start w:w="120" w:type="dxa"/>
              <w:bottom w:w="100" w:type="dxa"/>
              <w:end w:w="120" w:type="dxa"/>
            </w:tcMar>
            <w:vAlign w:val="center"/>
          </w:tcPr>
          <w:p>
            <w:pPr>
              <w:spacing w:after="0" w:line="259" w:lineRule="auto"/>
            </w:pPr>
            <w:r>
              <w:rPr>
                <w:rFonts w:ascii="Calibri" w:hAnsi="Calibri"/>
                <w:b w:val="0"/>
                <w:i w:val="0"/>
                <w:color w:val="17212B"/>
                <w:sz w:val="18"/>
              </w:rPr>
              <w:t>Define rama y requisitos.</w:t>
            </w:r>
          </w:p>
        </w:tc>
      </w:tr>
      <w:tr>
        <w:tc>
          <w:tcPr>
            <w:tcW w:type="dxa" w:w="2500"/>
            <w:tcMar>
              <w:top w:w="100" w:type="dxa"/>
              <w:start w:w="120" w:type="dxa"/>
              <w:bottom w:w="100" w:type="dxa"/>
              <w:end w:w="120" w:type="dxa"/>
            </w:tcMar>
            <w:vAlign w:val="center"/>
          </w:tcPr>
          <w:p>
            <w:pPr>
              <w:spacing w:after="0" w:line="259" w:lineRule="auto"/>
            </w:pPr>
            <w:r>
              <w:rPr>
                <w:rFonts w:ascii="Calibri" w:hAnsi="Calibri"/>
                <w:b w:val="0"/>
                <w:i w:val="0"/>
                <w:color w:val="17212B"/>
                <w:sz w:val="18"/>
              </w:rPr>
              <w:t>2. ¿Hay algo que obligue a frenar o adaptar?</w:t>
            </w:r>
          </w:p>
        </w:tc>
        <w:tc>
          <w:tcPr>
            <w:tcW w:type="dxa" w:w="4300"/>
            <w:tcMar>
              <w:top w:w="100" w:type="dxa"/>
              <w:start w:w="120" w:type="dxa"/>
              <w:bottom w:w="100" w:type="dxa"/>
              <w:end w:w="120" w:type="dxa"/>
            </w:tcMar>
            <w:vAlign w:val="center"/>
          </w:tcPr>
          <w:p>
            <w:pPr>
              <w:spacing w:after="0" w:line="259" w:lineRule="auto"/>
            </w:pPr>
            <w:r>
              <w:rPr>
                <w:rFonts w:ascii="Calibri" w:hAnsi="Calibri"/>
                <w:b w:val="0"/>
                <w:i w:val="0"/>
                <w:color w:val="17212B"/>
                <w:sz w:val="18"/>
              </w:rPr>
              <w:t>Síntomas, dolor, diagnóstico, cirugía, medicación relevante, alta/autorización, caídas.</w:t>
            </w:r>
          </w:p>
        </w:tc>
        <w:tc>
          <w:tcPr>
            <w:tcW w:type="dxa" w:w="2560"/>
            <w:tcMar>
              <w:top w:w="100" w:type="dxa"/>
              <w:start w:w="120" w:type="dxa"/>
              <w:bottom w:w="100" w:type="dxa"/>
              <w:end w:w="120" w:type="dxa"/>
            </w:tcMar>
            <w:vAlign w:val="center"/>
          </w:tcPr>
          <w:p>
            <w:pPr>
              <w:spacing w:after="0" w:line="259" w:lineRule="auto"/>
            </w:pPr>
            <w:r>
              <w:rPr>
                <w:rFonts w:ascii="Calibri" w:hAnsi="Calibri"/>
                <w:b w:val="0"/>
                <w:i w:val="0"/>
                <w:color w:val="17212B"/>
                <w:sz w:val="18"/>
              </w:rPr>
              <w:t>Bloqueo, revisión o restricciones.</w:t>
            </w:r>
          </w:p>
        </w:tc>
      </w:tr>
      <w:tr>
        <w:tc>
          <w:tcPr>
            <w:tcW w:type="dxa" w:w="2500"/>
            <w:tcMar>
              <w:top w:w="100" w:type="dxa"/>
              <w:start w:w="120" w:type="dxa"/>
              <w:bottom w:w="100" w:type="dxa"/>
              <w:end w:w="120" w:type="dxa"/>
            </w:tcMar>
            <w:vAlign w:val="center"/>
          </w:tcPr>
          <w:p>
            <w:pPr>
              <w:spacing w:after="0" w:line="259" w:lineRule="auto"/>
            </w:pPr>
            <w:r>
              <w:rPr>
                <w:rFonts w:ascii="Calibri" w:hAnsi="Calibri"/>
                <w:b w:val="0"/>
                <w:i w:val="0"/>
                <w:color w:val="17212B"/>
                <w:sz w:val="18"/>
              </w:rPr>
              <w:t>3. ¿Para qué entrenamos?</w:t>
            </w:r>
          </w:p>
        </w:tc>
        <w:tc>
          <w:tcPr>
            <w:tcW w:type="dxa" w:w="4300"/>
            <w:tcMar>
              <w:top w:w="100" w:type="dxa"/>
              <w:start w:w="120" w:type="dxa"/>
              <w:bottom w:w="100" w:type="dxa"/>
              <w:end w:w="120" w:type="dxa"/>
            </w:tcMar>
            <w:vAlign w:val="center"/>
          </w:tcPr>
          <w:p>
            <w:pPr>
              <w:spacing w:after="0" w:line="259" w:lineRule="auto"/>
            </w:pPr>
            <w:r>
              <w:rPr>
                <w:rFonts w:ascii="Calibri" w:hAnsi="Calibri"/>
                <w:b w:val="0"/>
                <w:i w:val="0"/>
                <w:color w:val="17212B"/>
                <w:sz w:val="18"/>
              </w:rPr>
              <w:t>Objetivo primario medible, secundario y plazo; qué no se quiere sacrificar.</w:t>
            </w:r>
          </w:p>
        </w:tc>
        <w:tc>
          <w:tcPr>
            <w:tcW w:type="dxa" w:w="2560"/>
            <w:tcMar>
              <w:top w:w="100" w:type="dxa"/>
              <w:start w:w="120" w:type="dxa"/>
              <w:bottom w:w="100" w:type="dxa"/>
              <w:end w:w="120" w:type="dxa"/>
            </w:tcMar>
            <w:vAlign w:val="center"/>
          </w:tcPr>
          <w:p>
            <w:pPr>
              <w:spacing w:after="0" w:line="259" w:lineRule="auto"/>
            </w:pPr>
            <w:r>
              <w:rPr>
                <w:rFonts w:ascii="Calibri" w:hAnsi="Calibri"/>
                <w:b w:val="0"/>
                <w:i w:val="0"/>
                <w:color w:val="17212B"/>
                <w:sz w:val="18"/>
              </w:rPr>
              <w:t>Jerarquía de adaptaciones.</w:t>
            </w:r>
          </w:p>
        </w:tc>
      </w:tr>
      <w:tr>
        <w:tc>
          <w:tcPr>
            <w:tcW w:type="dxa" w:w="2500"/>
            <w:tcMar>
              <w:top w:w="100" w:type="dxa"/>
              <w:start w:w="120" w:type="dxa"/>
              <w:bottom w:w="100" w:type="dxa"/>
              <w:end w:w="120" w:type="dxa"/>
            </w:tcMar>
            <w:vAlign w:val="center"/>
          </w:tcPr>
          <w:p>
            <w:pPr>
              <w:spacing w:after="0" w:line="259" w:lineRule="auto"/>
            </w:pPr>
            <w:r>
              <w:rPr>
                <w:rFonts w:ascii="Calibri" w:hAnsi="Calibri"/>
                <w:b w:val="0"/>
                <w:i w:val="0"/>
                <w:color w:val="17212B"/>
                <w:sz w:val="18"/>
              </w:rPr>
              <w:t>4. ¿Compite?</w:t>
            </w:r>
          </w:p>
        </w:tc>
        <w:tc>
          <w:tcPr>
            <w:tcW w:type="dxa" w:w="4300"/>
            <w:tcMar>
              <w:top w:w="100" w:type="dxa"/>
              <w:start w:w="120" w:type="dxa"/>
              <w:bottom w:w="100" w:type="dxa"/>
              <w:end w:w="120" w:type="dxa"/>
            </w:tcMar>
            <w:vAlign w:val="center"/>
          </w:tcPr>
          <w:p>
            <w:pPr>
              <w:spacing w:after="0" w:line="259" w:lineRule="auto"/>
            </w:pPr>
            <w:r>
              <w:rPr>
                <w:rFonts w:ascii="Calibri" w:hAnsi="Calibri"/>
                <w:b w:val="0"/>
                <w:i w:val="0"/>
                <w:color w:val="17212B"/>
                <w:sz w:val="18"/>
              </w:rPr>
              <w:t>División, nivel, fecha, fase, puntos débiles, calendario y equipo profesional.</w:t>
            </w:r>
          </w:p>
        </w:tc>
        <w:tc>
          <w:tcPr>
            <w:tcW w:type="dxa" w:w="2560"/>
            <w:tcMar>
              <w:top w:w="100" w:type="dxa"/>
              <w:start w:w="120" w:type="dxa"/>
              <w:bottom w:w="100" w:type="dxa"/>
              <w:end w:w="120" w:type="dxa"/>
            </w:tcMar>
            <w:vAlign w:val="center"/>
          </w:tcPr>
          <w:p>
            <w:pPr>
              <w:spacing w:after="0" w:line="259" w:lineRule="auto"/>
            </w:pPr>
            <w:r>
              <w:rPr>
                <w:rFonts w:ascii="Calibri" w:hAnsi="Calibri"/>
                <w:b w:val="0"/>
                <w:i w:val="0"/>
                <w:color w:val="17212B"/>
                <w:sz w:val="18"/>
              </w:rPr>
              <w:t>Prioridades y periodización.</w:t>
            </w:r>
          </w:p>
        </w:tc>
      </w:tr>
      <w:tr>
        <w:tc>
          <w:tcPr>
            <w:tcW w:type="dxa" w:w="2500"/>
            <w:tcMar>
              <w:top w:w="100" w:type="dxa"/>
              <w:start w:w="120" w:type="dxa"/>
              <w:bottom w:w="100" w:type="dxa"/>
              <w:end w:w="120" w:type="dxa"/>
            </w:tcMar>
            <w:vAlign w:val="center"/>
          </w:tcPr>
          <w:p>
            <w:pPr>
              <w:spacing w:after="0" w:line="259" w:lineRule="auto"/>
            </w:pPr>
            <w:r>
              <w:rPr>
                <w:rFonts w:ascii="Calibri" w:hAnsi="Calibri"/>
                <w:b w:val="0"/>
                <w:i w:val="0"/>
                <w:color w:val="17212B"/>
                <w:sz w:val="18"/>
              </w:rPr>
              <w:t>5. ¿Qué puede hacer hoy?</w:t>
            </w:r>
          </w:p>
        </w:tc>
        <w:tc>
          <w:tcPr>
            <w:tcW w:type="dxa" w:w="4300"/>
            <w:tcMar>
              <w:top w:w="100" w:type="dxa"/>
              <w:start w:w="120" w:type="dxa"/>
              <w:bottom w:w="100" w:type="dxa"/>
              <w:end w:w="120" w:type="dxa"/>
            </w:tcMar>
            <w:vAlign w:val="center"/>
          </w:tcPr>
          <w:p>
            <w:pPr>
              <w:spacing w:after="0" w:line="259" w:lineRule="auto"/>
            </w:pPr>
            <w:r>
              <w:rPr>
                <w:rFonts w:ascii="Calibri" w:hAnsi="Calibri"/>
                <w:b w:val="0"/>
                <w:i w:val="0"/>
                <w:color w:val="17212B"/>
                <w:sz w:val="18"/>
              </w:rPr>
              <w:t>Dominio por patrón, rango tolerado, estabilidad, ayudas, preferencias y ejercicios problemáticos.</w:t>
            </w:r>
          </w:p>
        </w:tc>
        <w:tc>
          <w:tcPr>
            <w:tcW w:type="dxa" w:w="2560"/>
            <w:tcMar>
              <w:top w:w="100" w:type="dxa"/>
              <w:start w:w="120" w:type="dxa"/>
              <w:bottom w:w="100" w:type="dxa"/>
              <w:end w:w="120" w:type="dxa"/>
            </w:tcMar>
            <w:vAlign w:val="center"/>
          </w:tcPr>
          <w:p>
            <w:pPr>
              <w:spacing w:after="0" w:line="259" w:lineRule="auto"/>
            </w:pPr>
            <w:r>
              <w:rPr>
                <w:rFonts w:ascii="Calibri" w:hAnsi="Calibri"/>
                <w:b w:val="0"/>
                <w:i w:val="0"/>
                <w:color w:val="17212B"/>
                <w:sz w:val="18"/>
              </w:rPr>
              <w:t>Filtro y selección.</w:t>
            </w:r>
          </w:p>
        </w:tc>
      </w:tr>
      <w:tr>
        <w:tc>
          <w:tcPr>
            <w:tcW w:type="dxa" w:w="2500"/>
            <w:tcMar>
              <w:top w:w="100" w:type="dxa"/>
              <w:start w:w="120" w:type="dxa"/>
              <w:bottom w:w="100" w:type="dxa"/>
              <w:end w:w="120" w:type="dxa"/>
            </w:tcMar>
            <w:vAlign w:val="center"/>
          </w:tcPr>
          <w:p>
            <w:pPr>
              <w:spacing w:after="0" w:line="259" w:lineRule="auto"/>
            </w:pPr>
            <w:r>
              <w:rPr>
                <w:rFonts w:ascii="Calibri" w:hAnsi="Calibri"/>
                <w:b w:val="0"/>
                <w:i w:val="0"/>
                <w:color w:val="17212B"/>
                <w:sz w:val="18"/>
              </w:rPr>
              <w:t>6. ¿Qué venía haciendo?</w:t>
            </w:r>
          </w:p>
        </w:tc>
        <w:tc>
          <w:tcPr>
            <w:tcW w:type="dxa" w:w="4300"/>
            <w:tcMar>
              <w:top w:w="100" w:type="dxa"/>
              <w:start w:w="120" w:type="dxa"/>
              <w:bottom w:w="100" w:type="dxa"/>
              <w:end w:w="120" w:type="dxa"/>
            </w:tcMar>
            <w:vAlign w:val="center"/>
          </w:tcPr>
          <w:p>
            <w:pPr>
              <w:spacing w:after="0" w:line="259" w:lineRule="auto"/>
            </w:pPr>
            <w:r>
              <w:rPr>
                <w:rFonts w:ascii="Calibri" w:hAnsi="Calibri"/>
                <w:b w:val="0"/>
                <w:i w:val="0"/>
                <w:color w:val="17212B"/>
                <w:sz w:val="18"/>
              </w:rPr>
              <w:t>Últimas 4-6 semanas: días, series directas por músculo, ejercicios, cargas/reps/RIR y adherencia.</w:t>
            </w:r>
          </w:p>
        </w:tc>
        <w:tc>
          <w:tcPr>
            <w:tcW w:type="dxa" w:w="2560"/>
            <w:tcMar>
              <w:top w:w="100" w:type="dxa"/>
              <w:start w:w="120" w:type="dxa"/>
              <w:bottom w:w="100" w:type="dxa"/>
              <w:end w:w="120" w:type="dxa"/>
            </w:tcMar>
            <w:vAlign w:val="center"/>
          </w:tcPr>
          <w:p>
            <w:pPr>
              <w:spacing w:after="0" w:line="259" w:lineRule="auto"/>
            </w:pPr>
            <w:r>
              <w:rPr>
                <w:rFonts w:ascii="Calibri" w:hAnsi="Calibri"/>
                <w:b w:val="0"/>
                <w:i w:val="0"/>
                <w:color w:val="17212B"/>
                <w:sz w:val="18"/>
              </w:rPr>
              <w:t>Dosis inicial y continuidad.</w:t>
            </w:r>
          </w:p>
        </w:tc>
      </w:tr>
      <w:tr>
        <w:tc>
          <w:tcPr>
            <w:tcW w:type="dxa" w:w="2500"/>
            <w:tcMar>
              <w:top w:w="100" w:type="dxa"/>
              <w:start w:w="120" w:type="dxa"/>
              <w:bottom w:w="100" w:type="dxa"/>
              <w:end w:w="120" w:type="dxa"/>
            </w:tcMar>
            <w:vAlign w:val="center"/>
          </w:tcPr>
          <w:p>
            <w:pPr>
              <w:spacing w:after="0" w:line="259" w:lineRule="auto"/>
            </w:pPr>
            <w:r>
              <w:rPr>
                <w:rFonts w:ascii="Calibri" w:hAnsi="Calibri"/>
                <w:b w:val="0"/>
                <w:i w:val="0"/>
                <w:color w:val="17212B"/>
                <w:sz w:val="18"/>
              </w:rPr>
              <w:t>7. ¿Cómo está recuperando?</w:t>
            </w:r>
          </w:p>
        </w:tc>
        <w:tc>
          <w:tcPr>
            <w:tcW w:type="dxa" w:w="4300"/>
            <w:tcMar>
              <w:top w:w="100" w:type="dxa"/>
              <w:start w:w="120" w:type="dxa"/>
              <w:bottom w:w="100" w:type="dxa"/>
              <w:end w:w="120" w:type="dxa"/>
            </w:tcMar>
            <w:vAlign w:val="center"/>
          </w:tcPr>
          <w:p>
            <w:pPr>
              <w:spacing w:after="0" w:line="259" w:lineRule="auto"/>
            </w:pPr>
            <w:r>
              <w:rPr>
                <w:rFonts w:ascii="Calibri" w:hAnsi="Calibri"/>
                <w:b w:val="0"/>
                <w:i w:val="0"/>
                <w:color w:val="17212B"/>
                <w:sz w:val="18"/>
              </w:rPr>
              <w:t>Sueño, estrés, energía, apetito, DOMS, rendimiento, pasos/cardio/deporte y horario.</w:t>
            </w:r>
          </w:p>
        </w:tc>
        <w:tc>
          <w:tcPr>
            <w:tcW w:type="dxa" w:w="2560"/>
            <w:tcMar>
              <w:top w:w="100" w:type="dxa"/>
              <w:start w:w="120" w:type="dxa"/>
              <w:bottom w:w="100" w:type="dxa"/>
              <w:end w:w="120" w:type="dxa"/>
            </w:tcMar>
            <w:vAlign w:val="center"/>
          </w:tcPr>
          <w:p>
            <w:pPr>
              <w:spacing w:after="0" w:line="259" w:lineRule="auto"/>
            </w:pPr>
            <w:r>
              <w:rPr>
                <w:rFonts w:ascii="Calibri" w:hAnsi="Calibri"/>
                <w:b w:val="0"/>
                <w:i w:val="0"/>
                <w:color w:val="17212B"/>
                <w:sz w:val="18"/>
              </w:rPr>
              <w:t>Modificador de volumen/esfuerzo.</w:t>
            </w:r>
          </w:p>
        </w:tc>
      </w:tr>
      <w:tr>
        <w:tc>
          <w:tcPr>
            <w:tcW w:type="dxa" w:w="2500"/>
            <w:tcMar>
              <w:top w:w="100" w:type="dxa"/>
              <w:start w:w="120" w:type="dxa"/>
              <w:bottom w:w="100" w:type="dxa"/>
              <w:end w:w="120" w:type="dxa"/>
            </w:tcMar>
            <w:vAlign w:val="center"/>
          </w:tcPr>
          <w:p>
            <w:pPr>
              <w:spacing w:after="0" w:line="259" w:lineRule="auto"/>
            </w:pPr>
            <w:r>
              <w:rPr>
                <w:rFonts w:ascii="Calibri" w:hAnsi="Calibri"/>
                <w:b w:val="0"/>
                <w:i w:val="0"/>
                <w:color w:val="17212B"/>
                <w:sz w:val="18"/>
              </w:rPr>
              <w:t>8. ¿Con qué recursos contamos?</w:t>
            </w:r>
          </w:p>
        </w:tc>
        <w:tc>
          <w:tcPr>
            <w:tcW w:type="dxa" w:w="4300"/>
            <w:tcMar>
              <w:top w:w="100" w:type="dxa"/>
              <w:start w:w="120" w:type="dxa"/>
              <w:bottom w:w="100" w:type="dxa"/>
              <w:end w:w="120" w:type="dxa"/>
            </w:tcMar>
            <w:vAlign w:val="center"/>
          </w:tcPr>
          <w:p>
            <w:pPr>
              <w:spacing w:after="0" w:line="259" w:lineRule="auto"/>
            </w:pPr>
            <w:r>
              <w:rPr>
                <w:rFonts w:ascii="Calibri" w:hAnsi="Calibri"/>
                <w:b w:val="0"/>
                <w:i w:val="0"/>
                <w:color w:val="17212B"/>
                <w:sz w:val="18"/>
              </w:rPr>
              <w:t>Días reales, minutos, equipo, supervisión, estaciones, compañero y accesibilidad.</w:t>
            </w:r>
          </w:p>
        </w:tc>
        <w:tc>
          <w:tcPr>
            <w:tcW w:type="dxa" w:w="2560"/>
            <w:tcMar>
              <w:top w:w="100" w:type="dxa"/>
              <w:start w:w="120" w:type="dxa"/>
              <w:bottom w:w="100" w:type="dxa"/>
              <w:end w:w="120" w:type="dxa"/>
            </w:tcMar>
            <w:vAlign w:val="center"/>
          </w:tcPr>
          <w:p>
            <w:pPr>
              <w:spacing w:after="0" w:line="259" w:lineRule="auto"/>
            </w:pPr>
            <w:r>
              <w:rPr>
                <w:rFonts w:ascii="Calibri" w:hAnsi="Calibri"/>
                <w:b w:val="0"/>
                <w:i w:val="0"/>
                <w:color w:val="17212B"/>
                <w:sz w:val="18"/>
              </w:rPr>
              <w:t>Arquitectura semanal.</w:t>
            </w:r>
          </w:p>
        </w:tc>
      </w:tr>
      <w:tr>
        <w:tc>
          <w:tcPr>
            <w:tcW w:type="dxa" w:w="2500"/>
            <w:tcMar>
              <w:top w:w="100" w:type="dxa"/>
              <w:start w:w="120" w:type="dxa"/>
              <w:bottom w:w="100" w:type="dxa"/>
              <w:end w:w="120" w:type="dxa"/>
            </w:tcMar>
            <w:vAlign w:val="center"/>
          </w:tcPr>
          <w:p>
            <w:pPr>
              <w:spacing w:after="0" w:line="259" w:lineRule="auto"/>
            </w:pPr>
            <w:r>
              <w:rPr>
                <w:rFonts w:ascii="Calibri" w:hAnsi="Calibri"/>
                <w:b w:val="0"/>
                <w:i w:val="0"/>
                <w:color w:val="17212B"/>
                <w:sz w:val="18"/>
              </w:rPr>
              <w:t>9. ¿Qué prefiere?</w:t>
            </w:r>
          </w:p>
        </w:tc>
        <w:tc>
          <w:tcPr>
            <w:tcW w:type="dxa" w:w="4300"/>
            <w:tcMar>
              <w:top w:w="100" w:type="dxa"/>
              <w:start w:w="120" w:type="dxa"/>
              <w:bottom w:w="100" w:type="dxa"/>
              <w:end w:w="120" w:type="dxa"/>
            </w:tcMar>
            <w:vAlign w:val="center"/>
          </w:tcPr>
          <w:p>
            <w:pPr>
              <w:spacing w:after="0" w:line="259" w:lineRule="auto"/>
            </w:pPr>
            <w:r>
              <w:rPr>
                <w:rFonts w:ascii="Calibri" w:hAnsi="Calibri"/>
                <w:b w:val="0"/>
                <w:i w:val="0"/>
                <w:color w:val="17212B"/>
                <w:sz w:val="18"/>
              </w:rPr>
              <w:t>Ejercicios disfrutados/no deseados, split preferido, tolerancia a sesiones largas.</w:t>
            </w:r>
          </w:p>
        </w:tc>
        <w:tc>
          <w:tcPr>
            <w:tcW w:type="dxa" w:w="2560"/>
            <w:tcMar>
              <w:top w:w="100" w:type="dxa"/>
              <w:start w:w="120" w:type="dxa"/>
              <w:bottom w:w="100" w:type="dxa"/>
              <w:end w:w="120" w:type="dxa"/>
            </w:tcMar>
            <w:vAlign w:val="center"/>
          </w:tcPr>
          <w:p>
            <w:pPr>
              <w:spacing w:after="0" w:line="259" w:lineRule="auto"/>
            </w:pPr>
            <w:r>
              <w:rPr>
                <w:rFonts w:ascii="Calibri" w:hAnsi="Calibri"/>
                <w:b w:val="0"/>
                <w:i w:val="0"/>
                <w:color w:val="17212B"/>
                <w:sz w:val="18"/>
              </w:rPr>
              <w:t>Adherencia y alternativas.</w:t>
            </w:r>
          </w:p>
        </w:tc>
      </w:tr>
      <w:tr>
        <w:tc>
          <w:tcPr>
            <w:tcW w:type="dxa" w:w="2500"/>
            <w:tcMar>
              <w:top w:w="100" w:type="dxa"/>
              <w:start w:w="120" w:type="dxa"/>
              <w:bottom w:w="100" w:type="dxa"/>
              <w:end w:w="120" w:type="dxa"/>
            </w:tcMar>
            <w:vAlign w:val="center"/>
          </w:tcPr>
          <w:p>
            <w:pPr>
              <w:spacing w:after="0" w:line="259" w:lineRule="auto"/>
            </w:pPr>
            <w:r>
              <w:rPr>
                <w:rFonts w:ascii="Calibri" w:hAnsi="Calibri"/>
                <w:b w:val="0"/>
                <w:i w:val="0"/>
                <w:color w:val="17212B"/>
                <w:sz w:val="18"/>
              </w:rPr>
              <w:t>10. ¿Cómo sabremos si funciona?</w:t>
            </w:r>
          </w:p>
        </w:tc>
        <w:tc>
          <w:tcPr>
            <w:tcW w:type="dxa" w:w="4300"/>
            <w:tcMar>
              <w:top w:w="100" w:type="dxa"/>
              <w:start w:w="120" w:type="dxa"/>
              <w:bottom w:w="100" w:type="dxa"/>
              <w:end w:w="120" w:type="dxa"/>
            </w:tcMar>
            <w:vAlign w:val="center"/>
          </w:tcPr>
          <w:p>
            <w:pPr>
              <w:spacing w:after="0" w:line="259" w:lineRule="auto"/>
            </w:pPr>
            <w:r>
              <w:rPr>
                <w:rFonts w:ascii="Calibri" w:hAnsi="Calibri"/>
                <w:b w:val="0"/>
                <w:i w:val="0"/>
                <w:color w:val="17212B"/>
                <w:sz w:val="18"/>
              </w:rPr>
              <w:t>Métricas y revisión: carga, reps, RIR, perímetros, desempeño, dolor, fatiga y asistencia.</w:t>
            </w:r>
          </w:p>
        </w:tc>
        <w:tc>
          <w:tcPr>
            <w:tcW w:type="dxa" w:w="2560"/>
            <w:tcMar>
              <w:top w:w="100" w:type="dxa"/>
              <w:start w:w="120" w:type="dxa"/>
              <w:bottom w:w="100" w:type="dxa"/>
              <w:end w:w="120" w:type="dxa"/>
            </w:tcMar>
            <w:vAlign w:val="center"/>
          </w:tcPr>
          <w:p>
            <w:pPr>
              <w:spacing w:after="0" w:line="259" w:lineRule="auto"/>
            </w:pPr>
            <w:r>
              <w:rPr>
                <w:rFonts w:ascii="Calibri" w:hAnsi="Calibri"/>
                <w:b w:val="0"/>
                <w:i w:val="0"/>
                <w:color w:val="17212B"/>
                <w:sz w:val="18"/>
              </w:rPr>
              <w:t>Reglas de ajuste.</w:t>
            </w:r>
          </w:p>
        </w:tc>
      </w:tr>
    </w:tbl>
    <w:p>
      <w:pPr>
        <w:spacing w:after="40"/>
      </w:pPr>
    </w:p>
    <w:p>
      <w:pPr>
        <w:pStyle w:val="Heading2"/>
        <w:keepNext/>
      </w:pPr>
      <w:r>
        <w:t>Preguntas condicionales</w:t>
      </w:r>
    </w:p>
    <w:p>
      <w:pPr>
        <w:pStyle w:val="ListBullet"/>
        <w:spacing w:after="80" w:line="283" w:lineRule="auto"/>
      </w:pPr>
      <w:r>
        <w:rPr>
          <w:rFonts w:ascii="Calibri" w:hAnsi="Calibri"/>
          <w:b w:val="0"/>
          <w:i w:val="0"/>
          <w:color w:val="17212B"/>
          <w:sz w:val="21"/>
        </w:rPr>
        <w:t>Joven: supervisión, deporte escolar, maduración, horario, sueño y consentimiento/política.</w:t>
      </w:r>
    </w:p>
    <w:p>
      <w:pPr>
        <w:pStyle w:val="ListBullet"/>
        <w:spacing w:after="80" w:line="283" w:lineRule="auto"/>
      </w:pPr>
      <w:r>
        <w:rPr>
          <w:rFonts w:ascii="Calibri" w:hAnsi="Calibri"/>
          <w:b w:val="0"/>
          <w:i w:val="0"/>
          <w:color w:val="17212B"/>
          <w:sz w:val="21"/>
        </w:rPr>
        <w:t>Mayor: caídas, equilibrio, actividades diarias, fragilidad, presión/condiciones y apoyos.</w:t>
      </w:r>
    </w:p>
    <w:p>
      <w:pPr>
        <w:pStyle w:val="ListBullet"/>
        <w:spacing w:after="80" w:line="283" w:lineRule="auto"/>
      </w:pPr>
      <w:r>
        <w:rPr>
          <w:rFonts w:ascii="Calibri" w:hAnsi="Calibri"/>
          <w:b w:val="0"/>
          <w:i w:val="0"/>
          <w:color w:val="17212B"/>
          <w:sz w:val="21"/>
        </w:rPr>
        <w:t>Discapacidad: función concreta, transferencia, tronco, agarre, rango, sensibilidad, fatiga, comunicación y equipo adaptado.</w:t>
      </w:r>
    </w:p>
    <w:p>
      <w:pPr>
        <w:pStyle w:val="ListBullet"/>
        <w:spacing w:after="80" w:line="283" w:lineRule="auto"/>
      </w:pPr>
      <w:r>
        <w:rPr>
          <w:rFonts w:ascii="Calibri" w:hAnsi="Calibri"/>
          <w:b w:val="0"/>
          <w:i w:val="0"/>
          <w:color w:val="17212B"/>
          <w:sz w:val="21"/>
        </w:rPr>
        <w:t>Competidor: división, fecha, fase, criterios del evento, puntos débiles, volumen reciente, posing y equipo de apoyo.</w:t>
      </w:r>
    </w:p>
    <w:p>
      <w:pPr>
        <w:pStyle w:val="ListBullet"/>
        <w:spacing w:after="80" w:line="283" w:lineRule="auto"/>
      </w:pPr>
      <w:r>
        <w:rPr>
          <w:rFonts w:ascii="Calibri" w:hAnsi="Calibri"/>
          <w:b w:val="0"/>
          <w:i w:val="0"/>
          <w:color w:val="17212B"/>
          <w:sz w:val="21"/>
        </w:rPr>
        <w:t>Retorno: tiempo sin entrenar, causa, alta, restricciones y última carga tolerada.</w:t>
      </w:r>
    </w:p>
    <w:p>
      <w:pPr>
        <w:pStyle w:val="Heading2"/>
        <w:keepNext/>
      </w:pPr>
      <w:r>
        <w:t>Datos que no deben mandar automáticamente</w:t>
      </w:r>
    </w:p>
    <w:p>
      <w:pPr>
        <w:pStyle w:val="ListBullet"/>
        <w:spacing w:after="80" w:line="283" w:lineRule="auto"/>
      </w:pPr>
      <w:r>
        <w:rPr>
          <w:rFonts w:ascii="Calibri" w:hAnsi="Calibri"/>
          <w:b w:val="0"/>
          <w:i w:val="0"/>
          <w:color w:val="17212B"/>
          <w:sz w:val="21"/>
        </w:rPr>
        <w:t>Sexo: no determina objetivo ni split.</w:t>
      </w:r>
    </w:p>
    <w:p>
      <w:pPr>
        <w:pStyle w:val="ListBullet"/>
        <w:spacing w:after="80" w:line="283" w:lineRule="auto"/>
      </w:pPr>
      <w:r>
        <w:rPr>
          <w:rFonts w:ascii="Calibri" w:hAnsi="Calibri"/>
          <w:b w:val="0"/>
          <w:i w:val="0"/>
          <w:color w:val="17212B"/>
          <w:sz w:val="21"/>
        </w:rPr>
        <w:t>Edad aislada: no reduce series automáticamente sin señales funcionales o de recuperación.</w:t>
      </w:r>
    </w:p>
    <w:p>
      <w:pPr>
        <w:pStyle w:val="ListBullet"/>
        <w:spacing w:after="80" w:line="283" w:lineRule="auto"/>
      </w:pPr>
      <w:r>
        <w:rPr>
          <w:rFonts w:ascii="Calibri" w:hAnsi="Calibri"/>
          <w:b w:val="0"/>
          <w:i w:val="0"/>
          <w:color w:val="17212B"/>
          <w:sz w:val="21"/>
        </w:rPr>
        <w:t>Uso declarado de ayudas ergogénicas: no autoriza más volumen, fallo o técnicas; es información sensible y no sustituye monitorización médica.</w:t>
      </w:r>
    </w:p>
    <w:p>
      <w:pPr>
        <w:pStyle w:val="ListBullet"/>
        <w:spacing w:after="80" w:line="283" w:lineRule="auto"/>
      </w:pPr>
      <w:r>
        <w:rPr>
          <w:rFonts w:ascii="Calibri" w:hAnsi="Calibri"/>
          <w:b w:val="0"/>
          <w:i w:val="0"/>
          <w:color w:val="17212B"/>
          <w:sz w:val="21"/>
        </w:rPr>
        <w:t>Nombre de un atleta: no prescribe volumen ni ejercicios.</w:t>
      </w:r>
    </w:p>
    <w:p>
      <w:pPr>
        <w:pStyle w:val="ListBullet"/>
        <w:spacing w:after="80" w:line="283" w:lineRule="auto"/>
      </w:pPr>
      <w:r>
        <w:rPr>
          <w:rFonts w:ascii="Calibri" w:hAnsi="Calibri"/>
          <w:b w:val="0"/>
          <w:i w:val="0"/>
          <w:color w:val="17212B"/>
          <w:sz w:val="21"/>
        </w:rPr>
        <w:t>Tiempo entrenando: no reemplaza evaluación de competencia técnica y carga reciente.</w:t>
      </w:r>
    </w:p>
    <w:p>
      <w:pPr>
        <w:pStyle w:val="Heading1"/>
        <w:keepNext/>
      </w:pPr>
      <w:r>
        <w:t>6. Arquitectura del Motor VIP 2.0</w:t>
      </w:r>
    </w:p>
    <w:p>
      <w:pPr>
        <w:pStyle w:val="ListNumber"/>
        <w:spacing w:after="100" w:line="283" w:lineRule="auto"/>
      </w:pPr>
      <w:r>
        <w:rPr>
          <w:rFonts w:ascii="Calibri" w:hAnsi="Calibri"/>
          <w:b w:val="0"/>
          <w:i w:val="0"/>
          <w:color w:val="17212B"/>
          <w:sz w:val="21"/>
        </w:rPr>
        <w:t>Puerta de seguridad: devuelve habilitado, revisión obligatoria o bloqueado, con motivo.</w:t>
      </w:r>
    </w:p>
    <w:p>
      <w:pPr>
        <w:pStyle w:val="ListNumber"/>
        <w:spacing w:after="100" w:line="283" w:lineRule="auto"/>
      </w:pPr>
      <w:r>
        <w:rPr>
          <w:rFonts w:ascii="Calibri" w:hAnsi="Calibri"/>
          <w:b w:val="0"/>
          <w:i w:val="0"/>
          <w:color w:val="17212B"/>
          <w:sz w:val="21"/>
        </w:rPr>
        <w:t>Clasificador multidimensional: población + función + experiencia + objetivo + contexto competitivo.</w:t>
      </w:r>
    </w:p>
    <w:p>
      <w:pPr>
        <w:pStyle w:val="ListNumber"/>
        <w:spacing w:after="100" w:line="283" w:lineRule="auto"/>
      </w:pPr>
      <w:r>
        <w:rPr>
          <w:rFonts w:ascii="Calibri" w:hAnsi="Calibri"/>
          <w:b w:val="0"/>
          <w:i w:val="0"/>
          <w:color w:val="17212B"/>
          <w:sz w:val="21"/>
        </w:rPr>
        <w:t>Calculador de dosis inicial: parte del volumen reciente y usa referencias científicas como rango, nunca como sentencia.</w:t>
      </w:r>
    </w:p>
    <w:p>
      <w:pPr>
        <w:pStyle w:val="ListNumber"/>
        <w:spacing w:after="100" w:line="283" w:lineRule="auto"/>
      </w:pPr>
      <w:r>
        <w:rPr>
          <w:rFonts w:ascii="Calibri" w:hAnsi="Calibri"/>
          <w:b w:val="0"/>
          <w:i w:val="0"/>
          <w:color w:val="17212B"/>
          <w:sz w:val="21"/>
        </w:rPr>
        <w:t>Constructor semanal: distribuye la dosis entre días y limita la concentración por músculo/sesión.</w:t>
      </w:r>
    </w:p>
    <w:p>
      <w:pPr>
        <w:pStyle w:val="ListNumber"/>
        <w:spacing w:after="100" w:line="283" w:lineRule="auto"/>
      </w:pPr>
      <w:r>
        <w:rPr>
          <w:rFonts w:ascii="Calibri" w:hAnsi="Calibri"/>
          <w:b w:val="0"/>
          <w:i w:val="0"/>
          <w:color w:val="17212B"/>
          <w:sz w:val="21"/>
        </w:rPr>
        <w:t>Selector por slots: patrón principal, complemento, aislamiento y remate; filtra por restricciones y biblioteca real.</w:t>
      </w:r>
    </w:p>
    <w:p>
      <w:pPr>
        <w:pStyle w:val="ListNumber"/>
        <w:spacing w:after="100" w:line="283" w:lineRule="auto"/>
      </w:pPr>
      <w:r>
        <w:rPr>
          <w:rFonts w:ascii="Calibri" w:hAnsi="Calibri"/>
          <w:b w:val="0"/>
          <w:i w:val="0"/>
          <w:color w:val="17212B"/>
          <w:sz w:val="21"/>
        </w:rPr>
        <w:t>Prescriptor: series, rango de reps/carga, RIR, descanso, tempo solo cuando aporta, calentamiento y técnica.</w:t>
      </w:r>
    </w:p>
    <w:p>
      <w:pPr>
        <w:pStyle w:val="ListNumber"/>
        <w:spacing w:after="100" w:line="283" w:lineRule="auto"/>
      </w:pPr>
      <w:r>
        <w:rPr>
          <w:rFonts w:ascii="Calibri" w:hAnsi="Calibri"/>
          <w:b w:val="0"/>
          <w:i w:val="0"/>
          <w:color w:val="17212B"/>
          <w:sz w:val="21"/>
        </w:rPr>
        <w:t>Presupuesto de fatiga: puntúa ejercicios complejos, fallo, técnicas, frecuencia y actividad concurrente.</w:t>
      </w:r>
    </w:p>
    <w:p>
      <w:pPr>
        <w:pStyle w:val="ListNumber"/>
        <w:spacing w:after="100" w:line="283" w:lineRule="auto"/>
      </w:pPr>
      <w:r>
        <w:rPr>
          <w:rFonts w:ascii="Calibri" w:hAnsi="Calibri"/>
          <w:b w:val="0"/>
          <w:i w:val="0"/>
          <w:color w:val="17212B"/>
          <w:sz w:val="21"/>
        </w:rPr>
        <w:t>Validador: cobertura, volumen, recuperación, tiempo, duplicados, conflictos, categoría y fase.</w:t>
      </w:r>
    </w:p>
    <w:p>
      <w:pPr>
        <w:pStyle w:val="ListNumber"/>
        <w:spacing w:after="100" w:line="283" w:lineRule="auto"/>
      </w:pPr>
      <w:r>
        <w:rPr>
          <w:rFonts w:ascii="Calibri" w:hAnsi="Calibri"/>
          <w:b w:val="0"/>
          <w:i w:val="0"/>
          <w:color w:val="17212B"/>
          <w:sz w:val="21"/>
        </w:rPr>
        <w:t>Progresión y revisión: reglas de subir, mantener, bajar o descargar según desempeño y síntomas.</w:t>
      </w:r>
    </w:p>
    <w:p>
      <w:pPr>
        <w:pStyle w:val="ListNumber"/>
        <w:spacing w:after="100" w:line="283" w:lineRule="auto"/>
      </w:pPr>
      <w:r>
        <w:rPr>
          <w:rFonts w:ascii="Calibri" w:hAnsi="Calibri"/>
          <w:b w:val="0"/>
          <w:i w:val="0"/>
          <w:color w:val="17212B"/>
          <w:sz w:val="21"/>
        </w:rPr>
        <w:t>Explicador: convierte las decisiones en lenguaje del entrenador; la IA no modifica restricciones ni inventa IDs.</w:t>
      </w:r>
    </w:p>
    <w:p>
      <w:pPr>
        <w:pStyle w:val="Heading2"/>
        <w:keepNext/>
      </w:pPr>
      <w:r>
        <w:t>Salida obligatoria del motor</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E8EEF5"/>
            <w:tcMar>
              <w:top w:w="100" w:type="dxa"/>
              <w:start w:w="120" w:type="dxa"/>
              <w:bottom w:w="100" w:type="dxa"/>
              <w:end w:w="120" w:type="dxa"/>
            </w:tcMar>
            <w:vAlign w:val="center"/>
          </w:tcPr>
          <w:p>
            <w:pPr>
              <w:jc w:val="left"/>
            </w:pPr>
            <w:r>
              <w:rPr>
                <w:rFonts w:ascii="Calibri" w:hAnsi="Calibri"/>
                <w:b/>
                <w:i w:val="0"/>
                <w:color w:val="17324D"/>
                <w:sz w:val="19"/>
              </w:rPr>
              <w:t>Bloque</w:t>
            </w:r>
          </w:p>
        </w:tc>
        <w:tc>
          <w:tcPr>
            <w:tcW w:type="dxa" w:w="7160"/>
            <w:shd w:fill="E8EEF5"/>
            <w:tcMar>
              <w:top w:w="100" w:type="dxa"/>
              <w:start w:w="120" w:type="dxa"/>
              <w:bottom w:w="100" w:type="dxa"/>
              <w:end w:w="120" w:type="dxa"/>
            </w:tcMar>
            <w:vAlign w:val="center"/>
          </w:tcPr>
          <w:p>
            <w:pPr>
              <w:jc w:val="left"/>
            </w:pPr>
            <w:r>
              <w:rPr>
                <w:rFonts w:ascii="Calibri" w:hAnsi="Calibri"/>
                <w:b/>
                <w:i w:val="0"/>
                <w:color w:val="17324D"/>
                <w:sz w:val="19"/>
              </w:rPr>
              <w:t>Contenido</w:t>
            </w:r>
          </w:p>
        </w:tc>
      </w:tr>
      <w:tr>
        <w:tc>
          <w:tcPr>
            <w:tcW w:type="dxa" w:w="2200"/>
            <w:tcMar>
              <w:top w:w="100" w:type="dxa"/>
              <w:start w:w="120" w:type="dxa"/>
              <w:bottom w:w="100" w:type="dxa"/>
              <w:end w:w="120" w:type="dxa"/>
            </w:tcMar>
            <w:vAlign w:val="center"/>
          </w:tcPr>
          <w:p>
            <w:pPr>
              <w:spacing w:after="0" w:line="259" w:lineRule="auto"/>
            </w:pPr>
            <w:r>
              <w:rPr>
                <w:rFonts w:ascii="Calibri" w:hAnsi="Calibri"/>
                <w:b w:val="0"/>
                <w:i w:val="0"/>
                <w:color w:val="17212B"/>
                <w:sz w:val="18"/>
              </w:rPr>
              <w:t>Resumen del caso</w:t>
            </w:r>
          </w:p>
        </w:tc>
        <w:tc>
          <w:tcPr>
            <w:tcW w:type="dxa" w:w="7160"/>
            <w:tcMar>
              <w:top w:w="100" w:type="dxa"/>
              <w:start w:w="120" w:type="dxa"/>
              <w:bottom w:w="100" w:type="dxa"/>
              <w:end w:w="120" w:type="dxa"/>
            </w:tcMar>
            <w:vAlign w:val="center"/>
          </w:tcPr>
          <w:p>
            <w:pPr>
              <w:spacing w:after="0" w:line="259" w:lineRule="auto"/>
            </w:pPr>
            <w:r>
              <w:rPr>
                <w:rFonts w:ascii="Calibri" w:hAnsi="Calibri"/>
                <w:b w:val="0"/>
                <w:i w:val="0"/>
                <w:color w:val="17212B"/>
                <w:sz w:val="18"/>
              </w:rPr>
              <w:t>A quién, para qué, fase, restricciones, disponibilidad y nivel de confianza.</w:t>
            </w:r>
          </w:p>
        </w:tc>
      </w:tr>
      <w:tr>
        <w:tc>
          <w:tcPr>
            <w:tcW w:type="dxa" w:w="2200"/>
            <w:tcMar>
              <w:top w:w="100" w:type="dxa"/>
              <w:start w:w="120" w:type="dxa"/>
              <w:bottom w:w="100" w:type="dxa"/>
              <w:end w:w="120" w:type="dxa"/>
            </w:tcMar>
            <w:vAlign w:val="center"/>
          </w:tcPr>
          <w:p>
            <w:pPr>
              <w:spacing w:after="0" w:line="259" w:lineRule="auto"/>
            </w:pPr>
            <w:r>
              <w:rPr>
                <w:rFonts w:ascii="Calibri" w:hAnsi="Calibri"/>
                <w:b w:val="0"/>
                <w:i w:val="0"/>
                <w:color w:val="17212B"/>
                <w:sz w:val="18"/>
              </w:rPr>
              <w:t>Dosis semanal</w:t>
            </w:r>
          </w:p>
        </w:tc>
        <w:tc>
          <w:tcPr>
            <w:tcW w:type="dxa" w:w="7160"/>
            <w:tcMar>
              <w:top w:w="100" w:type="dxa"/>
              <w:start w:w="120" w:type="dxa"/>
              <w:bottom w:w="100" w:type="dxa"/>
              <w:end w:w="120" w:type="dxa"/>
            </w:tcMar>
            <w:vAlign w:val="center"/>
          </w:tcPr>
          <w:p>
            <w:pPr>
              <w:spacing w:after="0" w:line="259" w:lineRule="auto"/>
            </w:pPr>
            <w:r>
              <w:rPr>
                <w:rFonts w:ascii="Calibri" w:hAnsi="Calibri"/>
                <w:b w:val="0"/>
                <w:i w:val="0"/>
                <w:color w:val="17212B"/>
                <w:sz w:val="18"/>
              </w:rPr>
              <w:t>Series directas y frecuencia por grupo; indirectas como información separada.</w:t>
            </w:r>
          </w:p>
        </w:tc>
      </w:tr>
      <w:tr>
        <w:tc>
          <w:tcPr>
            <w:tcW w:type="dxa" w:w="2200"/>
            <w:tcMar>
              <w:top w:w="100" w:type="dxa"/>
              <w:start w:w="120" w:type="dxa"/>
              <w:bottom w:w="100" w:type="dxa"/>
              <w:end w:w="120" w:type="dxa"/>
            </w:tcMar>
            <w:vAlign w:val="center"/>
          </w:tcPr>
          <w:p>
            <w:pPr>
              <w:spacing w:after="0" w:line="259" w:lineRule="auto"/>
            </w:pPr>
            <w:r>
              <w:rPr>
                <w:rFonts w:ascii="Calibri" w:hAnsi="Calibri"/>
                <w:b w:val="0"/>
                <w:i w:val="0"/>
                <w:color w:val="17212B"/>
                <w:sz w:val="18"/>
              </w:rPr>
              <w:t>Sesiones</w:t>
            </w:r>
          </w:p>
        </w:tc>
        <w:tc>
          <w:tcPr>
            <w:tcW w:type="dxa" w:w="7160"/>
            <w:tcMar>
              <w:top w:w="100" w:type="dxa"/>
              <w:start w:w="120" w:type="dxa"/>
              <w:bottom w:w="100" w:type="dxa"/>
              <w:end w:w="120" w:type="dxa"/>
            </w:tcMar>
            <w:vAlign w:val="center"/>
          </w:tcPr>
          <w:p>
            <w:pPr>
              <w:spacing w:after="0" w:line="259" w:lineRule="auto"/>
            </w:pPr>
            <w:r>
              <w:rPr>
                <w:rFonts w:ascii="Calibri" w:hAnsi="Calibri"/>
                <w:b w:val="0"/>
                <w:i w:val="0"/>
                <w:color w:val="17212B"/>
                <w:sz w:val="18"/>
              </w:rPr>
              <w:t>Orden, ejercicio ID, patrón, series, reps/carga, RIR, descanso, instrucciones y sustitutos.</w:t>
            </w:r>
          </w:p>
        </w:tc>
      </w:tr>
      <w:tr>
        <w:tc>
          <w:tcPr>
            <w:tcW w:type="dxa" w:w="2200"/>
            <w:tcMar>
              <w:top w:w="100" w:type="dxa"/>
              <w:start w:w="120" w:type="dxa"/>
              <w:bottom w:w="100" w:type="dxa"/>
              <w:end w:w="120" w:type="dxa"/>
            </w:tcMar>
            <w:vAlign w:val="center"/>
          </w:tcPr>
          <w:p>
            <w:pPr>
              <w:spacing w:after="0" w:line="259" w:lineRule="auto"/>
            </w:pPr>
            <w:r>
              <w:rPr>
                <w:rFonts w:ascii="Calibri" w:hAnsi="Calibri"/>
                <w:b w:val="0"/>
                <w:i w:val="0"/>
                <w:color w:val="17212B"/>
                <w:sz w:val="18"/>
              </w:rPr>
              <w:t>Progresión</w:t>
            </w:r>
          </w:p>
        </w:tc>
        <w:tc>
          <w:tcPr>
            <w:tcW w:type="dxa" w:w="7160"/>
            <w:tcMar>
              <w:top w:w="100" w:type="dxa"/>
              <w:start w:w="120" w:type="dxa"/>
              <w:bottom w:w="100" w:type="dxa"/>
              <w:end w:w="120" w:type="dxa"/>
            </w:tcMar>
            <w:vAlign w:val="center"/>
          </w:tcPr>
          <w:p>
            <w:pPr>
              <w:spacing w:after="0" w:line="259" w:lineRule="auto"/>
            </w:pPr>
            <w:r>
              <w:rPr>
                <w:rFonts w:ascii="Calibri" w:hAnsi="Calibri"/>
                <w:b w:val="0"/>
                <w:i w:val="0"/>
                <w:color w:val="17212B"/>
                <w:sz w:val="18"/>
              </w:rPr>
              <w:t>Criterio exacto para subir carga/reps/series; criterio para retroceder.</w:t>
            </w:r>
          </w:p>
        </w:tc>
      </w:tr>
      <w:tr>
        <w:tc>
          <w:tcPr>
            <w:tcW w:type="dxa" w:w="2200"/>
            <w:tcMar>
              <w:top w:w="100" w:type="dxa"/>
              <w:start w:w="120" w:type="dxa"/>
              <w:bottom w:w="100" w:type="dxa"/>
              <w:end w:w="120" w:type="dxa"/>
            </w:tcMar>
            <w:vAlign w:val="center"/>
          </w:tcPr>
          <w:p>
            <w:pPr>
              <w:spacing w:after="0" w:line="259" w:lineRule="auto"/>
            </w:pPr>
            <w:r>
              <w:rPr>
                <w:rFonts w:ascii="Calibri" w:hAnsi="Calibri"/>
                <w:b w:val="0"/>
                <w:i w:val="0"/>
                <w:color w:val="17212B"/>
                <w:sz w:val="18"/>
              </w:rPr>
              <w:t>Alertas</w:t>
            </w:r>
          </w:p>
        </w:tc>
        <w:tc>
          <w:tcPr>
            <w:tcW w:type="dxa" w:w="7160"/>
            <w:tcMar>
              <w:top w:w="100" w:type="dxa"/>
              <w:start w:w="120" w:type="dxa"/>
              <w:bottom w:w="100" w:type="dxa"/>
              <w:end w:w="120" w:type="dxa"/>
            </w:tcMar>
            <w:vAlign w:val="center"/>
          </w:tcPr>
          <w:p>
            <w:pPr>
              <w:spacing w:after="0" w:line="259" w:lineRule="auto"/>
            </w:pPr>
            <w:r>
              <w:rPr>
                <w:rFonts w:ascii="Calibri" w:hAnsi="Calibri"/>
                <w:b w:val="0"/>
                <w:i w:val="0"/>
                <w:color w:val="17212B"/>
                <w:sz w:val="18"/>
              </w:rPr>
              <w:t>Bloqueantes, revisables y preferencias incumplidas.</w:t>
            </w:r>
          </w:p>
        </w:tc>
      </w:tr>
      <w:tr>
        <w:tc>
          <w:tcPr>
            <w:tcW w:type="dxa" w:w="2200"/>
            <w:tcMar>
              <w:top w:w="100" w:type="dxa"/>
              <w:start w:w="120" w:type="dxa"/>
              <w:bottom w:w="100" w:type="dxa"/>
              <w:end w:w="120" w:type="dxa"/>
            </w:tcMar>
            <w:vAlign w:val="center"/>
          </w:tcPr>
          <w:p>
            <w:pPr>
              <w:spacing w:after="0" w:line="259" w:lineRule="auto"/>
            </w:pPr>
            <w:r>
              <w:rPr>
                <w:rFonts w:ascii="Calibri" w:hAnsi="Calibri"/>
                <w:b w:val="0"/>
                <w:i w:val="0"/>
                <w:color w:val="17212B"/>
                <w:sz w:val="18"/>
              </w:rPr>
              <w:t>Explicación</w:t>
            </w:r>
          </w:p>
        </w:tc>
        <w:tc>
          <w:tcPr>
            <w:tcW w:type="dxa" w:w="7160"/>
            <w:tcMar>
              <w:top w:w="100" w:type="dxa"/>
              <w:start w:w="120" w:type="dxa"/>
              <w:bottom w:w="100" w:type="dxa"/>
              <w:end w:w="120" w:type="dxa"/>
            </w:tcMar>
            <w:vAlign w:val="center"/>
          </w:tcPr>
          <w:p>
            <w:pPr>
              <w:spacing w:after="0" w:line="259" w:lineRule="auto"/>
            </w:pPr>
            <w:r>
              <w:rPr>
                <w:rFonts w:ascii="Calibri" w:hAnsi="Calibri"/>
                <w:b w:val="0"/>
                <w:i w:val="0"/>
                <w:color w:val="17212B"/>
                <w:sz w:val="18"/>
              </w:rPr>
              <w:t>Por qué esta rutina es distinta y qué dato produjo cada decisión importante.</w:t>
            </w:r>
          </w:p>
        </w:tc>
      </w:tr>
      <w:tr>
        <w:tc>
          <w:tcPr>
            <w:tcW w:type="dxa" w:w="2200"/>
            <w:tcMar>
              <w:top w:w="100" w:type="dxa"/>
              <w:start w:w="120" w:type="dxa"/>
              <w:bottom w:w="100" w:type="dxa"/>
              <w:end w:w="120" w:type="dxa"/>
            </w:tcMar>
            <w:vAlign w:val="center"/>
          </w:tcPr>
          <w:p>
            <w:pPr>
              <w:spacing w:after="0" w:line="259" w:lineRule="auto"/>
            </w:pPr>
            <w:r>
              <w:rPr>
                <w:rFonts w:ascii="Calibri" w:hAnsi="Calibri"/>
                <w:b w:val="0"/>
                <w:i w:val="0"/>
                <w:color w:val="17212B"/>
                <w:sz w:val="18"/>
              </w:rPr>
              <w:t>Revisión</w:t>
            </w:r>
          </w:p>
        </w:tc>
        <w:tc>
          <w:tcPr>
            <w:tcW w:type="dxa" w:w="7160"/>
            <w:tcMar>
              <w:top w:w="100" w:type="dxa"/>
              <w:start w:w="120" w:type="dxa"/>
              <w:bottom w:w="100" w:type="dxa"/>
              <w:end w:w="120" w:type="dxa"/>
            </w:tcMar>
            <w:vAlign w:val="center"/>
          </w:tcPr>
          <w:p>
            <w:pPr>
              <w:spacing w:after="0" w:line="259" w:lineRule="auto"/>
            </w:pPr>
            <w:r>
              <w:rPr>
                <w:rFonts w:ascii="Calibri" w:hAnsi="Calibri"/>
                <w:b w:val="0"/>
                <w:i w:val="0"/>
                <w:color w:val="17212B"/>
                <w:sz w:val="18"/>
              </w:rPr>
              <w:t>Fecha y métricas para decidir el siguiente ajuste.</w:t>
            </w:r>
          </w:p>
        </w:tc>
      </w:tr>
    </w:tbl>
    <w:p>
      <w:pPr>
        <w:spacing w:after="40"/>
      </w:pPr>
    </w:p>
    <w:p>
      <w:pPr>
        <w:pStyle w:val="Heading1"/>
        <w:keepNext/>
      </w:pPr>
      <w:r>
        <w:t>7. Rediseño visual propuesto</w:t>
      </w:r>
    </w:p>
    <w:p>
      <w:pPr>
        <w:keepLines w:val="0"/>
        <w:spacing w:after="120" w:line="283" w:lineRule="auto"/>
      </w:pPr>
      <w:r>
        <w:rPr>
          <w:rFonts w:ascii="Calibri" w:hAnsi="Calibri"/>
          <w:b w:val="0"/>
          <w:i w:val="0"/>
          <w:color w:val="17212B"/>
          <w:sz w:val="21"/>
        </w:rPr>
        <w:t>La auditoría visual encontró dos recorridos superpuestos, texto pequeño y una jerarquía débil. La solución no es otro panel desplegable: es un único estudio de programación con revelado progresivo.</w:t>
      </w:r>
    </w:p>
    <w:p>
      <w:pPr>
        <w:pStyle w:val="Heading2"/>
        <w:keepNext/>
      </w:pPr>
      <w:r>
        <w:t>Flujo único</w:t>
      </w:r>
    </w:p>
    <w:p>
      <w:pPr>
        <w:pStyle w:val="ListNumber"/>
        <w:spacing w:after="100" w:line="283" w:lineRule="auto"/>
      </w:pPr>
      <w:r>
        <w:rPr>
          <w:rFonts w:ascii="Calibri" w:hAnsi="Calibri"/>
          <w:b w:val="0"/>
          <w:i w:val="0"/>
          <w:color w:val="17212B"/>
          <w:sz w:val="21"/>
        </w:rPr>
        <w:t>Inicio: elegir persona/grupo y ver ficha crítica en una tarjeta compacta.</w:t>
      </w:r>
    </w:p>
    <w:p>
      <w:pPr>
        <w:pStyle w:val="ListNumber"/>
        <w:spacing w:after="100" w:line="283" w:lineRule="auto"/>
      </w:pPr>
      <w:r>
        <w:rPr>
          <w:rFonts w:ascii="Calibri" w:hAnsi="Calibri"/>
          <w:b w:val="0"/>
          <w:i w:val="0"/>
          <w:color w:val="17212B"/>
          <w:sz w:val="21"/>
        </w:rPr>
        <w:t>Modo: Asistido o Manual. Ambos comparten las mismas reglas y el mismo resumen; Manual permite intervenir antes.</w:t>
      </w:r>
    </w:p>
    <w:p>
      <w:pPr>
        <w:pStyle w:val="ListNumber"/>
        <w:spacing w:after="100" w:line="283" w:lineRule="auto"/>
      </w:pPr>
      <w:r>
        <w:rPr>
          <w:rFonts w:ascii="Calibri" w:hAnsi="Calibri"/>
          <w:b w:val="0"/>
          <w:i w:val="0"/>
          <w:color w:val="17212B"/>
          <w:sz w:val="21"/>
        </w:rPr>
        <w:t>Entrevista en 6 pasos visibles, no 7 gavetas abiertas ni listas interminables.</w:t>
      </w:r>
    </w:p>
    <w:p>
      <w:pPr>
        <w:pStyle w:val="ListNumber"/>
        <w:spacing w:after="100" w:line="283" w:lineRule="auto"/>
      </w:pPr>
      <w:r>
        <w:rPr>
          <w:rFonts w:ascii="Calibri" w:hAnsi="Calibri"/>
          <w:b w:val="0"/>
          <w:i w:val="0"/>
          <w:color w:val="17212B"/>
          <w:sz w:val="21"/>
        </w:rPr>
        <w:t>Resumen fijo: objetivo, restricciones, dosis por músculo, días y tiempo; en móvil se abre como hoja inferior.</w:t>
      </w:r>
    </w:p>
    <w:p>
      <w:pPr>
        <w:pStyle w:val="ListNumber"/>
        <w:spacing w:after="100" w:line="283" w:lineRule="auto"/>
      </w:pPr>
      <w:r>
        <w:rPr>
          <w:rFonts w:ascii="Calibri" w:hAnsi="Calibri"/>
          <w:b w:val="0"/>
          <w:i w:val="0"/>
          <w:color w:val="17212B"/>
          <w:sz w:val="21"/>
        </w:rPr>
        <w:t>Estudio semanal: columnas/días con series por músculo y alertas de recuperación antes de elegir ejercicios.</w:t>
      </w:r>
    </w:p>
    <w:p>
      <w:pPr>
        <w:pStyle w:val="ListNumber"/>
        <w:spacing w:after="100" w:line="283" w:lineRule="auto"/>
      </w:pPr>
      <w:r>
        <w:rPr>
          <w:rFonts w:ascii="Calibri" w:hAnsi="Calibri"/>
          <w:b w:val="0"/>
          <w:i w:val="0"/>
          <w:color w:val="17212B"/>
          <w:sz w:val="21"/>
        </w:rPr>
        <w:t>Selector de ejercicios: filtros por patrón y compatibilidad, con 3 alternativas explicadas.</w:t>
      </w:r>
    </w:p>
    <w:p>
      <w:pPr>
        <w:pStyle w:val="ListNumber"/>
        <w:spacing w:after="100" w:line="283" w:lineRule="auto"/>
      </w:pPr>
      <w:r>
        <w:rPr>
          <w:rFonts w:ascii="Calibri" w:hAnsi="Calibri"/>
          <w:b w:val="0"/>
          <w:i w:val="0"/>
          <w:color w:val="17212B"/>
          <w:sz w:val="21"/>
        </w:rPr>
        <w:t>Revisión final: semáforo de seguridad, cobertura, dosis, tiempo y progresión.</w:t>
      </w:r>
    </w:p>
    <w:p>
      <w:pPr>
        <w:pStyle w:val="Heading2"/>
        <w:keepNext/>
      </w:pPr>
      <w:r>
        <w:t>Reglas de comodidad</w:t>
      </w:r>
    </w:p>
    <w:p>
      <w:pPr>
        <w:pStyle w:val="ListBullet"/>
        <w:spacing w:after="80" w:line="283" w:lineRule="auto"/>
      </w:pPr>
      <w:r>
        <w:rPr>
          <w:rFonts w:ascii="Calibri" w:hAnsi="Calibri"/>
          <w:b w:val="0"/>
          <w:i w:val="0"/>
          <w:color w:val="17212B"/>
          <w:sz w:val="21"/>
        </w:rPr>
        <w:t>Texto base mínimo legible y mayor contraste; evitar microtexto gris sobre fondo oscuro.</w:t>
      </w:r>
    </w:p>
    <w:p>
      <w:pPr>
        <w:pStyle w:val="ListBullet"/>
        <w:spacing w:after="80" w:line="283" w:lineRule="auto"/>
      </w:pPr>
      <w:r>
        <w:rPr>
          <w:rFonts w:ascii="Calibri" w:hAnsi="Calibri"/>
          <w:b w:val="0"/>
          <w:i w:val="0"/>
          <w:color w:val="17212B"/>
          <w:sz w:val="21"/>
        </w:rPr>
        <w:t>Una decisión principal por pantalla; detalles avanzados bajo 'Ajustar'.</w:t>
      </w:r>
    </w:p>
    <w:p>
      <w:pPr>
        <w:pStyle w:val="ListBullet"/>
        <w:spacing w:after="80" w:line="283" w:lineRule="auto"/>
      </w:pPr>
      <w:r>
        <w:rPr>
          <w:rFonts w:ascii="Calibri" w:hAnsi="Calibri"/>
          <w:b w:val="0"/>
          <w:i w:val="0"/>
          <w:color w:val="17212B"/>
          <w:sz w:val="21"/>
        </w:rPr>
        <w:t>Botones con verbo y consecuencia: 'Calcular dosis', 'Diseñar semana', 'Elegir ejercicios'.</w:t>
      </w:r>
    </w:p>
    <w:p>
      <w:pPr>
        <w:pStyle w:val="ListBullet"/>
        <w:spacing w:after="80" w:line="283" w:lineRule="auto"/>
      </w:pPr>
      <w:r>
        <w:rPr>
          <w:rFonts w:ascii="Calibri" w:hAnsi="Calibri"/>
          <w:b w:val="0"/>
          <w:i w:val="0"/>
          <w:color w:val="17212B"/>
          <w:sz w:val="21"/>
        </w:rPr>
        <w:t>No mostrar todos los alumnos a la vez: búsqueda, recientes y filtros.</w:t>
      </w:r>
    </w:p>
    <w:p>
      <w:pPr>
        <w:pStyle w:val="ListBullet"/>
        <w:spacing w:after="80" w:line="283" w:lineRule="auto"/>
      </w:pPr>
      <w:r>
        <w:rPr>
          <w:rFonts w:ascii="Calibri" w:hAnsi="Calibri"/>
          <w:b w:val="0"/>
          <w:i w:val="0"/>
          <w:color w:val="17212B"/>
          <w:sz w:val="21"/>
        </w:rPr>
        <w:t>No usar color como único indicador; icono + etiqueta + mensaje.</w:t>
      </w:r>
    </w:p>
    <w:p>
      <w:pPr>
        <w:pStyle w:val="ListBullet"/>
        <w:spacing w:after="80" w:line="283" w:lineRule="auto"/>
      </w:pPr>
      <w:r>
        <w:rPr>
          <w:rFonts w:ascii="Calibri" w:hAnsi="Calibri"/>
          <w:b w:val="0"/>
          <w:i w:val="0"/>
          <w:color w:val="17212B"/>
          <w:sz w:val="21"/>
        </w:rPr>
        <w:t>Mantener navegación inferior en móvil y lateral estable en escritorio; no reintroducir el panel de abrir/cerrar rechazado.</w:t>
      </w:r>
    </w:p>
    <w:p>
      <w:pPr>
        <w:pStyle w:val="Heading1"/>
        <w:keepNext/>
      </w:pPr>
      <w:r>
        <w:t>8. Proyecto de implementación para aprobación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E8EEF5"/>
          </w:tcPr>
          <w:p>
            <w:pPr>
              <w:spacing w:after="40"/>
            </w:pPr>
            <w:r>
              <w:rPr>
                <w:rFonts w:ascii="Calibri" w:hAnsi="Calibri"/>
                <w:b/>
                <w:i w:val="0"/>
                <w:color w:val="17324D"/>
                <w:sz w:val="22"/>
              </w:rPr>
              <w:t>Principio de migración</w:t>
            </w:r>
          </w:p>
          <w:p>
            <w:pPr>
              <w:spacing w:after="0" w:line="276" w:lineRule="auto"/>
            </w:pPr>
            <w:r>
              <w:rPr>
                <w:rFonts w:ascii="Calibri" w:hAnsi="Calibri"/>
                <w:b w:val="0"/>
                <w:i w:val="0"/>
                <w:color w:val="17212B"/>
                <w:sz w:val="20"/>
              </w:rPr>
              <w:t>No borrar el motor actual primero. Construir V2 en modo sombra, comparar resultados con casos reales y retirar V1 solo cuando V2 pase criterios acordados.</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1450"/>
        <w:gridCol w:w="4770"/>
        <w:gridCol w:w="3140"/>
      </w:tblGrid>
      <w:tr>
        <w:trPr>
          <w:tblHeader w:val="true"/>
        </w:trPr>
        <w:tc>
          <w:tcPr>
            <w:tcW w:type="dxa" w:w="1450"/>
            <w:shd w:fill="E8EEF5"/>
            <w:tcMar>
              <w:top w:w="100" w:type="dxa"/>
              <w:start w:w="120" w:type="dxa"/>
              <w:bottom w:w="100" w:type="dxa"/>
              <w:end w:w="120" w:type="dxa"/>
            </w:tcMar>
            <w:vAlign w:val="center"/>
          </w:tcPr>
          <w:p>
            <w:pPr>
              <w:jc w:val="left"/>
            </w:pPr>
            <w:r>
              <w:rPr>
                <w:rFonts w:ascii="Calibri" w:hAnsi="Calibri"/>
                <w:b/>
                <w:i w:val="0"/>
                <w:color w:val="17324D"/>
                <w:sz w:val="19"/>
              </w:rPr>
              <w:t>Fase</w:t>
            </w:r>
          </w:p>
        </w:tc>
        <w:tc>
          <w:tcPr>
            <w:tcW w:type="dxa" w:w="4770"/>
            <w:shd w:fill="E8EEF5"/>
            <w:tcMar>
              <w:top w:w="100" w:type="dxa"/>
              <w:start w:w="120" w:type="dxa"/>
              <w:bottom w:w="100" w:type="dxa"/>
              <w:end w:w="120" w:type="dxa"/>
            </w:tcMar>
            <w:vAlign w:val="center"/>
          </w:tcPr>
          <w:p>
            <w:pPr>
              <w:jc w:val="left"/>
            </w:pPr>
            <w:r>
              <w:rPr>
                <w:rFonts w:ascii="Calibri" w:hAnsi="Calibri"/>
                <w:b/>
                <w:i w:val="0"/>
                <w:color w:val="17324D"/>
                <w:sz w:val="19"/>
              </w:rPr>
              <w:t>Trabajo</w:t>
            </w:r>
          </w:p>
        </w:tc>
        <w:tc>
          <w:tcPr>
            <w:tcW w:type="dxa" w:w="3140"/>
            <w:shd w:fill="E8EEF5"/>
            <w:tcMar>
              <w:top w:w="100" w:type="dxa"/>
              <w:start w:w="120" w:type="dxa"/>
              <w:bottom w:w="100" w:type="dxa"/>
              <w:end w:w="120" w:type="dxa"/>
            </w:tcMar>
            <w:vAlign w:val="center"/>
          </w:tcPr>
          <w:p>
            <w:pPr>
              <w:jc w:val="left"/>
            </w:pPr>
            <w:r>
              <w:rPr>
                <w:rFonts w:ascii="Calibri" w:hAnsi="Calibri"/>
                <w:b/>
                <w:i w:val="0"/>
                <w:color w:val="17324D"/>
                <w:sz w:val="19"/>
              </w:rPr>
              <w:t>Criterio de salida</w:t>
            </w:r>
          </w:p>
        </w:tc>
      </w:tr>
      <w:tr>
        <w:tc>
          <w:tcPr>
            <w:tcW w:type="dxa" w:w="1450"/>
            <w:tcMar>
              <w:top w:w="100" w:type="dxa"/>
              <w:start w:w="120" w:type="dxa"/>
              <w:bottom w:w="100" w:type="dxa"/>
              <w:end w:w="120" w:type="dxa"/>
            </w:tcMar>
            <w:vAlign w:val="center"/>
          </w:tcPr>
          <w:p>
            <w:pPr>
              <w:spacing w:after="0" w:line="259" w:lineRule="auto"/>
            </w:pPr>
            <w:r>
              <w:rPr>
                <w:rFonts w:ascii="Calibri" w:hAnsi="Calibri"/>
                <w:b w:val="0"/>
                <w:i w:val="0"/>
                <w:color w:val="17212B"/>
                <w:sz w:val="18"/>
              </w:rPr>
              <w:t>0. Congelar y medir</w:t>
            </w:r>
          </w:p>
        </w:tc>
        <w:tc>
          <w:tcPr>
            <w:tcW w:type="dxa" w:w="4770"/>
            <w:tcMar>
              <w:top w:w="100" w:type="dxa"/>
              <w:start w:w="120" w:type="dxa"/>
              <w:bottom w:w="100" w:type="dxa"/>
              <w:end w:w="120" w:type="dxa"/>
            </w:tcMar>
            <w:vAlign w:val="center"/>
          </w:tcPr>
          <w:p>
            <w:pPr>
              <w:spacing w:after="0" w:line="259" w:lineRule="auto"/>
            </w:pPr>
            <w:r>
              <w:rPr>
                <w:rFonts w:ascii="Calibri" w:hAnsi="Calibri"/>
                <w:b w:val="0"/>
                <w:i w:val="0"/>
                <w:color w:val="17212B"/>
                <w:sz w:val="18"/>
              </w:rPr>
              <w:t>Guardar 15-30 casos representativos y la corrección manual del entrenador.</w:t>
            </w:r>
          </w:p>
        </w:tc>
        <w:tc>
          <w:tcPr>
            <w:tcW w:type="dxa" w:w="3140"/>
            <w:tcMar>
              <w:top w:w="100" w:type="dxa"/>
              <w:start w:w="120" w:type="dxa"/>
              <w:bottom w:w="100" w:type="dxa"/>
              <w:end w:w="120" w:type="dxa"/>
            </w:tcMar>
            <w:vAlign w:val="center"/>
          </w:tcPr>
          <w:p>
            <w:pPr>
              <w:spacing w:after="0" w:line="259" w:lineRule="auto"/>
            </w:pPr>
            <w:r>
              <w:rPr>
                <w:rFonts w:ascii="Calibri" w:hAnsi="Calibri"/>
                <w:b w:val="0"/>
                <w:i w:val="0"/>
                <w:color w:val="17212B"/>
                <w:sz w:val="18"/>
              </w:rPr>
              <w:t>Banco de casos anonimizados y rúbrica.</w:t>
            </w:r>
          </w:p>
        </w:tc>
      </w:tr>
      <w:tr>
        <w:tc>
          <w:tcPr>
            <w:tcW w:type="dxa" w:w="1450"/>
            <w:tcMar>
              <w:top w:w="100" w:type="dxa"/>
              <w:start w:w="120" w:type="dxa"/>
              <w:bottom w:w="100" w:type="dxa"/>
              <w:end w:w="120" w:type="dxa"/>
            </w:tcMar>
            <w:vAlign w:val="center"/>
          </w:tcPr>
          <w:p>
            <w:pPr>
              <w:spacing w:after="0" w:line="259" w:lineRule="auto"/>
            </w:pPr>
            <w:r>
              <w:rPr>
                <w:rFonts w:ascii="Calibri" w:hAnsi="Calibri"/>
                <w:b w:val="0"/>
                <w:i w:val="0"/>
                <w:color w:val="17212B"/>
                <w:sz w:val="18"/>
              </w:rPr>
              <w:t>1. Modelo de datos</w:t>
            </w:r>
          </w:p>
        </w:tc>
        <w:tc>
          <w:tcPr>
            <w:tcW w:type="dxa" w:w="4770"/>
            <w:tcMar>
              <w:top w:w="100" w:type="dxa"/>
              <w:start w:w="120" w:type="dxa"/>
              <w:bottom w:w="100" w:type="dxa"/>
              <w:end w:w="120" w:type="dxa"/>
            </w:tcMar>
            <w:vAlign w:val="center"/>
          </w:tcPr>
          <w:p>
            <w:pPr>
              <w:spacing w:after="0" w:line="259" w:lineRule="auto"/>
            </w:pPr>
            <w:r>
              <w:rPr>
                <w:rFonts w:ascii="Calibri" w:hAnsi="Calibri"/>
                <w:b w:val="0"/>
                <w:i w:val="0"/>
                <w:color w:val="17212B"/>
                <w:sz w:val="18"/>
              </w:rPr>
              <w:t>Separar población, función, experiencia, competición, fase, recuperación y volumen reciente.</w:t>
            </w:r>
          </w:p>
        </w:tc>
        <w:tc>
          <w:tcPr>
            <w:tcW w:type="dxa" w:w="3140"/>
            <w:tcMar>
              <w:top w:w="100" w:type="dxa"/>
              <w:start w:w="120" w:type="dxa"/>
              <w:bottom w:w="100" w:type="dxa"/>
              <w:end w:w="120" w:type="dxa"/>
            </w:tcMar>
            <w:vAlign w:val="center"/>
          </w:tcPr>
          <w:p>
            <w:pPr>
              <w:spacing w:after="0" w:line="259" w:lineRule="auto"/>
            </w:pPr>
            <w:r>
              <w:rPr>
                <w:rFonts w:ascii="Calibri" w:hAnsi="Calibri"/>
                <w:b w:val="0"/>
                <w:i w:val="0"/>
                <w:color w:val="17212B"/>
                <w:sz w:val="18"/>
              </w:rPr>
              <w:t>Tipos, migración reversible y ficha completa.</w:t>
            </w:r>
          </w:p>
        </w:tc>
      </w:tr>
      <w:tr>
        <w:tc>
          <w:tcPr>
            <w:tcW w:type="dxa" w:w="1450"/>
            <w:tcMar>
              <w:top w:w="100" w:type="dxa"/>
              <w:start w:w="120" w:type="dxa"/>
              <w:bottom w:w="100" w:type="dxa"/>
              <w:end w:w="120" w:type="dxa"/>
            </w:tcMar>
            <w:vAlign w:val="center"/>
          </w:tcPr>
          <w:p>
            <w:pPr>
              <w:spacing w:after="0" w:line="259" w:lineRule="auto"/>
            </w:pPr>
            <w:r>
              <w:rPr>
                <w:rFonts w:ascii="Calibri" w:hAnsi="Calibri"/>
                <w:b w:val="0"/>
                <w:i w:val="0"/>
                <w:color w:val="17212B"/>
                <w:sz w:val="18"/>
              </w:rPr>
              <w:t>2. Motor de dosis</w:t>
            </w:r>
          </w:p>
        </w:tc>
        <w:tc>
          <w:tcPr>
            <w:tcW w:type="dxa" w:w="4770"/>
            <w:tcMar>
              <w:top w:w="100" w:type="dxa"/>
              <w:start w:w="120" w:type="dxa"/>
              <w:bottom w:w="100" w:type="dxa"/>
              <w:end w:w="120" w:type="dxa"/>
            </w:tcMar>
            <w:vAlign w:val="center"/>
          </w:tcPr>
          <w:p>
            <w:pPr>
              <w:spacing w:after="0" w:line="259" w:lineRule="auto"/>
            </w:pPr>
            <w:r>
              <w:rPr>
                <w:rFonts w:ascii="Calibri" w:hAnsi="Calibri"/>
                <w:b w:val="0"/>
                <w:i w:val="0"/>
                <w:color w:val="17212B"/>
                <w:sz w:val="18"/>
              </w:rPr>
              <w:t>Seguridad, dosis, split, slots, RIR/descanso, fatiga, progresión y validación.</w:t>
            </w:r>
          </w:p>
        </w:tc>
        <w:tc>
          <w:tcPr>
            <w:tcW w:type="dxa" w:w="3140"/>
            <w:tcMar>
              <w:top w:w="100" w:type="dxa"/>
              <w:start w:w="120" w:type="dxa"/>
              <w:bottom w:w="100" w:type="dxa"/>
              <w:end w:w="120" w:type="dxa"/>
            </w:tcMar>
            <w:vAlign w:val="center"/>
          </w:tcPr>
          <w:p>
            <w:pPr>
              <w:spacing w:after="0" w:line="259" w:lineRule="auto"/>
            </w:pPr>
            <w:r>
              <w:rPr>
                <w:rFonts w:ascii="Calibri" w:hAnsi="Calibri"/>
                <w:b w:val="0"/>
                <w:i w:val="0"/>
                <w:color w:val="17212B"/>
                <w:sz w:val="18"/>
              </w:rPr>
              <w:t>Pruebas unitarias y casos dorados.</w:t>
            </w:r>
          </w:p>
        </w:tc>
      </w:tr>
      <w:tr>
        <w:tc>
          <w:tcPr>
            <w:tcW w:type="dxa" w:w="1450"/>
            <w:tcMar>
              <w:top w:w="100" w:type="dxa"/>
              <w:start w:w="120" w:type="dxa"/>
              <w:bottom w:w="100" w:type="dxa"/>
              <w:end w:w="120" w:type="dxa"/>
            </w:tcMar>
            <w:vAlign w:val="center"/>
          </w:tcPr>
          <w:p>
            <w:pPr>
              <w:spacing w:after="0" w:line="259" w:lineRule="auto"/>
            </w:pPr>
            <w:r>
              <w:rPr>
                <w:rFonts w:ascii="Calibri" w:hAnsi="Calibri"/>
                <w:b w:val="0"/>
                <w:i w:val="0"/>
                <w:color w:val="17212B"/>
                <w:sz w:val="18"/>
              </w:rPr>
              <w:t>3. Comparación sombra</w:t>
            </w:r>
          </w:p>
        </w:tc>
        <w:tc>
          <w:tcPr>
            <w:tcW w:type="dxa" w:w="4770"/>
            <w:tcMar>
              <w:top w:w="100" w:type="dxa"/>
              <w:start w:w="120" w:type="dxa"/>
              <w:bottom w:w="100" w:type="dxa"/>
              <w:end w:w="120" w:type="dxa"/>
            </w:tcMar>
            <w:vAlign w:val="center"/>
          </w:tcPr>
          <w:p>
            <w:pPr>
              <w:spacing w:after="0" w:line="259" w:lineRule="auto"/>
            </w:pPr>
            <w:r>
              <w:rPr>
                <w:rFonts w:ascii="Calibri" w:hAnsi="Calibri"/>
                <w:b w:val="0"/>
                <w:i w:val="0"/>
                <w:color w:val="17212B"/>
                <w:sz w:val="18"/>
              </w:rPr>
              <w:t>V1 y V2 generan sin publicar; el entrenador puntúa corrección y edita.</w:t>
            </w:r>
          </w:p>
        </w:tc>
        <w:tc>
          <w:tcPr>
            <w:tcW w:type="dxa" w:w="3140"/>
            <w:tcMar>
              <w:top w:w="100" w:type="dxa"/>
              <w:start w:w="120" w:type="dxa"/>
              <w:bottom w:w="100" w:type="dxa"/>
              <w:end w:w="120" w:type="dxa"/>
            </w:tcMar>
            <w:vAlign w:val="center"/>
          </w:tcPr>
          <w:p>
            <w:pPr>
              <w:spacing w:after="0" w:line="259" w:lineRule="auto"/>
            </w:pPr>
            <w:r>
              <w:rPr>
                <w:rFonts w:ascii="Calibri" w:hAnsi="Calibri"/>
                <w:b w:val="0"/>
                <w:i w:val="0"/>
                <w:color w:val="17212B"/>
                <w:sz w:val="18"/>
              </w:rPr>
              <w:t>V2 supera umbral acordado y no tiene bloqueos críticos.</w:t>
            </w:r>
          </w:p>
        </w:tc>
      </w:tr>
      <w:tr>
        <w:tc>
          <w:tcPr>
            <w:tcW w:type="dxa" w:w="1450"/>
            <w:tcMar>
              <w:top w:w="100" w:type="dxa"/>
              <w:start w:w="120" w:type="dxa"/>
              <w:bottom w:w="100" w:type="dxa"/>
              <w:end w:w="120" w:type="dxa"/>
            </w:tcMar>
            <w:vAlign w:val="center"/>
          </w:tcPr>
          <w:p>
            <w:pPr>
              <w:spacing w:after="0" w:line="259" w:lineRule="auto"/>
            </w:pPr>
            <w:r>
              <w:rPr>
                <w:rFonts w:ascii="Calibri" w:hAnsi="Calibri"/>
                <w:b w:val="0"/>
                <w:i w:val="0"/>
                <w:color w:val="17212B"/>
                <w:sz w:val="18"/>
              </w:rPr>
              <w:t>4. Interfaz</w:t>
            </w:r>
          </w:p>
        </w:tc>
        <w:tc>
          <w:tcPr>
            <w:tcW w:type="dxa" w:w="4770"/>
            <w:tcMar>
              <w:top w:w="100" w:type="dxa"/>
              <w:start w:w="120" w:type="dxa"/>
              <w:bottom w:w="100" w:type="dxa"/>
              <w:end w:w="120" w:type="dxa"/>
            </w:tcMar>
            <w:vAlign w:val="center"/>
          </w:tcPr>
          <w:p>
            <w:pPr>
              <w:spacing w:after="0" w:line="259" w:lineRule="auto"/>
            </w:pPr>
            <w:r>
              <w:rPr>
                <w:rFonts w:ascii="Calibri" w:hAnsi="Calibri"/>
                <w:b w:val="0"/>
                <w:i w:val="0"/>
                <w:color w:val="17212B"/>
                <w:sz w:val="18"/>
              </w:rPr>
              <w:t>Flujo único asistido/manual y estudio semanal legible.</w:t>
            </w:r>
          </w:p>
        </w:tc>
        <w:tc>
          <w:tcPr>
            <w:tcW w:type="dxa" w:w="3140"/>
            <w:tcMar>
              <w:top w:w="100" w:type="dxa"/>
              <w:start w:w="120" w:type="dxa"/>
              <w:bottom w:w="100" w:type="dxa"/>
              <w:end w:w="120" w:type="dxa"/>
            </w:tcMar>
            <w:vAlign w:val="center"/>
          </w:tcPr>
          <w:p>
            <w:pPr>
              <w:spacing w:after="0" w:line="259" w:lineRule="auto"/>
            </w:pPr>
            <w:r>
              <w:rPr>
                <w:rFonts w:ascii="Calibri" w:hAnsi="Calibri"/>
                <w:b w:val="0"/>
                <w:i w:val="0"/>
                <w:color w:val="17212B"/>
                <w:sz w:val="18"/>
              </w:rPr>
              <w:t>Prueba escritorio/móvil y tareas sin confusión.</w:t>
            </w:r>
          </w:p>
        </w:tc>
      </w:tr>
      <w:tr>
        <w:tc>
          <w:tcPr>
            <w:tcW w:type="dxa" w:w="1450"/>
            <w:tcMar>
              <w:top w:w="100" w:type="dxa"/>
              <w:start w:w="120" w:type="dxa"/>
              <w:bottom w:w="100" w:type="dxa"/>
              <w:end w:w="120" w:type="dxa"/>
            </w:tcMar>
            <w:vAlign w:val="center"/>
          </w:tcPr>
          <w:p>
            <w:pPr>
              <w:spacing w:after="0" w:line="259" w:lineRule="auto"/>
            </w:pPr>
            <w:r>
              <w:rPr>
                <w:rFonts w:ascii="Calibri" w:hAnsi="Calibri"/>
                <w:b w:val="0"/>
                <w:i w:val="0"/>
                <w:color w:val="17212B"/>
                <w:sz w:val="18"/>
              </w:rPr>
              <w:t>5. Despliegue gradual</w:t>
            </w:r>
          </w:p>
        </w:tc>
        <w:tc>
          <w:tcPr>
            <w:tcW w:type="dxa" w:w="4770"/>
            <w:tcMar>
              <w:top w:w="100" w:type="dxa"/>
              <w:start w:w="120" w:type="dxa"/>
              <w:bottom w:w="100" w:type="dxa"/>
              <w:end w:w="120" w:type="dxa"/>
            </w:tcMar>
            <w:vAlign w:val="center"/>
          </w:tcPr>
          <w:p>
            <w:pPr>
              <w:spacing w:after="0" w:line="259" w:lineRule="auto"/>
            </w:pPr>
            <w:r>
              <w:rPr>
                <w:rFonts w:ascii="Calibri" w:hAnsi="Calibri"/>
                <w:b w:val="0"/>
                <w:i w:val="0"/>
                <w:color w:val="17212B"/>
                <w:sz w:val="18"/>
              </w:rPr>
              <w:t>Activar por bandera para alumnos internos; conservar reversión.</w:t>
            </w:r>
          </w:p>
        </w:tc>
        <w:tc>
          <w:tcPr>
            <w:tcW w:type="dxa" w:w="3140"/>
            <w:tcMar>
              <w:top w:w="100" w:type="dxa"/>
              <w:start w:w="120" w:type="dxa"/>
              <w:bottom w:w="100" w:type="dxa"/>
              <w:end w:w="120" w:type="dxa"/>
            </w:tcMar>
            <w:vAlign w:val="center"/>
          </w:tcPr>
          <w:p>
            <w:pPr>
              <w:spacing w:after="0" w:line="259" w:lineRule="auto"/>
            </w:pPr>
            <w:r>
              <w:rPr>
                <w:rFonts w:ascii="Calibri" w:hAnsi="Calibri"/>
                <w:b w:val="0"/>
                <w:i w:val="0"/>
                <w:color w:val="17212B"/>
                <w:sz w:val="18"/>
              </w:rPr>
              <w:t>Auditoría, feedback y cero publicación automática.</w:t>
            </w:r>
          </w:p>
        </w:tc>
      </w:tr>
      <w:tr>
        <w:tc>
          <w:tcPr>
            <w:tcW w:type="dxa" w:w="1450"/>
            <w:tcMar>
              <w:top w:w="100" w:type="dxa"/>
              <w:start w:w="120" w:type="dxa"/>
              <w:bottom w:w="100" w:type="dxa"/>
              <w:end w:w="120" w:type="dxa"/>
            </w:tcMar>
            <w:vAlign w:val="center"/>
          </w:tcPr>
          <w:p>
            <w:pPr>
              <w:spacing w:after="0" w:line="259" w:lineRule="auto"/>
            </w:pPr>
            <w:r>
              <w:rPr>
                <w:rFonts w:ascii="Calibri" w:hAnsi="Calibri"/>
                <w:b w:val="0"/>
                <w:i w:val="0"/>
                <w:color w:val="17212B"/>
                <w:sz w:val="18"/>
              </w:rPr>
              <w:t>6. Aprendizaje</w:t>
            </w:r>
          </w:p>
        </w:tc>
        <w:tc>
          <w:tcPr>
            <w:tcW w:type="dxa" w:w="4770"/>
            <w:tcMar>
              <w:top w:w="100" w:type="dxa"/>
              <w:start w:w="120" w:type="dxa"/>
              <w:bottom w:w="100" w:type="dxa"/>
              <w:end w:w="120" w:type="dxa"/>
            </w:tcMar>
            <w:vAlign w:val="center"/>
          </w:tcPr>
          <w:p>
            <w:pPr>
              <w:spacing w:after="0" w:line="259" w:lineRule="auto"/>
            </w:pPr>
            <w:r>
              <w:rPr>
                <w:rFonts w:ascii="Calibri" w:hAnsi="Calibri"/>
                <w:b w:val="0"/>
                <w:i w:val="0"/>
                <w:color w:val="17212B"/>
                <w:sz w:val="18"/>
              </w:rPr>
              <w:t>Convertir correcciones repetidas en reglas revisadas, no entrenamiento opaco.</w:t>
            </w:r>
          </w:p>
        </w:tc>
        <w:tc>
          <w:tcPr>
            <w:tcW w:type="dxa" w:w="3140"/>
            <w:tcMar>
              <w:top w:w="100" w:type="dxa"/>
              <w:start w:w="120" w:type="dxa"/>
              <w:bottom w:w="100" w:type="dxa"/>
              <w:end w:w="120" w:type="dxa"/>
            </w:tcMar>
            <w:vAlign w:val="center"/>
          </w:tcPr>
          <w:p>
            <w:pPr>
              <w:spacing w:after="0" w:line="259" w:lineRule="auto"/>
            </w:pPr>
            <w:r>
              <w:rPr>
                <w:rFonts w:ascii="Calibri" w:hAnsi="Calibri"/>
                <w:b w:val="0"/>
                <w:i w:val="0"/>
                <w:color w:val="17212B"/>
                <w:sz w:val="18"/>
              </w:rPr>
              <w:t>Versionado del Método VIP.</w:t>
            </w:r>
          </w:p>
        </w:tc>
      </w:tr>
    </w:tbl>
    <w:p>
      <w:pPr>
        <w:spacing w:after="40"/>
      </w:pPr>
    </w:p>
    <w:p>
      <w:pPr>
        <w:pStyle w:val="Heading2"/>
        <w:keepNext/>
      </w:pPr>
      <w:r>
        <w:t>Criterios de aceptación</w:t>
      </w:r>
    </w:p>
    <w:p>
      <w:pPr>
        <w:pStyle w:val="ListBullet"/>
        <w:spacing w:after="80" w:line="283" w:lineRule="auto"/>
      </w:pPr>
      <w:r>
        <w:rPr>
          <w:rFonts w:ascii="Calibri" w:hAnsi="Calibri"/>
          <w:b w:val="0"/>
          <w:i w:val="0"/>
          <w:color w:val="17212B"/>
          <w:sz w:val="21"/>
        </w:rPr>
        <w:t>Ninguna rutina se genera si falta un dato que cambia seguridad o dosis.</w:t>
      </w:r>
    </w:p>
    <w:p>
      <w:pPr>
        <w:pStyle w:val="ListBullet"/>
        <w:spacing w:after="80" w:line="283" w:lineRule="auto"/>
      </w:pPr>
      <w:r>
        <w:rPr>
          <w:rFonts w:ascii="Calibri" w:hAnsi="Calibri"/>
          <w:b w:val="0"/>
          <w:i w:val="0"/>
          <w:color w:val="17212B"/>
          <w:sz w:val="21"/>
        </w:rPr>
        <w:t>Toda serie semanal puede rastrearse a objetivo, nivel, volumen previo y prioridad.</w:t>
      </w:r>
    </w:p>
    <w:p>
      <w:pPr>
        <w:pStyle w:val="ListBullet"/>
        <w:spacing w:after="80" w:line="283" w:lineRule="auto"/>
      </w:pPr>
      <w:r>
        <w:rPr>
          <w:rFonts w:ascii="Calibri" w:hAnsi="Calibri"/>
          <w:b w:val="0"/>
          <w:i w:val="0"/>
          <w:color w:val="17212B"/>
          <w:sz w:val="21"/>
        </w:rPr>
        <w:t>Ninguna técnica avanzada entra sin elegibilidad, ubicación exacta y presupuesto de fatiga.</w:t>
      </w:r>
    </w:p>
    <w:p>
      <w:pPr>
        <w:pStyle w:val="ListBullet"/>
        <w:spacing w:after="80" w:line="283" w:lineRule="auto"/>
      </w:pPr>
      <w:r>
        <w:rPr>
          <w:rFonts w:ascii="Calibri" w:hAnsi="Calibri"/>
          <w:b w:val="0"/>
          <w:i w:val="0"/>
          <w:color w:val="17212B"/>
          <w:sz w:val="21"/>
        </w:rPr>
        <w:t>El motor distingue al menos novato, intermedio, avanzado, élite, joven, adulto mayor, retorno y necesidades adaptadas sin confundirlos.</w:t>
      </w:r>
    </w:p>
    <w:p>
      <w:pPr>
        <w:pStyle w:val="ListBullet"/>
        <w:spacing w:after="80" w:line="283" w:lineRule="auto"/>
      </w:pPr>
      <w:r>
        <w:rPr>
          <w:rFonts w:ascii="Calibri" w:hAnsi="Calibri"/>
          <w:b w:val="0"/>
          <w:i w:val="0"/>
          <w:color w:val="17212B"/>
          <w:sz w:val="21"/>
        </w:rPr>
        <w:t>Las divisiones competitivas no son presets: modifican prioridades dentro de una fase.</w:t>
      </w:r>
    </w:p>
    <w:p>
      <w:pPr>
        <w:pStyle w:val="ListBullet"/>
        <w:spacing w:after="80" w:line="283" w:lineRule="auto"/>
      </w:pPr>
      <w:r>
        <w:rPr>
          <w:rFonts w:ascii="Calibri" w:hAnsi="Calibri"/>
          <w:b w:val="0"/>
          <w:i w:val="0"/>
          <w:color w:val="17212B"/>
          <w:sz w:val="21"/>
        </w:rPr>
        <w:t>El entrenador puede cambiar cualquier decisión y el sistema registra el porqué.</w:t>
      </w:r>
    </w:p>
    <w:p>
      <w:pPr>
        <w:pStyle w:val="ListBullet"/>
        <w:spacing w:after="80" w:line="283" w:lineRule="auto"/>
      </w:pPr>
      <w:r>
        <w:rPr>
          <w:rFonts w:ascii="Calibri" w:hAnsi="Calibri"/>
          <w:b w:val="0"/>
          <w:i w:val="0"/>
          <w:color w:val="17212B"/>
          <w:sz w:val="21"/>
        </w:rPr>
        <w:t>La interfaz permite completar un caso normal sin abrir opciones avanzadas y revisar un caso complejo sin ocultar alertas.</w:t>
      </w:r>
    </w:p>
    <w:p>
      <w:pPr>
        <w:pStyle w:val="Heading1"/>
        <w:keepNext/>
      </w:pPr>
      <w:r>
        <w:t>9. Mensaje maestro para continuar en otra conversación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EAF5EF"/>
          </w:tcPr>
          <w:p>
            <w:pPr>
              <w:spacing w:after="40"/>
            </w:pPr>
            <w:r>
              <w:rPr>
                <w:rFonts w:ascii="Calibri" w:hAnsi="Calibri"/>
                <w:b/>
                <w:i w:val="0"/>
                <w:color w:val="236B4E"/>
                <w:sz w:val="22"/>
              </w:rPr>
              <w:t>Cómo usarlo</w:t>
            </w:r>
          </w:p>
          <w:p>
            <w:pPr>
              <w:spacing w:after="0" w:line="276" w:lineRule="auto"/>
            </w:pPr>
            <w:r>
              <w:rPr>
                <w:rFonts w:ascii="Calibri" w:hAnsi="Calibri"/>
                <w:b w:val="0"/>
                <w:i w:val="0"/>
                <w:color w:val="17212B"/>
                <w:sz w:val="20"/>
              </w:rPr>
              <w:t>Copiar desde 'INICIO DEL MENSAJE' hasta 'FIN DEL MENSAJE'. Este mensaje pide leer el repositorio y presentar un plan antes de modificar el motor.</w:t>
            </w:r>
          </w:p>
        </w:tc>
      </w:tr>
    </w:tbl>
    <w:p>
      <w:pPr>
        <w:spacing w:after="40"/>
      </w:pPr>
    </w:p>
    <w:p>
      <w:pPr>
        <w:keepLines w:val="0"/>
        <w:spacing w:after="120" w:line="259" w:lineRule="auto"/>
      </w:pPr>
      <w:r>
        <w:rPr>
          <w:rFonts w:ascii="Consolas" w:hAnsi="Consolas"/>
          <w:b w:val="0"/>
          <w:i w:val="0"/>
          <w:color w:val="17212B"/>
          <w:sz w:val="18"/>
        </w:rPr>
        <w:t>INICIO DEL MENSAJE</w:t>
      </w:r>
    </w:p>
    <w:p>
      <w:pPr>
        <w:keepLines w:val="0"/>
        <w:spacing w:after="120" w:line="259" w:lineRule="auto"/>
      </w:pPr>
      <w:r>
        <w:rPr>
          <w:rFonts w:ascii="Consolas" w:hAnsi="Consolas"/>
          <w:b w:val="0"/>
          <w:i w:val="0"/>
          <w:color w:val="17212B"/>
          <w:sz w:val="18"/>
        </w:rPr>
        <w:t>Estás trabajando en C:\dev\VIP, Portal VIP Fitness. Necesito rediseñar el generador y la Varita VIP para que las rutinas se construyan mediante protocolos explicables y una entrevista real, no con presets genéricos ni un prompt libre.</w:t>
      </w:r>
    </w:p>
    <w:p>
      <w:pPr>
        <w:keepLines w:val="0"/>
        <w:spacing w:after="120" w:line="259" w:lineRule="auto"/>
      </w:pPr>
      <w:r>
        <w:rPr>
          <w:rFonts w:ascii="Consolas" w:hAnsi="Consolas"/>
          <w:b w:val="0"/>
          <w:i w:val="0"/>
          <w:color w:val="17212B"/>
          <w:sz w:val="18"/>
        </w:rPr>
        <w:t>Antes de escribir código:</w:t>
        <w:br/>
        <w:t>1) Lee AGENTS.md y la documentación relevante de Next.js 16.2.12 en node_modules/next/dist/docs/.</w:t>
        <w:br/>
        <w:t>2) Lee docs/PROYECTO_MOTOR_RUTINAS_VIP_2_0.docx, docs/VIP_METHOD_RULEBOOK.md, docs/GENERADOR_RUTINAS_VIP.md, src/lib/generador-rutinas/tipos.ts, motor.ts, validador-semanal.ts, niveles-armado.ts, src/lib/perfil-alumno/ficha.ts, GeneradorRutinasPanel.tsx, ArmarRutinaPanel.tsx y RutinaDraftEditor.tsx.</w:t>
        <w:br/>
        <w:t>3) Inspecciona el historial y los cambios no confirmados. No borres ni sobrescribas trabajo ajeno.</w:t>
        <w:br/>
        <w:t>4) Preséntame primero el proyecto concreto: datos, preguntas, reglas, migraciones, interfaz, pruebas, riesgos y plan de reversión. No ejecutes la sustitución hasta que yo la apruebe.</w:t>
      </w:r>
    </w:p>
    <w:p>
      <w:pPr>
        <w:keepLines w:val="0"/>
        <w:spacing w:after="120" w:line="259" w:lineRule="auto"/>
      </w:pPr>
      <w:r>
        <w:rPr>
          <w:rFonts w:ascii="Consolas" w:hAnsi="Consolas"/>
          <w:b w:val="0"/>
          <w:i w:val="0"/>
          <w:color w:val="17212B"/>
          <w:sz w:val="18"/>
        </w:rPr>
        <w:t>Arquitectura obligatoria:</w:t>
        <w:br/>
        <w:t>- Mantener ejercicios activos con IDs reales, prohibidos, trazabilidad y aprobación del entrenador.</w:t>
        <w:br/>
        <w:t>- Separar población/contexto, capacidad funcional, experiencia, objetivo, competición/fase y entorno. No mezclar senior, Olympia y principiante en una sola escala.</w:t>
        <w:br/>
        <w:t>- La edad sola no prescribe: 30 años no es una categoría especial. Para mayores, ajustar por función, riesgo y respuesta.</w:t>
        <w:br/>
        <w:t>- Discapacidad no es un preset: preguntar función, acceso, transferencia, tronco, agarre, rango, sensibilidad, fatiga, comunicación y ayudas relevantes.</w:t>
        <w:br/>
        <w:t>- Incluir ramas para jóvenes, adultos mayores, retorno, condiciones/alta, atletas adaptados y competidores.</w:t>
        <w:br/>
        <w:t>- La seguridad decide habilitado, revisión o bloqueo. El sistema no diagnostica ni prescribe rehabilitación.</w:t>
        <w:br/>
        <w:t>- Preguntar objetivo primario/secundario, plazo, entrenamiento de las últimas 4-6 semanas, series por músculo, cargas/reps/RIR, recuperación, actividad concurrente, disponibilidad, equipo, preferencias y métricas.</w:t>
        <w:br/>
        <w:t>- Para competición: división IFBB/Olympia, nivel, fecha, fase, puntos débiles, calendario y equipo de apoyo. La categoría orienta prioridades; no entrega una rutina.</w:t>
        <w:br/>
        <w:t>- Calcular la dosis antes del split. Partir del volumen reciente y usar la evidencia como rango inicial.</w:t>
        <w:br/>
        <w:t>- Referencias: ACSM 2026; IUSCA 2021; NSCA jóvenes y mayores; OMS discapacidad. En hipertrofia, ~10 series/semana es referencia, no obligación universal; repartir volúmenes altos y evitar concentrar &gt;~10 series por músculo/sesión sin justificación. Multiarticulares suelen requerir &gt;=2 min; uniarticulares/máquinas 60-90 s. Fallo y técnicas avanzadas son opcionales y dosificados.</w:t>
        <w:br/>
        <w:t>- Seleccionar por slots biomecánicos y luego por ejercicios de la biblioteca. No inventar nombres.</w:t>
        <w:br/>
        <w:t>- Salida: resumen del caso, dosis semanal por músculo, días, ejercicios con ID, series, reps/carga, RIR, descanso, técnica, sustitutos, progresión, alertas y explicación de decisiones.</w:t>
        <w:br/>
        <w:t>- IA solo interpreta observaciones y explica. Las restricciones, dosis y validación son deterministas.</w:t>
      </w:r>
    </w:p>
    <w:p>
      <w:pPr>
        <w:keepLines w:val="0"/>
        <w:spacing w:after="120" w:line="259" w:lineRule="auto"/>
      </w:pPr>
      <w:r>
        <w:rPr>
          <w:rFonts w:ascii="Consolas" w:hAnsi="Consolas"/>
          <w:b w:val="0"/>
          <w:i w:val="0"/>
          <w:color w:val="17212B"/>
          <w:sz w:val="18"/>
        </w:rPr>
        <w:t>Escuelas y atletas:</w:t>
        <w:br/>
        <w:t>- Mentzer/Heavy Duty = bajo volumen y esfuerzo muy alto; solo protocolo avanzado elegible, nunca default.</w:t>
        <w:br/>
        <w:t>- Arnold = volumen/frecuencia altos y superseries; solo si la dosis previa y recuperación lo toleran.</w:t>
        <w:br/>
        <w:t>- Chris Bumstead y campeones actuales = referencias de categoría/estética, no plantillas copiables.</w:t>
        <w:br/>
        <w:t>- No usar nombres de atletas para justificar automáticamente más volumen, fallo o técnicas.</w:t>
      </w:r>
    </w:p>
    <w:p>
      <w:pPr>
        <w:keepLines w:val="0"/>
        <w:spacing w:after="120" w:line="259" w:lineRule="auto"/>
      </w:pPr>
      <w:r>
        <w:rPr>
          <w:rFonts w:ascii="Consolas" w:hAnsi="Consolas"/>
          <w:b w:val="0"/>
          <w:i w:val="0"/>
          <w:color w:val="17212B"/>
          <w:sz w:val="18"/>
        </w:rPr>
        <w:t>Interfaz:</w:t>
        <w:br/>
        <w:t>- Unificar Generador, Armar rutina y Varita en un estudio coherente con modo Asistido o Manual.</w:t>
        <w:br/>
        <w:t>- Una decisión principal por paso; resumen fijo; opciones avanzadas bajo demanda; texto legible y alto contraste.</w:t>
        <w:br/>
        <w:t>- Conservar la navegación inferior móvil y el panel lateral estable de escritorio. No reintroducir el panel de abrir/cerrar rechazado.</w:t>
        <w:br/>
        <w:t>- Mostrar primero dosis y recuperación; después estructura y ejercicios.</w:t>
      </w:r>
    </w:p>
    <w:p>
      <w:pPr>
        <w:keepLines w:val="0"/>
        <w:spacing w:after="120" w:line="259" w:lineRule="auto"/>
      </w:pPr>
      <w:r>
        <w:rPr>
          <w:rFonts w:ascii="Consolas" w:hAnsi="Consolas"/>
          <w:b w:val="0"/>
          <w:i w:val="0"/>
          <w:color w:val="17212B"/>
          <w:sz w:val="18"/>
        </w:rPr>
        <w:t>Migración:</w:t>
        <w:br/>
        <w:t>- No eliminar V1 primero. Crear V2 en paralelo, usar modo sombra y casos dorados basados en correcciones reales del entrenador.</w:t>
        <w:br/>
        <w:t>- Comparar V1/V2, probar casos normales y de borde, y mantener bandera de reversión.</w:t>
        <w:br/>
        <w:t>- No publicar ni aplicar migraciones en producción sin autorización explícita.</w:t>
      </w:r>
    </w:p>
    <w:p>
      <w:pPr>
        <w:keepLines w:val="0"/>
        <w:spacing w:after="120" w:line="259" w:lineRule="auto"/>
      </w:pPr>
      <w:r>
        <w:rPr>
          <w:rFonts w:ascii="Consolas" w:hAnsi="Consolas"/>
          <w:b w:val="0"/>
          <w:i w:val="0"/>
          <w:color w:val="17212B"/>
          <w:sz w:val="18"/>
        </w:rPr>
        <w:t>Tu primera respuesta debe ser un proyecto para aprobación con: qué conservar, qué reemplazar, preguntas exactas, modelo de datos, algoritmo, wireframe textual, fases, pruebas y decisiones que todavía requieran criterio de Alejandro. Cierra con un resumen corto y coloquial.</w:t>
      </w:r>
    </w:p>
    <w:p>
      <w:pPr>
        <w:keepLines w:val="0"/>
        <w:spacing w:after="120" w:line="259" w:lineRule="auto"/>
      </w:pPr>
      <w:r>
        <w:rPr>
          <w:rFonts w:ascii="Consolas" w:hAnsi="Consolas"/>
          <w:b w:val="0"/>
          <w:i w:val="0"/>
          <w:color w:val="17212B"/>
          <w:sz w:val="18"/>
        </w:rPr>
        <w:t>FIN DEL MENSAJE</w:t>
      </w:r>
    </w:p>
    <w:p>
      <w:pPr>
        <w:pStyle w:val="Heading1"/>
        <w:keepNext/>
      </w:pPr>
      <w:r>
        <w:t>10. Decisiones que Alejandro debe aprobar</w:t>
      </w:r>
    </w:p>
    <w:p>
      <w:pPr>
        <w:pStyle w:val="ListNumber"/>
        <w:spacing w:after="100" w:line="283" w:lineRule="auto"/>
      </w:pPr>
      <w:r>
        <w:rPr>
          <w:rFonts w:ascii="Calibri" w:hAnsi="Calibri"/>
          <w:b w:val="0"/>
          <w:i w:val="0"/>
          <w:color w:val="17212B"/>
          <w:sz w:val="21"/>
        </w:rPr>
        <w:t>¿Aprobamos construir V2 en paralelo y no borrar V1 hasta compararlo?</w:t>
      </w:r>
    </w:p>
    <w:p>
      <w:pPr>
        <w:pStyle w:val="ListNumber"/>
        <w:spacing w:after="100" w:line="283" w:lineRule="auto"/>
      </w:pPr>
      <w:r>
        <w:rPr>
          <w:rFonts w:ascii="Calibri" w:hAnsi="Calibri"/>
          <w:b w:val="0"/>
          <w:i w:val="0"/>
          <w:color w:val="17212B"/>
          <w:sz w:val="21"/>
        </w:rPr>
        <w:t>¿Qué poblaciones atiende hoy VIP y cuáles deben quedar inicialmente en modo 'requiere especialista' (por ejemplo embarazo/posparto o ciertas condiciones)?</w:t>
      </w:r>
    </w:p>
    <w:p>
      <w:pPr>
        <w:pStyle w:val="ListNumber"/>
        <w:spacing w:after="100" w:line="283" w:lineRule="auto"/>
      </w:pPr>
      <w:r>
        <w:rPr>
          <w:rFonts w:ascii="Calibri" w:hAnsi="Calibri"/>
          <w:b w:val="0"/>
          <w:i w:val="0"/>
          <w:color w:val="17212B"/>
          <w:sz w:val="21"/>
        </w:rPr>
        <w:t>¿Qué 15-30 rutinas corregidas representan el estándar VIP y pueden convertirse en casos dorados anonimizados?</w:t>
      </w:r>
    </w:p>
    <w:p>
      <w:pPr>
        <w:pStyle w:val="ListNumber"/>
        <w:spacing w:after="100" w:line="283" w:lineRule="auto"/>
      </w:pPr>
      <w:r>
        <w:rPr>
          <w:rFonts w:ascii="Calibri" w:hAnsi="Calibri"/>
          <w:b w:val="0"/>
          <w:i w:val="0"/>
          <w:color w:val="17212B"/>
          <w:sz w:val="21"/>
        </w:rPr>
        <w:t>¿Qué métricas usarás para decir 'esta rutina es correcta': cobertura, volumen, orden, exigencia, tiempo, adherencia, progresión u otras?</w:t>
      </w:r>
    </w:p>
    <w:p>
      <w:pPr>
        <w:pStyle w:val="ListNumber"/>
        <w:spacing w:after="100" w:line="283" w:lineRule="auto"/>
      </w:pPr>
      <w:r>
        <w:rPr>
          <w:rFonts w:ascii="Calibri" w:hAnsi="Calibri"/>
          <w:b w:val="0"/>
          <w:i w:val="0"/>
          <w:color w:val="17212B"/>
          <w:sz w:val="21"/>
        </w:rPr>
        <w:t>¿Qué volumen semanal inicial consideras propio del Método VIP para novato, intermedio, avanzado y competidor, antes de individualizar?</w:t>
      </w:r>
    </w:p>
    <w:p>
      <w:pPr>
        <w:pStyle w:val="ListNumber"/>
        <w:spacing w:after="100" w:line="283" w:lineRule="auto"/>
      </w:pPr>
      <w:r>
        <w:rPr>
          <w:rFonts w:ascii="Calibri" w:hAnsi="Calibri"/>
          <w:b w:val="0"/>
          <w:i w:val="0"/>
          <w:color w:val="17212B"/>
          <w:sz w:val="21"/>
        </w:rPr>
        <w:t>¿Cuántas exposiciones al fallo y técnicas de intensidad aceptarías por sesión y semana en cada nivel?</w:t>
      </w:r>
    </w:p>
    <w:p>
      <w:pPr>
        <w:pStyle w:val="ListNumber"/>
        <w:spacing w:after="100" w:line="283" w:lineRule="auto"/>
      </w:pPr>
      <w:r>
        <w:rPr>
          <w:rFonts w:ascii="Calibri" w:hAnsi="Calibri"/>
          <w:b w:val="0"/>
          <w:i w:val="0"/>
          <w:color w:val="17212B"/>
          <w:sz w:val="21"/>
        </w:rPr>
        <w:t>¿Aprobamos el flujo visual único Asistido/Manual y retiramos la duplicación actual después de probarlo?</w:t>
      </w:r>
    </w:p>
    <w:p>
      <w:r>
        <w:br w:type="page"/>
      </w:r>
    </w:p>
    <w:p>
      <w:pPr>
        <w:pStyle w:val="Heading1"/>
        <w:keepNext/>
      </w:pPr>
      <w:r>
        <w:t>Resumen coloquial</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FF8E8"/>
          </w:tcPr>
          <w:p>
            <w:pPr>
              <w:spacing w:after="40"/>
            </w:pPr>
            <w:r>
              <w:rPr>
                <w:rFonts w:ascii="Calibri" w:hAnsi="Calibri"/>
                <w:b/>
                <w:i w:val="0"/>
                <w:color w:val="7A5A00"/>
                <w:sz w:val="22"/>
              </w:rPr>
              <w:t>En corto</w:t>
            </w:r>
          </w:p>
          <w:p>
            <w:pPr>
              <w:spacing w:after="0" w:line="276" w:lineRule="auto"/>
            </w:pPr>
            <w:r>
              <w:rPr>
                <w:rFonts w:ascii="Calibri" w:hAnsi="Calibri"/>
                <w:b w:val="0"/>
                <w:i w:val="0"/>
                <w:color w:val="17212B"/>
                <w:sz w:val="20"/>
              </w:rPr>
              <w:t>Hoy el sistema pregunta demasiado por estilos y muy poco por lo que la persona viene tolerando. La nueva versión primero entiende a la persona, después calcula cuánto trabajo necesita, luego reparte la semana y recién al final elige ejercicios. Arnold, Mentzer o Bumstead sirven como inspiración, pero no mandan sobre la seguridad ni la dosis. El motor actual se conserva mientras probamos el nuevo; tú apruebas antes de reemplazarlo.</w:t>
            </w:r>
          </w:p>
        </w:tc>
      </w:tr>
    </w:tbl>
    <w:p>
      <w:pPr>
        <w:spacing w:after="40"/>
      </w:pPr>
    </w:p>
    <w:p>
      <w:pPr>
        <w:pStyle w:val="Heading1"/>
        <w:keepNext/>
      </w:pPr>
      <w:r>
        <w:t>Fuentes principales</w:t>
      </w:r>
    </w:p>
    <w:p>
      <w:pPr>
        <w:spacing w:after="100"/>
      </w:pPr>
      <w:r>
        <w:rPr>
          <w:rFonts w:ascii="Calibri" w:hAnsi="Calibri"/>
          <w:b w:val="0"/>
          <w:i w:val="0"/>
          <w:color w:val="17212B"/>
          <w:sz w:val="18"/>
        </w:rPr>
        <w:t xml:space="preserve">[S1] ACSM. Resistance Training Prescription for Muscle Function, Hypertrophy, and Physical Performance (2026), material oficial. </w:t>
      </w:r>
      <w:hyperlink r:id="rId11">
        <w:r>
          <w:rPr>
            <w:color w:val="2E74B5"/>
            <w:u w:val="single"/>
          </w:rPr>
          <w:t>Abrir fuente</w:t>
        </w:r>
      </w:hyperlink>
    </w:p>
    <w:p>
      <w:pPr>
        <w:spacing w:after="100"/>
      </w:pPr>
      <w:r>
        <w:rPr>
          <w:rFonts w:ascii="Calibri" w:hAnsi="Calibri"/>
          <w:b w:val="0"/>
          <w:i w:val="0"/>
          <w:color w:val="17212B"/>
          <w:sz w:val="18"/>
        </w:rPr>
        <w:t xml:space="preserve">[S2] ACSM. Infografía oficial: Creating an Effective Resistance Training Plan (2026). </w:t>
      </w:r>
      <w:hyperlink r:id="rId12">
        <w:r>
          <w:rPr>
            <w:color w:val="2E74B5"/>
            <w:u w:val="single"/>
          </w:rPr>
          <w:t>Abrir fuente</w:t>
        </w:r>
      </w:hyperlink>
    </w:p>
    <w:p>
      <w:pPr>
        <w:spacing w:after="100"/>
      </w:pPr>
      <w:r>
        <w:rPr>
          <w:rFonts w:ascii="Calibri" w:hAnsi="Calibri"/>
          <w:b w:val="0"/>
          <w:i w:val="0"/>
          <w:color w:val="17212B"/>
          <w:sz w:val="18"/>
        </w:rPr>
        <w:t xml:space="preserve">[S3] IUSCA Position Stand. Resistance Training Recommendations to Maximize Muscle Hypertrophy in an Athletic Population (2021). </w:t>
      </w:r>
      <w:hyperlink r:id="rId13">
        <w:r>
          <w:rPr>
            <w:color w:val="2E74B5"/>
            <w:u w:val="single"/>
          </w:rPr>
          <w:t>Abrir fuente</w:t>
        </w:r>
      </w:hyperlink>
    </w:p>
    <w:p>
      <w:pPr>
        <w:spacing w:after="100"/>
      </w:pPr>
      <w:r>
        <w:rPr>
          <w:rFonts w:ascii="Calibri" w:hAnsi="Calibri"/>
          <w:b w:val="0"/>
          <w:i w:val="0"/>
          <w:color w:val="17212B"/>
          <w:sz w:val="18"/>
        </w:rPr>
        <w:t xml:space="preserve">[S4] NSCA Position Statement. Resistance Training for Older Adults (2019). </w:t>
      </w:r>
      <w:hyperlink r:id="rId14">
        <w:r>
          <w:rPr>
            <w:color w:val="2E74B5"/>
            <w:u w:val="single"/>
          </w:rPr>
          <w:t>Abrir fuente</w:t>
        </w:r>
      </w:hyperlink>
    </w:p>
    <w:p>
      <w:pPr>
        <w:spacing w:after="100"/>
      </w:pPr>
      <w:r>
        <w:rPr>
          <w:rFonts w:ascii="Calibri" w:hAnsi="Calibri"/>
          <w:b w:val="0"/>
          <w:i w:val="0"/>
          <w:color w:val="17212B"/>
          <w:sz w:val="18"/>
        </w:rPr>
        <w:t xml:space="preserve">[S5] NSCA Position Statement. Youth Resistance Training (2009). </w:t>
      </w:r>
      <w:hyperlink r:id="rId15">
        <w:r>
          <w:rPr>
            <w:color w:val="2E74B5"/>
            <w:u w:val="single"/>
          </w:rPr>
          <w:t>Abrir fuente</w:t>
        </w:r>
      </w:hyperlink>
    </w:p>
    <w:p>
      <w:pPr>
        <w:spacing w:after="100"/>
      </w:pPr>
      <w:r>
        <w:rPr>
          <w:rFonts w:ascii="Calibri" w:hAnsi="Calibri"/>
          <w:b w:val="0"/>
          <w:i w:val="0"/>
          <w:color w:val="17212B"/>
          <w:sz w:val="18"/>
        </w:rPr>
        <w:t xml:space="preserve">[S6] WHO Guidelines on Physical Activity and Sedentary Behaviour: disability and older adults. </w:t>
      </w:r>
      <w:hyperlink r:id="rId16">
        <w:r>
          <w:rPr>
            <w:color w:val="2E74B5"/>
            <w:u w:val="single"/>
          </w:rPr>
          <w:t>Abrir fuente</w:t>
        </w:r>
      </w:hyperlink>
    </w:p>
    <w:p>
      <w:pPr>
        <w:spacing w:after="100"/>
      </w:pPr>
      <w:r>
        <w:rPr>
          <w:rFonts w:ascii="Calibri" w:hAnsi="Calibri"/>
          <w:b w:val="0"/>
          <w:i w:val="0"/>
          <w:color w:val="17212B"/>
          <w:sz w:val="18"/>
        </w:rPr>
        <w:t xml:space="preserve">[S7] ACSM. Updating ACSM's Recommendations for Exercise Preparticipation Health Screening (2015). </w:t>
      </w:r>
      <w:hyperlink r:id="rId17">
        <w:r>
          <w:rPr>
            <w:color w:val="2E74B5"/>
            <w:u w:val="single"/>
          </w:rPr>
          <w:t>Abrir fuente</w:t>
        </w:r>
      </w:hyperlink>
    </w:p>
    <w:p>
      <w:pPr>
        <w:spacing w:after="100"/>
      </w:pPr>
      <w:r>
        <w:rPr>
          <w:rFonts w:ascii="Calibri" w:hAnsi="Calibri"/>
          <w:b w:val="0"/>
          <w:i w:val="0"/>
          <w:color w:val="17212B"/>
          <w:sz w:val="18"/>
        </w:rPr>
        <w:t xml:space="preserve">[S8] IFBB Pro League. Pro Competition Rules (consultado 2026-08-11). </w:t>
      </w:r>
      <w:hyperlink r:id="rId18">
        <w:r>
          <w:rPr>
            <w:color w:val="2E74B5"/>
            <w:u w:val="single"/>
          </w:rPr>
          <w:t>Abrir fuente</w:t>
        </w:r>
      </w:hyperlink>
    </w:p>
    <w:p>
      <w:pPr>
        <w:spacing w:after="100"/>
      </w:pPr>
      <w:r>
        <w:rPr>
          <w:rFonts w:ascii="Calibri" w:hAnsi="Calibri"/>
          <w:b w:val="0"/>
          <w:i w:val="0"/>
          <w:color w:val="17212B"/>
          <w:sz w:val="18"/>
        </w:rPr>
        <w:t xml:space="preserve">[S9] IFBB Pro League. NPC Worldwide Rules (consultado 2026-08-11). </w:t>
      </w:r>
      <w:hyperlink r:id="rId19">
        <w:r>
          <w:rPr>
            <w:color w:val="2E74B5"/>
            <w:u w:val="single"/>
          </w:rPr>
          <w:t>Abrir fuente</w:t>
        </w:r>
      </w:hyperlink>
    </w:p>
    <w:p>
      <w:pPr>
        <w:spacing w:after="100"/>
      </w:pPr>
      <w:r>
        <w:rPr>
          <w:rFonts w:ascii="Calibri" w:hAnsi="Calibri"/>
          <w:b w:val="0"/>
          <w:i w:val="0"/>
          <w:color w:val="17212B"/>
          <w:sz w:val="18"/>
        </w:rPr>
        <w:t xml:space="preserve">[S10] Olympia Weekend 2026. Pre-Judging schedule and divisions. </w:t>
      </w:r>
      <w:hyperlink r:id="rId20">
        <w:r>
          <w:rPr>
            <w:color w:val="2E74B5"/>
            <w:u w:val="single"/>
          </w:rPr>
          <w:t>Abrir fuente</w:t>
        </w:r>
      </w:hyperlink>
    </w:p>
    <w:p>
      <w:pPr>
        <w:spacing w:after="100"/>
      </w:pPr>
      <w:r>
        <w:rPr>
          <w:rFonts w:ascii="Calibri" w:hAnsi="Calibri"/>
          <w:b w:val="0"/>
          <w:i w:val="0"/>
          <w:color w:val="17212B"/>
          <w:sz w:val="18"/>
        </w:rPr>
        <w:t xml:space="preserve">[S11] IFBB Pro League. Official 2025 Olympia results. </w:t>
      </w:r>
      <w:hyperlink r:id="rId21">
        <w:r>
          <w:rPr>
            <w:color w:val="2E74B5"/>
            <w:u w:val="single"/>
          </w:rPr>
          <w:t>Abrir fuente</w:t>
        </w:r>
      </w:hyperlink>
    </w:p>
    <w:sectPr w:rsidR="00FC693F" w:rsidRPr="0006063C" w:rsidSect="00034616">
      <w:headerReference w:type="default" r:id="rId9"/>
      <w:footerReference w:type="default" r:id="rId10"/>
      <w:pgSz w:w="12240" w:h="15840"/>
      <w:pgMar w:top="1224" w:right="1440" w:bottom="1123"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7085"/>
        <w:sz w:val="16"/>
      </w:rPr>
      <w:t>Documento de investigación y proyecto - 11 de agosto de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667085"/>
        <w:sz w:val="16"/>
      </w:rPr>
      <w:t>VIP FITNESS | MOTOR DE RUTINAS 2.0 | PROPUESTA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72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contextualSpacing/>
    </w:pPr>
    <w:rPr>
      <w:rFonts w:ascii="Calibri" w:hAnsi="Calibri"/>
      <w:sz w:val="21"/>
    </w:rPr>
  </w:style>
  <w:style w:type="paragraph" w:styleId="ListBullet2">
    <w:name w:val="List Bullet 2"/>
    <w:basedOn w:val="Normal"/>
    <w:uiPriority w:val="99"/>
    <w:unhideWhenUsed/>
    <w:rsid w:val="00326F90"/>
    <w:pPr>
      <w:numPr>
        <w:numId w:val="2"/>
      </w:numPr>
      <w:spacing w:after="80" w:line="283" w:lineRule="auto"/>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csm.org/wp-content/uploads/2026/03/Pronouncement-ppt-deck_resistance-training-ps.pdf" TargetMode="External"/><Relationship Id="rId12" Type="http://schemas.openxmlformats.org/officeDocument/2006/relationships/hyperlink" Target="https://www.acsm.org/wp-content/uploads/2026/03/Resistance-Training-Position-Stand-infographic.pdf" TargetMode="External"/><Relationship Id="rId13" Type="http://schemas.openxmlformats.org/officeDocument/2006/relationships/hyperlink" Target="https://journal.iusca.org/index.php/Journal/article/download/81/140/5323" TargetMode="External"/><Relationship Id="rId14" Type="http://schemas.openxmlformats.org/officeDocument/2006/relationships/hyperlink" Target="https://www.nsca.com/contentassets/2a4112fb355a4a48853bbafbe070fb8e/resistance_training_for_older_adults__position.1.pdf" TargetMode="External"/><Relationship Id="rId15" Type="http://schemas.openxmlformats.org/officeDocument/2006/relationships/hyperlink" Target="https://www.nsca.com/globalassets/about/position-statements/position_stand_youth_resistance_training---2009.pdf" TargetMode="External"/><Relationship Id="rId16" Type="http://schemas.openxmlformats.org/officeDocument/2006/relationships/hyperlink" Target="https://www.ncbi.nlm.nih.gov/books/NBK566046/" TargetMode="External"/><Relationship Id="rId17" Type="http://schemas.openxmlformats.org/officeDocument/2006/relationships/hyperlink" Target="https://journals.lww.com/acsm-msse/fulltext/2015/11000/updating_acsm_s_recommendations_for_exercise.28.aspx" TargetMode="External"/><Relationship Id="rId18" Type="http://schemas.openxmlformats.org/officeDocument/2006/relationships/hyperlink" Target="https://www.ifbbpro.com/rules/" TargetMode="External"/><Relationship Id="rId19" Type="http://schemas.openxmlformats.org/officeDocument/2006/relationships/hyperlink" Target="https://www.ifbbpro.com/npc-worldwide/rules/" TargetMode="External"/><Relationship Id="rId20" Type="http://schemas.openxmlformats.org/officeDocument/2006/relationships/hyperlink" Target="https://mrolympia.com/Olympia-Pre-Judging" TargetMode="External"/><Relationship Id="rId21" Type="http://schemas.openxmlformats.org/officeDocument/2006/relationships/hyperlink" Target="https://www.ifbbpro.com/competition/2025-joe-weiders-olympia-fitness-performance-weeke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Motor de Rutinas VIP 2.0 - Investigación y proyecto</dc:title>
  <dc:subject>Programación de entrenamiento, poblaciones, culturismo y rediseño del generador VIP</dc:subject>
  <dc:creator>VIP Fitness / Codex</dc:creator>
  <cp:keywords>VIP Fitness, hipertrofia, culturismo, motor de reglas, entrenamiento</cp:keywords>
  <dc:description>generated by python-docx</dc:description>
  <cp:lastModifiedBy/>
  <cp:revision>1</cp:revision>
  <dcterms:created xsi:type="dcterms:W3CDTF">2013-12-23T23:15:00Z</dcterms:created>
  <dcterms:modified xsi:type="dcterms:W3CDTF">2013-12-23T23:15:00Z</dcterms:modified>
  <cp:category/>
</cp:coreProperties>
</file>