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PARTICULAR DE COMPRA E VENDA DE VEÍCULO AUTOMOTOR USADO COM LAUDO CAUTELAR E TRANSFERÊNCIA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Regulado pelos Arts. 481 a 504 do Código Civil Brasileiro e Art. 134 do Código de Trânsito Brasileiro (Lei nº 9.503/1997)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A compra e venda de veículos usados entre particulares exige registro da vistoria prévia e formalização expressa da Comunicação de Venda perante o DETRAN (art. 134 do CTB). Sem a comunicação de venda, o vendedor permanece solidariamente responsável por multas, acidentes e IPVA supervenientes.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Compra e Venda de Veículo Automotor, celebram entre si:</w:t>
        <w:br/>
        <w:br/>
        <w:t>VENDEDOR(A): [NOME COMPLETO DO VENDEDOR], nacionalidade: [NACIONALIDADE], estado civil: [ESTADO CIVIL], profissão: [PROFISSÃO], portador(a) do RG nº [RG], inscrito(a) no CPF/MF sob o nº [CPF], residente e domiciliado(a) na [ENDEREÇO COMPLETO COM CEP], telefone: [TELEFONE];</w:t>
        <w:br/>
        <w:br/>
        <w:t>COMPRADOR(A): [NOME COMPLETO DO COMPRADOR], nacionalidade: [NACIONALIDADE], estado civil: [ESTADO CIVIL], profissão: [PROFISSÃO], portador(a) do RG nº [RG], inscrito(a) no CPF/MF sob o nº [CPF], residente e domiciliado(a) na [ENDEREÇO COMPLETO COM CEP], telefone: [TELEFONE];</w:t>
        <w:br/>
        <w:br/>
        <w:t>Têm entre si, justo e contratado, o que se declara nas cláusulas seguintes: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DA IDENTIFICAÇÃO DO VEÍCULO E ESTADO DE CONSERVAÇÃO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VENDEDOR é o legítimo proprietário do veículo automotor com as seguintes características:</w:t>
        <w:br/>
        <w:t>• Marca/Modelo: [MARCA E MODELO, Ex: Toyota Corolla XEi 2.0 Flex]</w:t>
        <w:br/>
        <w:t>• Ano de Fabricação / Modelo: [ANO/ANO]</w:t>
        <w:br/>
        <w:t>• Placa: [PLACA] | Município/UF: [CIDADE/UF]</w:t>
        <w:br/>
        <w:t>• Renavam: [NÚMERO RENAVAM] | Chassi (VIN): [NÚMERO DO CHASSI]</w:t>
        <w:br/>
        <w:t>• Cor: [COR] | Combustível: [COMBUSTÍVEL] | Quilometragem: [KM] km</w:t>
        <w:br/>
        <w:br/>
        <w:t>1.2. O COMPRADOR declara haver inspecionado detalhadamente a lataria, mecânica, motor, câmbio, tapeçaria e funcionamento elétrico do veículo, inclusive realizando teste de rodagem e vistoria cautelar, aceitando-o no estado de uso e conservação em que se encontra.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DO PREÇO E CONDIÇÕES DE PAGAMENTO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O preço total certo e ajustado da alienação é de R$ [VALOR TOTAL EM REAIS] ([VALOR POR EXTENSO]), a ser pago pelo COMPRADOR da seguinte forma:</w:t>
        <w:br/>
        <w:t>a) Sinal e princípio de pagamento (art. 417 do CC) de R$ [VALOR ENTRADA] ([EXTENSO]), pago neste ato via [PIX / Transferência Bancária];</w:t>
        <w:br/>
        <w:t>b) Saldo remanescente de R$ [VALOR RESTANTE] ([EXTENSO]), a ser liquidado em [DATA / FORMA], condicionado à entrega da ATPV-e assinada.</w:t>
        <w:br/>
        <w:br/>
        <w:t>2.2. O atraso em qualquer parcela sujeitará o COMPRADOR a multa moratória de 10% (dez por cento), juros moratórios de 1% ao mês e correção pelo IPCA.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DA TRADIÇÃO E DA TRANSFERÊNCIA NO DETRAN (ART. 134 CTB)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A posse direta e as chaves do veículo são entregues ao COMPRADOR na data de [DATA DA ENTREGA].</w:t>
        <w:br/>
        <w:br/>
        <w:t>3.2. O COMPRADOR assume a obrigação legal inescusável de transferir o registro de propriedade do veículo para o seu nome perante o DETRAN no prazo improrrogável de até 30 (trinta) dias (art. 123, § 1º, CTB).</w:t>
        <w:br/>
        <w:br/>
        <w:t>3.3. O VENDEDOR protocolará imediatamente a Comunicação de Venda perante o DETRAN, anexando cópia autenticada da ATPV-e, conforme determina o art. 134 do CTB.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DA RESPONSABILIDADE POR DÉBITOS E MULTAS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Todos os débitos tributários (IPVA, DPVAT/SPVAT, Taxa de Licenciamento) e infrações de trânsito ocorridas até a data e hora da efetiva entrega do veículo são de integral responsabilidade do VENDEDOR.</w:t>
        <w:br/>
        <w:br/>
        <w:t>4.2. A partir da tradição (entrega das chaves), todas as multas de trânsito, pontuações na CNH, novos tributos e acidentes automobilísticos com danos materiais ou corporais a terceiros serão de exclusiva responsabilidade civil, criminal e financeira do COMPRADOR.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QUINTA – DA EVICÇÃO E DO FORO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5.1. O VENDEDOR responde pela evicção de direito (arts. 447 e ss. do CC), garantindo que o veículo está livre de gravames fiduciários, bloqueios judiciais (Renajud) ou queixa de furto/roubo.</w:t>
        <w:br/>
        <w:br/>
        <w:t>5.2. Fica eleito o Foro da Comarca de [CIDADE/UF] para dirimir litígios oriundos do presente instrumento.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