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NOTIFICAÇÃO EXTRAJUDICIAL FORMAL DE COBRANÇA E CONSTITUIÇÃO EM MORA COM PRAZO IMPRETERÍVEL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Expedida nos Termos dos Artigos 394 a 397 do Código Civil Brasileiro para Fins de Protesto e Ação Judicial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notificação extrajudicial comprova a ciência inequívoca do devedor e a constituição formal em mora. Serve como pressuposto processual probatório para ajuizamento de ações de cobrança, monitórias ou rescisão contratual com perdas e danos.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À(AO) NOTIFICADA(O):</w:t>
        <w:br/>
        <w:t>Nome/Razão Social: [NOME DO DEVEDOR NOTIFICADO]</w:t>
        <w:br/>
        <w:t>CPF/CNPJ nº: [DOCUMENTO]</w:t>
        <w:br/>
        <w:t>Endereço: [ENDEREÇO COMPLETO COM CEP]</w:t>
        <w:br/>
        <w:br/>
        <w:t>NOTIFICANTE:</w:t>
        <w:br/>
        <w:t>Nome/Razão Social: [NOME DO CREDOR NOTIFICANTE], inscrito(a) no CPF/CNPJ sob o nº [DOCUMENTO], com domicílio na [ENDEREÇO COMPLETO];</w:t>
        <w:br/>
        <w:br/>
        <w:t>Serve a presente para NOTIFICAR FORMALMENTE V. Sa. nos seguintes termos: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DOS FATOS E DO DÉBITO DISCRIMINADO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Conforme registros e instrumentos em posse do NOTIFICANTE, V. Sa. encontra-se inadimplente com o adimplemento da obrigação decorrente de [DESCREVER: contrato nº X / prestação de serviço / notas fiscais].</w:t>
        <w:br/>
        <w:br/>
        <w:t>1.2. O montante do débito em aberto perfaz a quantia consolidada de R$ [VALOR ATUALIZADO EM REAIS] ([EXTENSO]), compreendendo valor principal, atualização monetária e juros moratórios legais.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DA CONSTITUIÇÃO FORMAL EM MORA (ARTS. 394 A 397 DO CÓDIGO CIVIL)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Fica V. Sa. formalmente CONSTITUÍDO(A) EM MORA, para todos os efeitos previstos no ordenamento jurídico nacional, fixando o termo a quo para cômputo contínuo de encargos contratuais e perdas e danos.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3. DO PRAZO DETERMINADO PARA PURGAÇÃO DA MORA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Assina-se o prazo improrrogável de 05 (cinco) dias úteis, contados do recebimento desta, para a quitação do débito mediante pagamento via PIX: [CHAVE PIX] ou depósito na Conta Corrente nº [CONTA], Agência [AGÊNCIA], Banco [BANCO], de titularidade do NOTIFICANTE.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4. DAS MEDIDAS COERCITIVAS E JUDICIAIS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4.1. O transcurso do prazo sem o respectivo adimplemento ensejará o imediato apontamento a protesto no Tabelionato competente, inclusão de restrição cadastral perante os órgãos de proteção ao crédito (SPC/Serasa) e distribuição da competente Ação Judicial com pedido de penhora de bens e contas bancárias (Sisbajud), acrescida de honorários advocatícios sucumbenciais de 20%.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