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INSTRUMENTO DE PROCURAÇÃO COM PODERES ESPECIAIS E EXPRESSOS PARA ALIENAÇÃO E VENDA DE BEM IMÓVEL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Em Cumprimento Obrigatório ao Artigo 661, § 1º, do Código Civil Brasileiro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A alienação de imóvel exige mandato com poderes expressos e especiais (art. 661, § 1º, CC). O imóvel deve estar perfeitamente individualizado por sua matrícula, cartório e dados cadastrais, e as condições mínimas de preço devem constar expressamente para resguardar o patrimônio do outorgante.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OUTORGANTE:</w:t>
        <w:br/>
        <w:t>[NOME COMPLETO DO OUTORGANTE], nacionalidade: [NACIONALIDADE], estado civil: [ESTADO CIVIL - se casado, qualificar cônjuge anuente], profissão: [PROFISSÃO], RG nº [RG], CPF nº [CPF], residente na [ENDEREÇO COMPLETO];</w:t>
        <w:br/>
        <w:br/>
        <w:t>OUTORGADO:</w:t>
        <w:br/>
        <w:t>[NOME COMPLETO DO OUTORGADO], nacionalidade: [NACIONALIDADE], estado civil: [ESTADO CIVIL], profissão: [PROFISSÃO], RG nº [RG], CPF nº [CPF], residente na [ENDEREÇO COMPLETO];</w:t>
        <w:br/>
        <w:br/>
        <w:t>Pelo presente instrumento, constitui o Outorgado seu bastante procurador para os seguintes fins específicos: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DO OBJETO E INDIVIDUALIZAÇÃO DO IMÓVEL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O mandato é conferido com o PODER EXCLUSIVO de vender, alienar, prometer à venda ou transferir o seguinte imóvel de propriedade do Outorgante:</w:t>
        <w:br/>
        <w:t>• Imóvel: [DESCREVER O BEM, Ex: Apartamento nº X situado na Rua Y, com vaga de garagem Z]</w:t>
        <w:br/>
        <w:t>• Matrícula Registral nº: [NÚMERO DA MATRÍCULA]</w:t>
        <w:br/>
        <w:t>• Cartório de Registro: [OFICIAL DE REGISTRO DE IMÓVEIS DA COMARCA DE X]</w:t>
        <w:br/>
        <w:t>• Inscrição Municipal / IPTU: [NÚMERO CADASTRAL]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DOS PODERES ESPECIAIS E PREÇO MÍNIMO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O procurador poderá fixar o preço de venda, que não poderá ser inferior a R$ [VALOR MÍNIMO EM REAIS] ([VALOR POR EXTENSO]), assinar compromisso de compra e venda preliminar, comparecer ao Cartório de Notas competente e assinar a Escritura Pública Definitiva de Compra e Venda, transmitir a posse e domínio, passar recibo e outorgar quitação, com a obrigação inescusável de depositar o numerário recebido na conta bancária de titularidade do Outorgante.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DO DEVER DE PRESTAÇÃO DE CONTAS E PRAZO DE VALIDADE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O mandatário obriga-se a prestar contas minuciosas da negociação em até 48 horas da formalização da escritura pública (art. 668 do Código Civil). O presente instrumento tem prazo de vigência de [180 DIAS], vedado o substabelecimento.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