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PARTICULAR DE DOAÇÃO DE IMÓVEL COM RESERVA DE USUFRUTO VITALÍCIO E CLÁUSULAS RESTRITIVAS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Regulado pelos Artigos 538 a 564 e Artigos 1.390 a 1.411 do Código Civil Brasileiro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 doação com usufruto transfere a nua-propriedade ao donatário, reservando os direitos de uso, posse e frutos ao doador até sua morte. Para proteção familiar, gravam-se as cláusulas restritivas de inalienabilidade, impenhorabilidade e incomunicabilidade, respeitada sempre a legítima dos herdeiros necessários.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Doação de Bem Imóvel com Reserva de Usufruto, celebram entre si:</w:t>
        <w:br/>
        <w:br/>
        <w:t>DOADOR(A) E USUFRUTUÁRIO(A): [NOME COMPLETO DO DOADOR], inscrito no CPF sob o nº [CPF], RG nº [RG], domiciliado na [ENDEREÇO COMPLETO];</w:t>
        <w:br/>
        <w:br/>
        <w:t>DONATÁRIO(A) E NU-PROPRIETÁRIO(A): [NOME COMPLETO DO DONATÁRIO], inscrito no CPF sob o nº [CPF], RG nº [RG], domiciliado na [ENDEREÇO COMPLETO];</w:t>
        <w:br/>
        <w:br/>
        <w:t>Celebram o presente negócio jurídico consoante as cláusulas seguintes: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DA DOAÇÃO DA NUA-PROPRIEDADE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O(A) DOADOR(A), senhor(a) e legítimo(a) possuidor(a) do imóvel situado na [ENDEREÇO DO IMÓVEL], objeto da Matrícula Registral nº [NÚMERO DA MATRÍCULA] do Cartório de Registro de Imóveis de [CIDADE/UF], DOA livremente ao DONATÁRIO a NUA-PROPRIEDADE do referido imóvel, o qual declara que aceita a liberalidade.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DA RESERVA DE USUFRUTO VITALÍCIO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O(A) DOADOR(A) RESERVA PARA SI O USUFRUTO VITALÍCIO do referido imóvel (art. 1.390 do Código Civil), competindo-lhe exclusivamente a posse direta, uso, gozo e percepção integral de todos os frutos e rendimentos que o bem produzir até a data de seu passamento.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DAS CLÁUSULAS RESTRITIVAS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 nua-propriedade ora transferida fica gravada com as cláusulas de INALIENABILIDADE, IMPENHORABILIDADE E INCOMUNICABILIDADE enquanto viver o doador, não respondendo o bem por dívidas do donatário nem se comunicando a eventual cônjuge ou convivente sob qualquer regime de bens.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DA PRESERVAÇÃO DA LEGÍTIMA E ESCRITURA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O DOADOR declara que a doação não excede a parte disponível do seu patrimônio, resguardando a legítima dos herdeiros necessários (art. 549 e 1.789 do Código Civil).</w:t>
        <w:br/>
        <w:br/>
        <w:t>4.2. As partes comprometem-se a instrumentalizar a doação por Escritura Pública para fins de registro imobiliário com força erga omnes (art. 108 do Código Civil).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