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LOCAÇÃO RESIDENCIAL COM GARANTIAS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1: Transações Imobiliárias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É expressamente proibido exigir mais de uma modalidade de garantia para o mesmo contrato (Art. 37, parágrafo único, Lei 8.245/91).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LOCADOR(A): [NOME COMPLETO], RG [RG], CPF [CPF], residente em [ENDEREÇO].</w:t>
        <w:br/>
        <w:t>LOCATÁRIO(A): [NOME COMPLETO], RG [RG], CPF [CPF], residente em [ENDEREÇO].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DO IMÓVEL E DESTINAÇÃO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Locação exclusiva para moradia no imóvel localizado em [ENDEREÇO COMPLETO], sendo vedada cessão ou sublocação.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 VALOR E REAJUSTE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Aluguel mensal de R$ [VALOR], vencível todo dia [DIA], corrigido anualmente pelo IPCA/IBGE.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TERCEIRA – DA GARANTIA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Para garantia das obrigações, o Locatário presta Caução em dinheiro correspondente a [3] meses de aluguel, totalizando R$ [VALOR], depositada em conta poupança vinculada.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QUARTA – MULTA RESCISÓRIA PROPORCIONAL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Multa equivalente a 3 aluguéis, cobrada de forma estritamente proporcional ao período cumprido (Art. 4º da Lei 8.245/91).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