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ACORDO INDIVIDUAL DE COMPENSAÇÃO DE HORAS E BANCO DE HORAS COM VALIDADE SEMESTRAL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Celebrado nos Termos do Artigo 59, §§ 5º e 6º, da Consolidação das Leis do Trabalho (CLT)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Reforma Trabalhista permite expressamente a pactuação de banco de horas por acordo individual escrito, desde que a compensação ocorra no período máximo de 6 (seis) meses. Horas não compensadas ao término do período devem ser pagas com acréscimo de 50%.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de Acordo Individual de Compensação e Banco de Horas, celebram entre si EMPREGADOR e EMPREGADO:</w:t>
        <w:br/>
        <w:br/>
        <w:t>Convencionam as cláusulas a seguir transcritas: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INSTITUIÇÃO DO BANCO DE HORAS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Fica instituído o regime de banco de horas individual, pelo qual o excesso de horas trabalhadas em um dia poderá ser compensado pela diminuição correspondente em outro dia, de modo que não exceda a média semanal nem o limite diário de 10 horas de trabalho (art. 59, § 2º da CLT).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PRAZO DE LIQUIDAÇÃO E RESCISÃO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prazo máximo para compensação das horas acumuladas no banco é de até 6 (seis) meses a contar do mês de realização.</w:t>
        <w:br/>
        <w:br/>
        <w:t>2.2. Não ocorrendo a compensação no prazo semestral ou em caso de rescisão do contrato de trabalho, o saldo positivo de horas será quitado como hora extraordinária com o adicional mínimo de 50% (art. 59, § 3º da CLT).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