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MEMORANDO DE ENTENDIMENTOS (MOU) COM CLÁUSULAS VINCULANTES DE EXCLUSIVIDADE E SIGILO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421 e Seguintes do Código Civil Brasileiro para Fixação de Bases Preliminares de Negócio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Memorando de Entendimentos fixa as premissas e intenções preliminares antes da assinatura dos contratos definitivos de fusão, sociedade ou joint venture. Suas cláusulas de confidencialidade e exclusividade de negociação têm plena eficácia vinculante.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Memorando de Entendimentos (Memorandum of Understanding - MoU), celebram:</w:t>
        <w:br/>
        <w:br/>
        <w:t>PARTE A: [NOME / RAZÃO SOCIAL], CNPJ/CPF nº [DOCUMENTO];</w:t>
        <w:br/>
        <w:br/>
        <w:t>PARTE B: [NOME / RAZÃO SOCIAL], CNPJ/CPF nº [DOCUMENTO];</w:t>
        <w:br/>
        <w:br/>
        <w:t>Considerando que as partes mantêm negociações para [DESCREVER O NEGÓCIO ESPERADO], firmam as premissas preliminares: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PROPÓSITO E NÃO VINCULAÇÃO GERAL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Este Memorando reflete a intenção recíproca das partes de negociar os termos dos instrumentos jurídicos definitivos, não constituindo obrigação de celebração do negócio final caso a auditoria (Due Diligence) aponte inconsistências materiais.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DAS CLÁUSULAS VINCULANTES (EXCLUSIVIDADE E SIGILO)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Permanecem estritamente VINCULANTES e com eficácia obrigatória imediata entre as partes as cláusulas de confidencialidade das informações trocadas e o compromisso de exclusividade de negociação pelo prazo de [60] dias corridos.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