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PARTICULAR DE CONTRATO DE CONVIVÊNCIA E UNIÃO ESTÁVEL COM ESTIPULAÇÃO DE REGIME DE SEPARAÇÃO TOTAL DE BENS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Fundamentado no Artigo 1.725 do Código Civil Brasileiro e Jurisprudência do Superior Tribunal de Justiça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Na união estável, caso não haja contrato escrito estipulando regime diverso, aplica-se o regime da comunhão parcial de bens. O contrato de convivência com separação de bens blinda o patrimônio adquirido individualmente antes e durante a convivência.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Reconhecimento de União Estável e Contrato de Convivência, comparecem:</w:t>
        <w:br/>
        <w:br/>
        <w:t>PRIMEIRO(A) CONVIVENTE: [NOME COMPLETO], CPF nº [CPF], RG nº [RG], domiciliado(a) na [ENDEREÇO];</w:t>
        <w:br/>
        <w:br/>
        <w:t>SEGUNDO(A) CONVIVENTE: [NOME COMPLETO], CPF nº [CPF], RG nº [RG], domiciliado(a) na [ENDEREÇO];</w:t>
        <w:br/>
        <w:br/>
        <w:t>Declarando viverem em união pública, contínua e duradoura com o objetivo de constituir família, ajustam o seguinte: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DA ADOÇÃO DO REGIME DE SEPARAÇÃO TOTAL DE BENS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Em consonância com o art. 1.725 do Código Civil, os conviventes convencionam que a presente união será regida pelo REGIME DA SEPARAÇÃO TOTAL DE BENS.</w:t>
        <w:br/>
        <w:br/>
        <w:t>1.2. Todos os bens móveis, imóveis, contas bancárias, quotas societárias e investimentos adquiridos por cada convivente antes ou durante a vigência desta união permanecerão sob a propriedade, administração e livre disposição exclusiva de quem os adquiriu, sem qualquer direito à meação ou comunicabilidade patrimonial.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DA INDEPENDÊNCIA DAS DÍVIDAS E ALIMENTOS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Cada convivente responderá com seu próprio patrimônio pelas dívidas e encargos que assumir individualmente.</w:t>
        <w:br/>
        <w:br/>
        <w:t>2.2. Em caso de dissolução futura da união estável, ambos renunciam reciprocamente à prestação de alimentos, reconhecendo que ambos possuem plena capacidade laborativa para seu próprio sustento.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