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DISSOLUÇÃO CONSENSUAL DE UNIÃO ESTÁVEL COM PARTILHA DE BENS E ALIMENTOS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Celebrado nos Termos dos Artigos 1.723 a 1.727 e Artigo 840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dissolução consensual por instrumento particular tem plena validade jurídica quando inexistem filhos menores ou incapazes, formalizando a partilha de eventuais bens comuns e a cessação de deveres conjugais.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Dissolução Consensual de União Estável, comparecem os Conviventes [NOME PARTE A] e [NOME PARTE B], ambos devidamente qualificados:</w:t>
        <w:br/>
        <w:br/>
        <w:t>Declaram dissolvida a convivência e estipulam a partilha dos haveres: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EXTINÇÃO CONSENSUAL DA UNIÃO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Os celebrantes declaram extinta e dissolvida a união estável mantida entre ambos, cessando a partir desta data todos os deveres recíprocos de coabitação, mútua assistência e fidelidade.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PARTILHA DE BENS E QUITAÇÃO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patrimônio adquirido durante a constância da união fica partilhado da seguinte forma: [DESCREVER DESTINAÇÃO DE CADA BEM OU VEÍCULO].</w:t>
        <w:br/>
        <w:br/>
        <w:t>2.2. Cumprida a partilha, as partes outorgam-se mútua, plena e irrevogável quitação patrimonial.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