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TRESPASSE E ALIENAÇÃO DE ESTABELECIMENTO EMPRESARIAL E FUNDO DE COMÉRCIO (PONTO COMERCIAL)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1.142 a 1.149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No trespasse, a alienação só produz efeitos perante terceiros após averbação na Junta Comercial. O alienante responde solidariamente pelas dívidas anteriores regularmente contabilizadas pelo prazo de 1 ano (art. 1.146 CC), sendo obrigatória a cláusula de não concorrência (art. 1.147 CC).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Trespasse de Estabelecimento Comercial, celebram:</w:t>
        <w:br/>
        <w:br/>
        <w:t>TRESPASSANTE (VENDEDOR): [RAZÃO SOCIAL DA EMPRESA], CNPJ nº [CNPJ], representada por [NOME DO SÓCIO];</w:t>
        <w:br/>
        <w:br/>
        <w:t>TRESPASSÁRIO (COMPRADOR): [RAZÃO SOCIAL OU NOME DO ADQUIRENTE], CNPJ/CPF nº [DOCUMENTO];</w:t>
        <w:br/>
        <w:br/>
        <w:t>Celebram o presente trespasse nas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ELEMENTOS DO ESTABELECIMENTO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presente instrumento tem por objeto a alienação definitiva do complexo de bens corpóreos e incorpóreos (fundo de comércio, ponto comercial, maquinários, instalações e carteira de clientes) do estabelecimento situado na [ENDEREÇO COMPLETO DO PONTO COMERCIAL], conforme inventário anexo.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CLÁUSULA DE NÃO CONCORRÊNCIA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Em consonância com o art. 1.147 do Código Civil, o ALIENANTE/TRESPASSANTE obriga-se a não fazer concorrência ao ADQUIRENTE no mesmo ramo de atividade econômica, em um raio de [XX] quilômetros, pelo prazo improrrogável de 05 (cinco) anos a contar desta data.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DAS DÍVIDAS E DA REGULARIDADE NA JUNTA COMERCIAL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ADQUIRENTE responde pelos débitos anteriores à transferência desde que regularmente contabilizados no livro diário, continuando o devedor primitivo solidariamente obrigado pelo prazo de um ano (art. 1.146 CC).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