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INSTRUMENTO PARTICULAR DE PROMESSA DE CESSÃO E TRANSFERÊNCIA DE DIREITOS HEREDITÁRIOS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Regulado pelo Artigo 1.793 e Seguintes do Código Civil Brasileiro (Antes da Partilha do Inventário)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A cessão de direitos hereditários formaliza a transferência do quinhão hereditário antes da homologação da partilha no inventário. O herdeiro cedente responde pela existência do crédito da herança mas não pelo valor exato final.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Instrumento Particular de Promessa de Cessão de Direitos Hereditários, comparecem:</w:t>
        <w:br/>
        <w:br/>
        <w:t>CEDENTE (HERDEIRO): [NOME COMPLETO], CPF nº [CPF], herdeiro legítimo do falecido [NOME DO DE CUJUS];</w:t>
        <w:br/>
        <w:br/>
        <w:t>CESSIONÁRIO: [NOME DO ADQUIRENTE], CPF nº [CPF], residente na [ENDEREÇO];</w:t>
        <w:br/>
        <w:br/>
        <w:t>Ajustam as cláusulas a seguir: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DO QUINHÃO E DIREITOS HEREDITÁRIOS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O CEDENTE, na qualidade de sucessor legal nos autos do Inventário nº [NÚMERO DO PROCESSO / OU EXTRAJUDICIAL] em trâmite perante [VARA / CARTÓRIO], cede e transfere ao CESSIONÁRIO a totalidade de sua fração ideal nos bens deixados pelo falecido.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DO PREÇO E HABILITAÇÃO PROCESSUAL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O preço certo da cessão é de R$ [VALOR EM REAIS], ficando o CESSIONÁRIO desde já autorizado a habilitar-se nos autos do inventário para adjudicar o respectivo quinhão (art. 1.793 do Código Civil).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