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SUBLOCAÇÃO DE BEM IMÓVEL COM ANUÊNCIA EXPRESSA DO LOCADOR PROPRIETÁRIO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14 a 16 e Artigo 21 da Lei Federal nº 8.245/1991 (Lei do Inquilinato)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sublocação é expressamente VEDADA sem autorização prévia e escrita do locador proprietário (art. 13 da Lei 8.245/91). O aluguel da sublocação não pode exceder o valor do aluguel principal (art. 21).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Sublocação, comparecem:</w:t>
        <w:br/>
        <w:br/>
        <w:t>SUBLOCADOR: [NOME DO INQUILINO PRINCIPAL], titular da locação originária;</w:t>
        <w:br/>
        <w:br/>
        <w:t>SUBLOCATÁRIO: [NOME DO SUBLOCATÁRIO], CPF nº [CPF];</w:t>
        <w:br/>
        <w:br/>
        <w:t>Com a interveniência anuente do LOCADOR PROPRIETÁRIO, celebram: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AUTORIZAÇÃO ESCRITA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SUBLOCADOR cede em sublocação ao SUBLOCATÁRIO o imóvel (ou parte das dependências) situado na [ENDEREÇO], com a expressa anuência do proprietário, vigorando pelo prazo correspondente ao contrato principal.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VALOR E RESPONSABILIDADE SUBSIDIÁRIA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subaluguel mensal será de R$ [VALOR], respeitado o limite legal do art. 21 da Lei 8.245/91.</w:t>
        <w:br/>
        <w:br/>
        <w:t>2.2. O SUBLOCATÁRIO responde subsidiariamente perante o proprietário pelo cumprimento dos encargos da locação (art. 16 da Lei do Inquilinato).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