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8"/>
        </w:rPr>
        <w:t>GUIA DE ALERTA DE RISCOS E CLÁUSULAS NULAS: COMO BLINDAR NEGÓCIOS IMOBILIÁRIOS E COMERCIAIS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Acervo Andrade &amp; Florio • Material de Apoio Estratégico (Order Bump)</w:t>
      </w:r>
    </w:p>
    <w:p/>
    <w:p>
      <w:pPr>
        <w:pStyle w:val="Heading2"/>
      </w:pPr>
      <w:r>
        <w:t>INTRODUÇÃO: POR QUE 68% DOS CONTRATOS BAIXADOS NA INTERNET GERAM PROCESSOS?</w:t>
      </w:r>
    </w:p>
    <w:p>
      <w:r>
        <w:t>A maioria das pessoas comete o erro fatal de copiar modelos genéricos na internet sem compreender que certas cláusulas são nulas de pleno direito perante o Poder Judiciário. Este guia prático foi elaborado por advogados atuantes para proteger seu patrimônio e alertar sobre as 5 armadilhas mais graves antes de assinar qualquer documento.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RISCO 1: O ERRO FATAL DO 'CONTRATO DE GAVETA' SEM CERTIDÕES PRÉVIAS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Comprar imóvel apenas com contrato particular sem tirar certidões prévias do vendedor é assumir o risco de perder 100% do dinheiro investido. Se o vendedor tiver dívidas trabalhistas ou fiscais em andamento, a Justiça pode anular a venda como FRAUDE CONTRA CREDORES ou FRAUDE À EXECUÇÃO. O comprador perde o imóvel e não recupera o valor pago.</w:t>
        <w:br/>
        <w:t>A REGRA DE OURO: Nunca pague mais de 5% de sinal antes de ter em mãos a Matrícula Atualizada com Certidão de Ônus Reais vintenária e a Certidão Negativa de Ações Cíveis e Trabalhistas do Vendedor.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RISCO 2: CLÁUSULAS DE DUPLA GARANTIA EM LOCAÇÃO SÃO NULAS E CONSTITUEM CONTRAVENÇÃO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Muitos proprietários e imobiliárias despreparadas exigem fiador E depósito caução no mesmo contrato. O Art. 37, parágrafo único, da Lei 8.245/91 proíbe expressamente a duplicidade de garantia no mesmo contrato. Além de a segunda garantia ser sumariamente considerada nula pelo juiz, a prática configura contravenção penal punível com prisão simples de 5 dias a 6 meses ou multa.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RISCO 3: COMODATO VERBAL: A PORTA ABERTA PARA A USUCAPIÃO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Ceder casa, lote ou sítio para alguém morar sem contrato assinado com reconhecimento de firma cria uma brecha perigosa. Passados alguns anos, o ocupante pode alegar que cuidou do imóvel como dono, pagou contas, fez pequenas reformas e ingressar com AÇÃO DE USUCAPIÃO. O contrato escrito de comodato com cláusula explícita de POSSE PRECÁRIA destrói essa possibilidade porque comprova o ato de mera tolerância previsto no Art. 1.208 do Código Civil.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RISCO 4: O FANTASMA DO VÍNCULO EMPREGATÍCIO EM CONTRATOS PJ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Contratar um profissional como 'PJ' ou autônomo, mas exigir que ele cumpra horário fixo, responda a advertências internas e seja proibido de atender outros clientes gera passivo trabalhista devastador. O juiz do trabalho aplica o 'Princípio da Primazia da Realidade': se houver subordinação e horário fixo, o contrato civil é desconsiderado e a empresa é condenada a pagar FGTS, férias, 13º salário e rescisão retroativa.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RISCO 5: MULTA RESCISÓRIA ABUSIVA EM LOCAÇÃO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Cobrar a integralidade da multa de 3 meses de aluguel quando o inquilino sai aos 28 meses de um contrato de 30 meses é ilegal. O Art. 4º da Lei do Inquilinato exige que a multa seja cobrada proporcionalmente ao tempo restante de cumprimento do contrato. O cálculo correto deve constar expressamente na notificação de cobrança.</w:t>
      </w:r>
    </w:p>
    <w:p>
      <w:pPr>
        <w:pStyle w:val="Heading2"/>
      </w:pPr>
      <w:r>
        <w:t>O GANCHO DA BANCA ANDRADE &amp; FLORIO: ANÁLISE EXPRESSA E DUE DILIGENCE</w:t>
      </w:r>
    </w:p>
    <w:p>
      <w:r>
        <w:t>Você preencheu o seu modelo de contrato, mas o negócio envolve valores expressivos ou particularidades patrimoniais que exigem um olhar sob medida?</w:t>
        <w:br/>
        <w:br/>
        <w:t>A banca Andrade &amp; Florio Sociedade de Advogados oferece o serviço de Análise Jurídica Expressa de Minutas e Due Diligence Imobiliária:</w:t>
        <w:br/>
        <w:t>• Auditoria completa de certidões e matrícula;</w:t>
        <w:br/>
        <w:t>• Revisão e adaptação das cláusulas às particularidades do seu caso;</w:t>
        <w:br/>
        <w:t>• Emissão de Parecer de Risco antes da assinatura.</w:t>
        <w:br/>
        <w:br/>
        <w:t>Para agendar a análise do seu caso diretamente com nossa equipe jurídica, entre em contato:</w:t>
        <w:br/>
        <w:t>🌐 www.andradeflorio.com.br</w:t>
        <w:br/>
        <w:t>📱 WhatsApp Institucional: (11) 97722-1926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