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DAF65" w14:textId="2E5A9D04" w:rsidR="00F97217" w:rsidRDefault="00F97217" w:rsidP="00180186">
      <w:pPr>
        <w:pStyle w:val="Default"/>
        <w:ind w:left="-284" w:right="-1"/>
        <w:jc w:val="center"/>
        <w:rPr>
          <w:rFonts w:ascii="Times New Roman" w:hAnsi="Times New Roman" w:cs="Times New Roman"/>
          <w:b/>
          <w:color w:val="44546A" w:themeColor="text2"/>
          <w:sz w:val="28"/>
          <w:szCs w:val="28"/>
          <w:lang w:val="en-US"/>
        </w:rPr>
      </w:pPr>
      <w:r>
        <w:rPr>
          <w:noProof/>
        </w:rPr>
        <w:drawing>
          <wp:inline distT="0" distB="0" distL="0" distR="0" wp14:anchorId="17B4FA29" wp14:editId="28B7AC27">
            <wp:extent cx="1438275" cy="552450"/>
            <wp:effectExtent l="0" t="0" r="9525" b="0"/>
            <wp:docPr id="1" name="Picture 1" descr="http://www.univem.edu.br/imgs/fape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univem.edu.br/imgs/fapesp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552450"/>
                    </a:xfrm>
                    <a:prstGeom prst="rect">
                      <a:avLst/>
                    </a:prstGeom>
                    <a:noFill/>
                    <a:ln>
                      <a:noFill/>
                    </a:ln>
                  </pic:spPr>
                </pic:pic>
              </a:graphicData>
            </a:graphic>
          </wp:inline>
        </w:drawing>
      </w:r>
    </w:p>
    <w:p w14:paraId="7D6E6784" w14:textId="77777777" w:rsidR="00F97217" w:rsidRDefault="00F97217" w:rsidP="00F97217">
      <w:pPr>
        <w:pStyle w:val="Default"/>
        <w:ind w:left="-284" w:right="-1"/>
        <w:jc w:val="center"/>
        <w:rPr>
          <w:rFonts w:ascii="Times New Roman" w:hAnsi="Times New Roman" w:cs="Times New Roman"/>
          <w:b/>
          <w:color w:val="44546A" w:themeColor="text2"/>
          <w:sz w:val="28"/>
          <w:szCs w:val="28"/>
          <w:lang w:val="en-US"/>
        </w:rPr>
      </w:pPr>
    </w:p>
    <w:p w14:paraId="0F862B24" w14:textId="77777777" w:rsidR="00F97217" w:rsidRDefault="00F97217" w:rsidP="00F97217">
      <w:pPr>
        <w:pStyle w:val="Default"/>
        <w:ind w:left="-284" w:right="-1"/>
        <w:jc w:val="center"/>
        <w:rPr>
          <w:rFonts w:ascii="Times New Roman" w:hAnsi="Times New Roman" w:cs="Times New Roman"/>
          <w:b/>
          <w:color w:val="44546A" w:themeColor="text2"/>
          <w:sz w:val="28"/>
          <w:szCs w:val="28"/>
          <w:lang w:val="en-US"/>
        </w:rPr>
      </w:pPr>
    </w:p>
    <w:p w14:paraId="24D5F5B0" w14:textId="789FDAC7" w:rsidR="00F97217" w:rsidRPr="00277F27" w:rsidRDefault="00E956F3" w:rsidP="00F97217">
      <w:pPr>
        <w:pStyle w:val="Default"/>
        <w:ind w:left="-284" w:right="-1"/>
        <w:jc w:val="center"/>
        <w:rPr>
          <w:rFonts w:ascii="Times New Roman" w:hAnsi="Times New Roman" w:cs="Times New Roman"/>
          <w:b/>
          <w:color w:val="auto"/>
          <w:sz w:val="26"/>
          <w:szCs w:val="26"/>
        </w:rPr>
      </w:pPr>
      <w:r w:rsidRPr="00277F27">
        <w:rPr>
          <w:rFonts w:ascii="Times New Roman" w:hAnsi="Times New Roman" w:cs="Times New Roman"/>
          <w:b/>
          <w:color w:val="auto"/>
          <w:sz w:val="26"/>
          <w:szCs w:val="26"/>
        </w:rPr>
        <w:t>A economia política internacional da propriedade intelectual: mapeando os fluxos de cobranças relativas ao uso de propriedade intelectual entre países e regiões.</w:t>
      </w:r>
    </w:p>
    <w:p w14:paraId="2798EAA6" w14:textId="77777777" w:rsidR="00E956F3" w:rsidRPr="00E956F3" w:rsidRDefault="00E956F3" w:rsidP="00F97217">
      <w:pPr>
        <w:pStyle w:val="Default"/>
        <w:ind w:left="-284" w:right="-1"/>
        <w:jc w:val="center"/>
        <w:rPr>
          <w:rFonts w:ascii="Times New Roman" w:hAnsi="Times New Roman" w:cs="Times New Roman"/>
          <w:b/>
          <w:color w:val="44546A" w:themeColor="text2"/>
          <w:sz w:val="28"/>
          <w:szCs w:val="28"/>
        </w:rPr>
      </w:pPr>
    </w:p>
    <w:p w14:paraId="3F3F25F2" w14:textId="77777777" w:rsidR="00F97217" w:rsidRDefault="00F97217" w:rsidP="00F97217">
      <w:pPr>
        <w:pStyle w:val="Default"/>
        <w:ind w:left="-284" w:right="-1"/>
        <w:jc w:val="center"/>
        <w:rPr>
          <w:rFonts w:ascii="Times New Roman" w:hAnsi="Times New Roman" w:cs="Times New Roman"/>
        </w:rPr>
      </w:pPr>
      <w:r>
        <w:rPr>
          <w:rFonts w:ascii="Times New Roman" w:hAnsi="Times New Roman" w:cs="Times New Roman"/>
        </w:rPr>
        <w:t>Relatório Final / Bolsa de Pesquisa no Exterior (BPE)</w:t>
      </w:r>
    </w:p>
    <w:p w14:paraId="749F99EA" w14:textId="77777777" w:rsidR="00F97217" w:rsidRDefault="00F97217" w:rsidP="00F97217">
      <w:pPr>
        <w:pStyle w:val="Default"/>
        <w:ind w:left="-284" w:right="-1"/>
        <w:jc w:val="center"/>
        <w:rPr>
          <w:rFonts w:ascii="Times New Roman" w:hAnsi="Times New Roman" w:cs="Times New Roman"/>
        </w:rPr>
      </w:pPr>
    </w:p>
    <w:p w14:paraId="29E0A084" w14:textId="77777777" w:rsidR="00F97217" w:rsidRDefault="00F97217" w:rsidP="00F97217">
      <w:pPr>
        <w:pStyle w:val="Default"/>
        <w:ind w:left="-284" w:right="-1"/>
        <w:jc w:val="center"/>
        <w:rPr>
          <w:rFonts w:ascii="Times New Roman" w:hAnsi="Times New Roman" w:cs="Times New Roman"/>
        </w:rPr>
      </w:pPr>
    </w:p>
    <w:p w14:paraId="297AC132" w14:textId="77777777" w:rsidR="00F97217" w:rsidRDefault="00F97217" w:rsidP="00F97217">
      <w:pPr>
        <w:pStyle w:val="Default"/>
        <w:ind w:left="-284" w:right="-1"/>
        <w:jc w:val="center"/>
        <w:rPr>
          <w:rFonts w:ascii="Times New Roman" w:hAnsi="Times New Roman" w:cs="Times New Roman"/>
          <w:lang w:val="en-US"/>
        </w:rPr>
      </w:pPr>
      <w:r>
        <w:rPr>
          <w:rFonts w:ascii="Times New Roman" w:hAnsi="Times New Roman" w:cs="Times New Roman"/>
          <w:lang w:val="en-US"/>
        </w:rPr>
        <w:t>London School of Economics and Political Science</w:t>
      </w:r>
    </w:p>
    <w:p w14:paraId="65525B73" w14:textId="77777777" w:rsidR="00F97217" w:rsidRDefault="00F97217" w:rsidP="00F97217">
      <w:pPr>
        <w:pStyle w:val="Default"/>
        <w:ind w:left="-284" w:right="-1"/>
        <w:jc w:val="center"/>
        <w:rPr>
          <w:rFonts w:ascii="Times New Roman" w:hAnsi="Times New Roman" w:cs="Times New Roman"/>
        </w:rPr>
      </w:pPr>
      <w:r>
        <w:rPr>
          <w:rFonts w:ascii="Times New Roman" w:hAnsi="Times New Roman" w:cs="Times New Roman"/>
        </w:rPr>
        <w:t xml:space="preserve">Número </w:t>
      </w:r>
      <w:proofErr w:type="gramStart"/>
      <w:r>
        <w:rPr>
          <w:rFonts w:ascii="Times New Roman" w:hAnsi="Times New Roman" w:cs="Times New Roman"/>
        </w:rPr>
        <w:t>Fapesp</w:t>
      </w:r>
      <w:proofErr w:type="gramEnd"/>
      <w:r>
        <w:rPr>
          <w:rFonts w:ascii="Times New Roman" w:hAnsi="Times New Roman" w:cs="Times New Roman"/>
        </w:rPr>
        <w:t xml:space="preserve"> 2016/25489-0</w:t>
      </w:r>
    </w:p>
    <w:p w14:paraId="238B4523" w14:textId="77777777" w:rsidR="00F97217" w:rsidRDefault="00F97217" w:rsidP="00F97217">
      <w:pPr>
        <w:pStyle w:val="Default"/>
        <w:ind w:left="-284" w:right="-1"/>
        <w:jc w:val="center"/>
        <w:rPr>
          <w:rFonts w:ascii="Times New Roman" w:hAnsi="Times New Roman" w:cs="Times New Roman"/>
        </w:rPr>
      </w:pPr>
      <w:r>
        <w:rPr>
          <w:rFonts w:ascii="Times New Roman" w:hAnsi="Times New Roman" w:cs="Times New Roman"/>
        </w:rPr>
        <w:t>10 de Setembro de 2017 – 09 de Setembro 2018</w:t>
      </w:r>
    </w:p>
    <w:p w14:paraId="30E81AF2" w14:textId="77777777" w:rsidR="00F97217" w:rsidRPr="00F97217" w:rsidRDefault="00F97217" w:rsidP="00F97217">
      <w:pPr>
        <w:jc w:val="center"/>
        <w:rPr>
          <w:rFonts w:ascii="Times New Roman" w:hAnsi="Times New Roman" w:cs="Times New Roman"/>
          <w:sz w:val="24"/>
          <w:szCs w:val="24"/>
          <w:lang w:val="pt-BR"/>
        </w:rPr>
      </w:pPr>
    </w:p>
    <w:p w14:paraId="535E777A" w14:textId="77777777" w:rsidR="00F97217" w:rsidRPr="00F97217" w:rsidRDefault="00F97217" w:rsidP="00F97217">
      <w:pPr>
        <w:jc w:val="center"/>
        <w:rPr>
          <w:rFonts w:ascii="Times New Roman" w:hAnsi="Times New Roman" w:cs="Times New Roman"/>
          <w:sz w:val="24"/>
          <w:szCs w:val="24"/>
          <w:lang w:val="pt-BR"/>
        </w:rPr>
      </w:pPr>
    </w:p>
    <w:p w14:paraId="6A1A5AAF" w14:textId="77777777" w:rsidR="00F97217" w:rsidRPr="00F97217" w:rsidRDefault="00F97217" w:rsidP="00F97217">
      <w:pPr>
        <w:spacing w:after="0" w:line="240" w:lineRule="auto"/>
        <w:jc w:val="center"/>
        <w:rPr>
          <w:rFonts w:ascii="Times New Roman" w:hAnsi="Times New Roman" w:cs="Times New Roman"/>
          <w:sz w:val="24"/>
          <w:szCs w:val="24"/>
          <w:lang w:val="pt-BR"/>
        </w:rPr>
      </w:pPr>
      <w:r w:rsidRPr="00F97217">
        <w:rPr>
          <w:rFonts w:ascii="Times New Roman" w:hAnsi="Times New Roman" w:cs="Times New Roman"/>
          <w:sz w:val="24"/>
          <w:szCs w:val="24"/>
          <w:lang w:val="pt-BR"/>
        </w:rPr>
        <w:t xml:space="preserve">José Paulo Guedes Pinto, Pesquisador </w:t>
      </w:r>
      <w:proofErr w:type="gramStart"/>
      <w:r w:rsidRPr="00F97217">
        <w:rPr>
          <w:rFonts w:ascii="Times New Roman" w:hAnsi="Times New Roman" w:cs="Times New Roman"/>
          <w:sz w:val="24"/>
          <w:szCs w:val="24"/>
          <w:lang w:val="pt-BR"/>
        </w:rPr>
        <w:t>Visitante</w:t>
      </w:r>
      <w:proofErr w:type="gramEnd"/>
    </w:p>
    <w:p w14:paraId="1015E3D6" w14:textId="767FFB7B" w:rsidR="00F97217" w:rsidRPr="008B0E7D" w:rsidRDefault="00F97217" w:rsidP="00F97217">
      <w:pPr>
        <w:spacing w:after="0" w:line="240" w:lineRule="auto"/>
        <w:jc w:val="center"/>
        <w:rPr>
          <w:rFonts w:ascii="Times New Roman" w:hAnsi="Times New Roman" w:cs="Times New Roman"/>
          <w:sz w:val="24"/>
          <w:szCs w:val="24"/>
        </w:rPr>
      </w:pPr>
      <w:r w:rsidRPr="008B0E7D">
        <w:rPr>
          <w:rFonts w:ascii="Times New Roman" w:hAnsi="Times New Roman" w:cs="Times New Roman"/>
          <w:sz w:val="24"/>
          <w:szCs w:val="24"/>
        </w:rPr>
        <w:t xml:space="preserve">Kenneth </w:t>
      </w:r>
      <w:r w:rsidR="008B0E7D" w:rsidRPr="008B0E7D">
        <w:rPr>
          <w:rFonts w:ascii="Times New Roman" w:hAnsi="Times New Roman" w:cs="Times New Roman"/>
          <w:sz w:val="24"/>
          <w:szCs w:val="24"/>
        </w:rPr>
        <w:t xml:space="preserve">C. </w:t>
      </w:r>
      <w:proofErr w:type="spellStart"/>
      <w:r w:rsidRPr="008B0E7D">
        <w:rPr>
          <w:rFonts w:ascii="Times New Roman" w:hAnsi="Times New Roman" w:cs="Times New Roman"/>
          <w:sz w:val="24"/>
          <w:szCs w:val="24"/>
        </w:rPr>
        <w:t>Shadlen</w:t>
      </w:r>
      <w:proofErr w:type="spellEnd"/>
      <w:r w:rsidRPr="008B0E7D">
        <w:rPr>
          <w:rFonts w:ascii="Times New Roman" w:hAnsi="Times New Roman" w:cs="Times New Roman"/>
          <w:sz w:val="24"/>
          <w:szCs w:val="24"/>
        </w:rPr>
        <w:t xml:space="preserve">, Supervisor </w:t>
      </w:r>
      <w:proofErr w:type="spellStart"/>
      <w:proofErr w:type="gramStart"/>
      <w:r w:rsidRPr="008B0E7D">
        <w:rPr>
          <w:rFonts w:ascii="Times New Roman" w:hAnsi="Times New Roman" w:cs="Times New Roman"/>
          <w:sz w:val="24"/>
          <w:szCs w:val="24"/>
        </w:rPr>
        <w:t>na</w:t>
      </w:r>
      <w:proofErr w:type="spellEnd"/>
      <w:proofErr w:type="gramEnd"/>
      <w:r w:rsidRPr="008B0E7D">
        <w:rPr>
          <w:rFonts w:ascii="Times New Roman" w:hAnsi="Times New Roman" w:cs="Times New Roman"/>
          <w:sz w:val="24"/>
          <w:szCs w:val="24"/>
        </w:rPr>
        <w:t xml:space="preserve"> LSE</w:t>
      </w:r>
    </w:p>
    <w:p w14:paraId="544363E5" w14:textId="77777777" w:rsidR="00F85C9F" w:rsidRPr="008B0E7D" w:rsidRDefault="00F85C9F" w:rsidP="00F97217">
      <w:pPr>
        <w:rPr>
          <w:rFonts w:ascii="Times New Roman" w:hAnsi="Times New Roman" w:cs="Times New Roman"/>
          <w:sz w:val="24"/>
          <w:szCs w:val="24"/>
        </w:rPr>
      </w:pPr>
    </w:p>
    <w:p w14:paraId="446C7DBB" w14:textId="77777777" w:rsidR="00F85C9F" w:rsidRPr="008B0E7D" w:rsidRDefault="00F85C9F" w:rsidP="00F97217">
      <w:pPr>
        <w:rPr>
          <w:rFonts w:ascii="Times New Roman" w:hAnsi="Times New Roman" w:cs="Times New Roman"/>
          <w:sz w:val="24"/>
          <w:szCs w:val="24"/>
        </w:rPr>
      </w:pPr>
    </w:p>
    <w:p w14:paraId="1CDFB943" w14:textId="77777777" w:rsidR="00F85C9F" w:rsidRPr="008B0E7D" w:rsidRDefault="00F85C9F" w:rsidP="00F97217">
      <w:pPr>
        <w:rPr>
          <w:rFonts w:ascii="Times New Roman" w:hAnsi="Times New Roman" w:cs="Times New Roman"/>
          <w:sz w:val="24"/>
          <w:szCs w:val="24"/>
        </w:rPr>
      </w:pPr>
    </w:p>
    <w:p w14:paraId="328BB8A6" w14:textId="77777777" w:rsidR="00F85C9F" w:rsidRPr="008B0E7D" w:rsidRDefault="00F85C9F" w:rsidP="00F97217">
      <w:pPr>
        <w:rPr>
          <w:rFonts w:ascii="Times New Roman" w:hAnsi="Times New Roman" w:cs="Times New Roman"/>
          <w:sz w:val="24"/>
          <w:szCs w:val="24"/>
        </w:rPr>
      </w:pPr>
    </w:p>
    <w:p w14:paraId="2D8D0288" w14:textId="77777777" w:rsidR="00F85C9F" w:rsidRPr="008B0E7D" w:rsidRDefault="00F85C9F" w:rsidP="00F97217">
      <w:pPr>
        <w:rPr>
          <w:rFonts w:ascii="Times New Roman" w:hAnsi="Times New Roman" w:cs="Times New Roman"/>
          <w:sz w:val="24"/>
          <w:szCs w:val="24"/>
        </w:rPr>
      </w:pPr>
    </w:p>
    <w:p w14:paraId="3FBC9356" w14:textId="77777777" w:rsidR="00F85C9F" w:rsidRPr="008B0E7D" w:rsidRDefault="00F85C9F" w:rsidP="00F97217">
      <w:pPr>
        <w:rPr>
          <w:rFonts w:ascii="Times New Roman" w:hAnsi="Times New Roman" w:cs="Times New Roman"/>
          <w:sz w:val="24"/>
          <w:szCs w:val="24"/>
        </w:rPr>
      </w:pPr>
    </w:p>
    <w:p w14:paraId="36980518" w14:textId="77777777" w:rsidR="00F85C9F" w:rsidRPr="008B0E7D" w:rsidRDefault="00F85C9F" w:rsidP="00F97217">
      <w:pPr>
        <w:rPr>
          <w:rFonts w:ascii="Times New Roman" w:hAnsi="Times New Roman" w:cs="Times New Roman"/>
          <w:sz w:val="24"/>
          <w:szCs w:val="24"/>
        </w:rPr>
      </w:pPr>
    </w:p>
    <w:p w14:paraId="341D61BE" w14:textId="77777777" w:rsidR="00F85C9F" w:rsidRPr="008B0E7D" w:rsidRDefault="00F85C9F" w:rsidP="00F97217">
      <w:pPr>
        <w:rPr>
          <w:rFonts w:ascii="Times New Roman" w:hAnsi="Times New Roman" w:cs="Times New Roman"/>
          <w:sz w:val="24"/>
          <w:szCs w:val="24"/>
        </w:rPr>
      </w:pPr>
    </w:p>
    <w:p w14:paraId="17585F76" w14:textId="77777777" w:rsidR="00F85C9F" w:rsidRPr="008B0E7D" w:rsidRDefault="00F85C9F" w:rsidP="00F97217">
      <w:pPr>
        <w:rPr>
          <w:rFonts w:ascii="Times New Roman" w:hAnsi="Times New Roman" w:cs="Times New Roman"/>
          <w:sz w:val="24"/>
          <w:szCs w:val="24"/>
        </w:rPr>
      </w:pPr>
    </w:p>
    <w:p w14:paraId="6AAE18B7" w14:textId="77777777" w:rsidR="00F85C9F" w:rsidRPr="008B0E7D" w:rsidRDefault="00F85C9F" w:rsidP="00F97217">
      <w:pPr>
        <w:rPr>
          <w:rFonts w:ascii="Times New Roman" w:hAnsi="Times New Roman" w:cs="Times New Roman"/>
          <w:sz w:val="24"/>
          <w:szCs w:val="24"/>
        </w:rPr>
      </w:pPr>
    </w:p>
    <w:p w14:paraId="2B7DBCCA" w14:textId="77777777" w:rsidR="00F85C9F" w:rsidRPr="008B0E7D" w:rsidRDefault="00F85C9F" w:rsidP="00F97217">
      <w:pPr>
        <w:rPr>
          <w:rFonts w:ascii="Times New Roman" w:hAnsi="Times New Roman" w:cs="Times New Roman"/>
          <w:sz w:val="24"/>
          <w:szCs w:val="24"/>
        </w:rPr>
      </w:pPr>
    </w:p>
    <w:p w14:paraId="1D909EE0" w14:textId="77777777" w:rsidR="00F85C9F" w:rsidRPr="008B0E7D" w:rsidRDefault="00F85C9F" w:rsidP="00F97217">
      <w:pPr>
        <w:rPr>
          <w:rFonts w:ascii="Times New Roman" w:hAnsi="Times New Roman" w:cs="Times New Roman"/>
          <w:sz w:val="24"/>
          <w:szCs w:val="24"/>
        </w:rPr>
      </w:pPr>
    </w:p>
    <w:p w14:paraId="35A2663D" w14:textId="77777777" w:rsidR="00F85C9F" w:rsidRPr="008B0E7D" w:rsidRDefault="00F85C9F" w:rsidP="00F97217">
      <w:pPr>
        <w:rPr>
          <w:rFonts w:ascii="Times New Roman" w:hAnsi="Times New Roman" w:cs="Times New Roman"/>
          <w:sz w:val="24"/>
          <w:szCs w:val="24"/>
        </w:rPr>
      </w:pPr>
    </w:p>
    <w:p w14:paraId="5232064D" w14:textId="77777777" w:rsidR="00F85C9F" w:rsidRPr="008B0E7D" w:rsidRDefault="00F85C9F" w:rsidP="00F97217">
      <w:pPr>
        <w:rPr>
          <w:rFonts w:ascii="Times New Roman" w:hAnsi="Times New Roman" w:cs="Times New Roman"/>
          <w:sz w:val="24"/>
          <w:szCs w:val="24"/>
        </w:rPr>
      </w:pPr>
    </w:p>
    <w:p w14:paraId="02A85329" w14:textId="77777777" w:rsidR="00F85C9F" w:rsidRPr="008B0E7D" w:rsidRDefault="00F85C9F" w:rsidP="00F97217">
      <w:pPr>
        <w:rPr>
          <w:rFonts w:ascii="Times New Roman" w:hAnsi="Times New Roman" w:cs="Times New Roman"/>
          <w:sz w:val="24"/>
          <w:szCs w:val="24"/>
        </w:rPr>
      </w:pPr>
    </w:p>
    <w:p w14:paraId="07C0F6AE" w14:textId="77777777" w:rsidR="00F85C9F" w:rsidRPr="008B0E7D" w:rsidRDefault="00F85C9F" w:rsidP="00F97217">
      <w:pPr>
        <w:rPr>
          <w:rFonts w:ascii="Times New Roman" w:hAnsi="Times New Roman" w:cs="Times New Roman"/>
          <w:sz w:val="24"/>
          <w:szCs w:val="24"/>
        </w:rPr>
      </w:pPr>
    </w:p>
    <w:p w14:paraId="4D422252" w14:textId="77777777" w:rsidR="00F85C9F" w:rsidRPr="008B0E7D" w:rsidRDefault="00F85C9F" w:rsidP="00F97217">
      <w:pPr>
        <w:rPr>
          <w:rFonts w:ascii="Times New Roman" w:hAnsi="Times New Roman" w:cs="Times New Roman"/>
          <w:sz w:val="24"/>
          <w:szCs w:val="24"/>
        </w:rPr>
      </w:pPr>
    </w:p>
    <w:p w14:paraId="39DB6D2E" w14:textId="44DAE674" w:rsidR="00F85C9F" w:rsidRDefault="00F85C9F" w:rsidP="00F85C9F">
      <w:pPr>
        <w:jc w:val="center"/>
        <w:rPr>
          <w:rFonts w:ascii="Times New Roman" w:hAnsi="Times New Roman" w:cs="Times New Roman"/>
          <w:sz w:val="24"/>
          <w:szCs w:val="24"/>
          <w:lang w:val="pt-BR"/>
        </w:rPr>
      </w:pPr>
      <w:r>
        <w:rPr>
          <w:rFonts w:ascii="Times New Roman" w:hAnsi="Times New Roman" w:cs="Times New Roman"/>
          <w:sz w:val="24"/>
          <w:szCs w:val="24"/>
          <w:lang w:val="pt-BR"/>
        </w:rPr>
        <w:t>Outubro de 2018</w:t>
      </w:r>
    </w:p>
    <w:p w14:paraId="3F8E2BFD" w14:textId="6A44FD28" w:rsidR="00A474A5" w:rsidRPr="00722D73" w:rsidRDefault="00A474A5" w:rsidP="00A474A5">
      <w:pPr>
        <w:spacing w:after="0" w:line="240" w:lineRule="auto"/>
        <w:ind w:right="-1"/>
        <w:jc w:val="both"/>
        <w:rPr>
          <w:rFonts w:ascii="Times New Roman" w:hAnsi="Times New Roman" w:cs="Times New Roman"/>
          <w:b/>
          <w:sz w:val="26"/>
          <w:szCs w:val="26"/>
          <w:lang w:val="pt-BR"/>
        </w:rPr>
      </w:pPr>
      <w:r w:rsidRPr="00722D73">
        <w:rPr>
          <w:rFonts w:ascii="Times New Roman" w:hAnsi="Times New Roman" w:cs="Times New Roman"/>
          <w:b/>
          <w:sz w:val="26"/>
          <w:szCs w:val="26"/>
          <w:lang w:val="pt-BR"/>
        </w:rPr>
        <w:lastRenderedPageBreak/>
        <w:t xml:space="preserve">Resumo do Projeto </w:t>
      </w:r>
    </w:p>
    <w:p w14:paraId="7416D202" w14:textId="77777777" w:rsidR="00A474A5" w:rsidRPr="00A474A5" w:rsidRDefault="00A474A5" w:rsidP="00A474A5">
      <w:pPr>
        <w:spacing w:after="0" w:line="240" w:lineRule="auto"/>
        <w:jc w:val="both"/>
        <w:rPr>
          <w:lang w:val="pt-BR"/>
        </w:rPr>
      </w:pPr>
      <w:r w:rsidRPr="00A474A5">
        <w:rPr>
          <w:rFonts w:ascii="Times New Roman" w:hAnsi="Times New Roman" w:cs="Times New Roman"/>
          <w:sz w:val="24"/>
          <w:szCs w:val="24"/>
          <w:lang w:val="pt-BR"/>
        </w:rPr>
        <w:t xml:space="preserve">Desde os anos 1980 um grupo de países liderado pelos Estados Unidos vem conseguindo impor um padrão internacional de proteção à propriedade intelectual que beneficia diretamente seus interesses comerciais, seja através de pressões bilaterais, seja por uma atuação multilateral no âmbito do GATT/OMC. Diante disso, diversos países em desenvolvimento, depois de uma resistência inicial, aceitaram os direitos de propriedade intelectual ou como parte de uma política necessária de modernização econômica que garantiria a esses países uma inserção ativa na então chamada “sociedade do conhecimento” ou como um requisito para a entrada do país na Organização Mundial do Comércio (OMC). Um dos reflexos da incorporação dessas leis vem sendo a elevação exponencial dos fluxos de cobranças pelo uso de propriedade intelectual entre diversos países e regiões, parte dos quais são registrados nos respectivos balanços de pagamentos. Essa pesquisa pretende mapear esses registros com o objetivo de avaliar um aspecto chave da inserção de diversos países na divisão internacional do trabalho no século XXI, identificando, sob a ótica particular da economia política internacional, os países e regiões que mais se beneficiam e os principais prejudicados por esses novos arranjos jurídicos internacionais que estão sendo construídos em torno do tema da propriedade intelectual. </w:t>
      </w:r>
    </w:p>
    <w:p w14:paraId="2A83992E" w14:textId="77777777" w:rsidR="00A474A5" w:rsidRPr="00A474A5" w:rsidRDefault="00A474A5" w:rsidP="00A474A5">
      <w:pPr>
        <w:spacing w:after="0" w:line="240" w:lineRule="auto"/>
        <w:ind w:right="-1"/>
        <w:jc w:val="both"/>
        <w:rPr>
          <w:rFonts w:ascii="Arial" w:hAnsi="Arial" w:cs="Arial"/>
          <w:sz w:val="24"/>
          <w:szCs w:val="24"/>
          <w:lang w:val="pt-BR"/>
        </w:rPr>
      </w:pPr>
    </w:p>
    <w:p w14:paraId="58A7F0A1" w14:textId="377770DD" w:rsidR="002F7223" w:rsidRPr="008B0E7D" w:rsidRDefault="00093E99" w:rsidP="008B0E7D">
      <w:pPr>
        <w:spacing w:after="0" w:line="240" w:lineRule="auto"/>
        <w:ind w:right="-1"/>
        <w:jc w:val="both"/>
        <w:rPr>
          <w:rFonts w:ascii="Times New Roman" w:hAnsi="Times New Roman" w:cs="Times New Roman"/>
          <w:b/>
          <w:sz w:val="26"/>
          <w:szCs w:val="26"/>
          <w:lang w:val="pt-BR"/>
        </w:rPr>
      </w:pPr>
      <w:r w:rsidRPr="008B0E7D">
        <w:rPr>
          <w:rFonts w:ascii="Times New Roman" w:hAnsi="Times New Roman" w:cs="Times New Roman"/>
          <w:b/>
          <w:sz w:val="26"/>
          <w:szCs w:val="26"/>
          <w:lang w:val="pt-BR"/>
        </w:rPr>
        <w:t>Resumo do relatório</w:t>
      </w:r>
    </w:p>
    <w:p w14:paraId="7C31A486" w14:textId="7ED10229" w:rsidR="00093E99" w:rsidRDefault="008A23C8" w:rsidP="00093E9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olhar sobre a diplomacia da propriedade intelectual </w:t>
      </w:r>
      <w:r w:rsidR="00E41CFE">
        <w:rPr>
          <w:rFonts w:ascii="Times New Roman" w:hAnsi="Times New Roman" w:cs="Times New Roman"/>
          <w:sz w:val="24"/>
          <w:szCs w:val="24"/>
          <w:lang w:val="pt-BR"/>
        </w:rPr>
        <w:t xml:space="preserve">(PI) </w:t>
      </w:r>
      <w:r>
        <w:rPr>
          <w:rFonts w:ascii="Times New Roman" w:hAnsi="Times New Roman" w:cs="Times New Roman"/>
          <w:sz w:val="24"/>
          <w:szCs w:val="24"/>
          <w:lang w:val="pt-BR"/>
        </w:rPr>
        <w:t>foi ampliado com a adição, nesta</w:t>
      </w:r>
      <w:r w:rsidR="0033562F">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pesquisa, de uma vasta literatura acadêmica sobre </w:t>
      </w:r>
      <w:r w:rsidR="0033562F">
        <w:rPr>
          <w:rFonts w:ascii="Times New Roman" w:hAnsi="Times New Roman" w:cs="Times New Roman"/>
          <w:sz w:val="24"/>
          <w:szCs w:val="24"/>
          <w:lang w:val="pt-BR"/>
        </w:rPr>
        <w:t xml:space="preserve">os custos e benefícios </w:t>
      </w:r>
      <w:r w:rsidR="00E41CFE">
        <w:rPr>
          <w:rFonts w:ascii="Times New Roman" w:hAnsi="Times New Roman" w:cs="Times New Roman"/>
          <w:sz w:val="24"/>
          <w:szCs w:val="24"/>
          <w:lang w:val="pt-BR"/>
        </w:rPr>
        <w:t xml:space="preserve">teóricos </w:t>
      </w:r>
      <w:r w:rsidR="0033562F">
        <w:rPr>
          <w:rFonts w:ascii="Times New Roman" w:hAnsi="Times New Roman" w:cs="Times New Roman"/>
          <w:sz w:val="24"/>
          <w:szCs w:val="24"/>
          <w:lang w:val="pt-BR"/>
        </w:rPr>
        <w:t xml:space="preserve">do novo regime internacional </w:t>
      </w:r>
      <w:r w:rsidR="00E41CFE">
        <w:rPr>
          <w:rFonts w:ascii="Times New Roman" w:hAnsi="Times New Roman" w:cs="Times New Roman"/>
          <w:sz w:val="24"/>
          <w:szCs w:val="24"/>
          <w:lang w:val="pt-BR"/>
        </w:rPr>
        <w:t xml:space="preserve">de PI </w:t>
      </w:r>
      <w:r w:rsidR="0033562F">
        <w:rPr>
          <w:rFonts w:ascii="Times New Roman" w:hAnsi="Times New Roman" w:cs="Times New Roman"/>
          <w:sz w:val="24"/>
          <w:szCs w:val="24"/>
          <w:lang w:val="pt-BR"/>
        </w:rPr>
        <w:t xml:space="preserve">para os países em desenvolvimento. Além disso, fez-se uma ampla varredura dos trabalhos que utilizam dados de comércio transfronteiriço de bens e serviços cujos valores dependem dos direitos de propriedade intelectual. </w:t>
      </w:r>
      <w:r w:rsidR="008B0E7D">
        <w:rPr>
          <w:rFonts w:ascii="Times New Roman" w:hAnsi="Times New Roman" w:cs="Times New Roman"/>
          <w:sz w:val="24"/>
          <w:szCs w:val="24"/>
          <w:lang w:val="pt-BR"/>
        </w:rPr>
        <w:t>A</w:t>
      </w:r>
      <w:r w:rsidR="008B0E7D" w:rsidRPr="008B0E7D">
        <w:rPr>
          <w:rFonts w:ascii="Times New Roman" w:hAnsi="Times New Roman" w:cs="Times New Roman"/>
          <w:sz w:val="24"/>
          <w:szCs w:val="24"/>
          <w:lang w:val="pt-BR"/>
        </w:rPr>
        <w:t xml:space="preserve">té onde </w:t>
      </w:r>
      <w:proofErr w:type="gramStart"/>
      <w:r w:rsidR="008B0E7D" w:rsidRPr="008B0E7D">
        <w:rPr>
          <w:rFonts w:ascii="Times New Roman" w:hAnsi="Times New Roman" w:cs="Times New Roman"/>
          <w:sz w:val="24"/>
          <w:szCs w:val="24"/>
          <w:lang w:val="pt-BR"/>
        </w:rPr>
        <w:t>consegui</w:t>
      </w:r>
      <w:r w:rsidR="008B0E7D">
        <w:rPr>
          <w:rFonts w:ascii="Times New Roman" w:hAnsi="Times New Roman" w:cs="Times New Roman"/>
          <w:sz w:val="24"/>
          <w:szCs w:val="24"/>
          <w:lang w:val="pt-BR"/>
        </w:rPr>
        <w:t>u-se</w:t>
      </w:r>
      <w:proofErr w:type="gramEnd"/>
      <w:r w:rsidR="008B0E7D" w:rsidRPr="008B0E7D">
        <w:rPr>
          <w:rFonts w:ascii="Times New Roman" w:hAnsi="Times New Roman" w:cs="Times New Roman"/>
          <w:sz w:val="24"/>
          <w:szCs w:val="24"/>
          <w:lang w:val="pt-BR"/>
        </w:rPr>
        <w:t xml:space="preserve"> pesquisar, não há trabalho acadêmico que tenha abordado estes dados no grau de profundidade e no amplo escopo proposto aqui, </w:t>
      </w:r>
      <w:r w:rsidR="008B0E7D">
        <w:rPr>
          <w:rFonts w:ascii="Times New Roman" w:hAnsi="Times New Roman" w:cs="Times New Roman"/>
          <w:sz w:val="24"/>
          <w:szCs w:val="24"/>
          <w:lang w:val="pt-BR"/>
        </w:rPr>
        <w:t xml:space="preserve">o que mostra </w:t>
      </w:r>
      <w:r w:rsidR="0033562F">
        <w:rPr>
          <w:rFonts w:ascii="Times New Roman" w:hAnsi="Times New Roman" w:cs="Times New Roman"/>
          <w:sz w:val="24"/>
          <w:szCs w:val="24"/>
          <w:lang w:val="pt-BR"/>
        </w:rPr>
        <w:t xml:space="preserve">o ineditismo </w:t>
      </w:r>
      <w:r w:rsidR="008B0E7D">
        <w:rPr>
          <w:rFonts w:ascii="Times New Roman" w:hAnsi="Times New Roman" w:cs="Times New Roman"/>
          <w:sz w:val="24"/>
          <w:szCs w:val="24"/>
          <w:lang w:val="pt-BR"/>
        </w:rPr>
        <w:t xml:space="preserve">acadêmico </w:t>
      </w:r>
      <w:r w:rsidR="0033562F">
        <w:rPr>
          <w:rFonts w:ascii="Times New Roman" w:hAnsi="Times New Roman" w:cs="Times New Roman"/>
          <w:sz w:val="24"/>
          <w:szCs w:val="24"/>
          <w:lang w:val="pt-BR"/>
        </w:rPr>
        <w:t>desta pesquisa.</w:t>
      </w:r>
      <w:r w:rsidR="00E41CFE">
        <w:rPr>
          <w:rFonts w:ascii="Times New Roman" w:hAnsi="Times New Roman" w:cs="Times New Roman"/>
          <w:sz w:val="24"/>
          <w:szCs w:val="24"/>
          <w:lang w:val="pt-BR"/>
        </w:rPr>
        <w:t xml:space="preserve"> </w:t>
      </w:r>
      <w:r w:rsidR="008B0E7D">
        <w:rPr>
          <w:rFonts w:ascii="Times New Roman" w:hAnsi="Times New Roman" w:cs="Times New Roman"/>
          <w:sz w:val="24"/>
          <w:szCs w:val="24"/>
          <w:lang w:val="pt-BR"/>
        </w:rPr>
        <w:t>Ao longo d</w:t>
      </w:r>
      <w:r w:rsidR="00E41CFE">
        <w:rPr>
          <w:rFonts w:ascii="Times New Roman" w:hAnsi="Times New Roman" w:cs="Times New Roman"/>
          <w:sz w:val="24"/>
          <w:szCs w:val="24"/>
          <w:lang w:val="pt-BR"/>
        </w:rPr>
        <w:t>est</w:t>
      </w:r>
      <w:r w:rsidR="008B0E7D">
        <w:rPr>
          <w:rFonts w:ascii="Times New Roman" w:hAnsi="Times New Roman" w:cs="Times New Roman"/>
          <w:sz w:val="24"/>
          <w:szCs w:val="24"/>
          <w:lang w:val="pt-BR"/>
        </w:rPr>
        <w:t>a pesquisa</w:t>
      </w:r>
      <w:r w:rsidR="00E41CFE">
        <w:rPr>
          <w:rFonts w:ascii="Times New Roman" w:hAnsi="Times New Roman" w:cs="Times New Roman"/>
          <w:sz w:val="24"/>
          <w:szCs w:val="24"/>
          <w:lang w:val="pt-BR"/>
        </w:rPr>
        <w:t>,</w:t>
      </w:r>
      <w:r w:rsidR="008B0E7D">
        <w:rPr>
          <w:rFonts w:ascii="Times New Roman" w:hAnsi="Times New Roman" w:cs="Times New Roman"/>
          <w:sz w:val="24"/>
          <w:szCs w:val="24"/>
          <w:lang w:val="pt-BR"/>
        </w:rPr>
        <w:t xml:space="preserve"> grande parte do tempo foi </w:t>
      </w:r>
      <w:proofErr w:type="gramStart"/>
      <w:r w:rsidR="008B0E7D">
        <w:rPr>
          <w:rFonts w:ascii="Times New Roman" w:hAnsi="Times New Roman" w:cs="Times New Roman"/>
          <w:sz w:val="24"/>
          <w:szCs w:val="24"/>
          <w:lang w:val="pt-BR"/>
        </w:rPr>
        <w:t>dedicad</w:t>
      </w:r>
      <w:r w:rsidR="00E41CFE">
        <w:rPr>
          <w:rFonts w:ascii="Times New Roman" w:hAnsi="Times New Roman" w:cs="Times New Roman"/>
          <w:sz w:val="24"/>
          <w:szCs w:val="24"/>
          <w:lang w:val="pt-BR"/>
        </w:rPr>
        <w:t>o</w:t>
      </w:r>
      <w:proofErr w:type="gramEnd"/>
      <w:r w:rsidR="008B0E7D">
        <w:rPr>
          <w:rFonts w:ascii="Times New Roman" w:hAnsi="Times New Roman" w:cs="Times New Roman"/>
          <w:sz w:val="24"/>
          <w:szCs w:val="24"/>
          <w:lang w:val="pt-BR"/>
        </w:rPr>
        <w:t xml:space="preserve"> </w:t>
      </w:r>
      <w:r w:rsidR="00E41CFE">
        <w:rPr>
          <w:rFonts w:ascii="Times New Roman" w:hAnsi="Times New Roman" w:cs="Times New Roman"/>
          <w:sz w:val="24"/>
          <w:szCs w:val="24"/>
          <w:lang w:val="pt-BR"/>
        </w:rPr>
        <w:t>à</w:t>
      </w:r>
      <w:r w:rsidR="008B0E7D">
        <w:rPr>
          <w:rFonts w:ascii="Times New Roman" w:hAnsi="Times New Roman" w:cs="Times New Roman"/>
          <w:sz w:val="24"/>
          <w:szCs w:val="24"/>
          <w:lang w:val="pt-BR"/>
        </w:rPr>
        <w:t xml:space="preserve"> constru</w:t>
      </w:r>
      <w:r w:rsidR="00E41CFE">
        <w:rPr>
          <w:rFonts w:ascii="Times New Roman" w:hAnsi="Times New Roman" w:cs="Times New Roman"/>
          <w:sz w:val="24"/>
          <w:szCs w:val="24"/>
          <w:lang w:val="pt-BR"/>
        </w:rPr>
        <w:t>ção de</w:t>
      </w:r>
      <w:r w:rsidR="008B0E7D">
        <w:rPr>
          <w:rFonts w:ascii="Times New Roman" w:hAnsi="Times New Roman" w:cs="Times New Roman"/>
          <w:sz w:val="24"/>
          <w:szCs w:val="24"/>
          <w:lang w:val="pt-BR"/>
        </w:rPr>
        <w:t xml:space="preserve"> bancos de dados e </w:t>
      </w:r>
      <w:r w:rsidR="00E41CFE">
        <w:rPr>
          <w:rFonts w:ascii="Times New Roman" w:hAnsi="Times New Roman" w:cs="Times New Roman"/>
          <w:sz w:val="24"/>
          <w:szCs w:val="24"/>
          <w:lang w:val="pt-BR"/>
        </w:rPr>
        <w:t xml:space="preserve">de </w:t>
      </w:r>
      <w:r w:rsidR="008B0E7D">
        <w:rPr>
          <w:rFonts w:ascii="Times New Roman" w:hAnsi="Times New Roman" w:cs="Times New Roman"/>
          <w:sz w:val="24"/>
          <w:szCs w:val="24"/>
          <w:lang w:val="pt-BR"/>
        </w:rPr>
        <w:t>tabelas, gráficos e mapas derivados dos bancos com o objetivo de tornar mais clara a importância da propriedade intelectual no comércio internacional de bens e serviços entre países e regiões</w:t>
      </w:r>
      <w:r w:rsidR="00E41CFE">
        <w:rPr>
          <w:rFonts w:ascii="Times New Roman" w:hAnsi="Times New Roman" w:cs="Times New Roman"/>
          <w:sz w:val="24"/>
          <w:szCs w:val="24"/>
          <w:lang w:val="pt-BR"/>
        </w:rPr>
        <w:t>, com o objetivo de mostram inclusive as grandes assimetrias que tangem este comércio tão importante</w:t>
      </w:r>
      <w:r w:rsidR="008B0E7D">
        <w:rPr>
          <w:rFonts w:ascii="Times New Roman" w:hAnsi="Times New Roman" w:cs="Times New Roman"/>
          <w:sz w:val="24"/>
          <w:szCs w:val="24"/>
          <w:lang w:val="pt-BR"/>
        </w:rPr>
        <w:t xml:space="preserve">. </w:t>
      </w:r>
      <w:r w:rsidR="00E41CFE">
        <w:rPr>
          <w:rFonts w:ascii="Times New Roman" w:hAnsi="Times New Roman" w:cs="Times New Roman"/>
          <w:sz w:val="24"/>
          <w:szCs w:val="24"/>
          <w:lang w:val="pt-BR"/>
        </w:rPr>
        <w:t xml:space="preserve">Os resultados iniciais desta pesquisa já foram razoavelmente bem divulgados na Europa e despertaram grande interesse da comunidade acadêmica da região o que deve favorecer futuras publicações individuais e em parceria com pesquisadores da área de desenvolvimento, economia e relações internacionais que pesquisam neste campo. </w:t>
      </w:r>
    </w:p>
    <w:p w14:paraId="27AEF11E" w14:textId="77777777" w:rsidR="00093E99" w:rsidRPr="00093E99" w:rsidRDefault="00093E99" w:rsidP="00093E99">
      <w:pPr>
        <w:spacing w:after="0" w:line="240" w:lineRule="auto"/>
        <w:jc w:val="both"/>
        <w:rPr>
          <w:rFonts w:ascii="Times New Roman" w:hAnsi="Times New Roman" w:cs="Times New Roman"/>
          <w:sz w:val="24"/>
          <w:szCs w:val="24"/>
          <w:lang w:val="pt-BR"/>
        </w:rPr>
      </w:pPr>
    </w:p>
    <w:p w14:paraId="6D452C15" w14:textId="2A941771" w:rsidR="00F16D95" w:rsidRPr="008B0E7D" w:rsidRDefault="008F3DE0" w:rsidP="008B0E7D">
      <w:pPr>
        <w:spacing w:after="0" w:line="240" w:lineRule="auto"/>
        <w:ind w:right="-1"/>
        <w:jc w:val="both"/>
        <w:rPr>
          <w:rFonts w:ascii="Times New Roman" w:hAnsi="Times New Roman" w:cs="Times New Roman"/>
          <w:b/>
          <w:sz w:val="26"/>
          <w:szCs w:val="26"/>
          <w:lang w:val="pt-BR"/>
        </w:rPr>
      </w:pPr>
      <w:r w:rsidRPr="008B0E7D">
        <w:rPr>
          <w:rFonts w:ascii="Times New Roman" w:hAnsi="Times New Roman" w:cs="Times New Roman"/>
          <w:b/>
          <w:sz w:val="26"/>
          <w:szCs w:val="26"/>
          <w:lang w:val="pt-BR"/>
        </w:rPr>
        <w:t>Introdução</w:t>
      </w:r>
      <w:r w:rsidR="00ED64B6" w:rsidRPr="008B0E7D">
        <w:rPr>
          <w:rFonts w:ascii="Times New Roman" w:hAnsi="Times New Roman" w:cs="Times New Roman"/>
          <w:b/>
          <w:sz w:val="26"/>
          <w:szCs w:val="26"/>
          <w:lang w:val="pt-BR"/>
        </w:rPr>
        <w:t xml:space="preserve"> </w:t>
      </w:r>
    </w:p>
    <w:p w14:paraId="11B92056" w14:textId="5E8CB55D" w:rsidR="00295919" w:rsidRPr="0014716E" w:rsidRDefault="00E956F3" w:rsidP="008B0E7D">
      <w:pPr>
        <w:spacing w:after="0" w:line="360" w:lineRule="auto"/>
        <w:ind w:firstLine="567"/>
        <w:jc w:val="both"/>
        <w:rPr>
          <w:rFonts w:ascii="Times New Roman" w:hAnsi="Times New Roman" w:cs="Times New Roman"/>
          <w:sz w:val="24"/>
          <w:szCs w:val="24"/>
          <w:lang w:val="pt-BR"/>
        </w:rPr>
      </w:pPr>
      <w:r>
        <w:rPr>
          <w:rFonts w:ascii="Times New Roman" w:hAnsi="Times New Roman" w:cs="Times New Roman"/>
          <w:sz w:val="24"/>
          <w:szCs w:val="24"/>
          <w:lang w:val="pt-BR"/>
        </w:rPr>
        <w:t>O</w:t>
      </w:r>
      <w:r w:rsidR="00086F9B" w:rsidRPr="0014716E">
        <w:rPr>
          <w:rFonts w:ascii="Times New Roman" w:hAnsi="Times New Roman" w:cs="Times New Roman"/>
          <w:sz w:val="24"/>
          <w:szCs w:val="24"/>
          <w:lang w:val="pt-BR"/>
        </w:rPr>
        <w:t xml:space="preserve"> objetivo geral d</w:t>
      </w:r>
      <w:r w:rsidR="00FC0FC1" w:rsidRPr="0014716E">
        <w:rPr>
          <w:rFonts w:ascii="Times New Roman" w:hAnsi="Times New Roman" w:cs="Times New Roman"/>
          <w:sz w:val="24"/>
          <w:szCs w:val="24"/>
          <w:lang w:val="pt-BR"/>
        </w:rPr>
        <w:t>est</w:t>
      </w:r>
      <w:r w:rsidR="003C3202">
        <w:rPr>
          <w:rFonts w:ascii="Times New Roman" w:hAnsi="Times New Roman" w:cs="Times New Roman"/>
          <w:sz w:val="24"/>
          <w:szCs w:val="24"/>
          <w:lang w:val="pt-BR"/>
        </w:rPr>
        <w:t xml:space="preserve">a pesquisa foi </w:t>
      </w:r>
      <w:r w:rsidR="009A2055" w:rsidRPr="0014716E">
        <w:rPr>
          <w:rFonts w:ascii="Times New Roman" w:hAnsi="Times New Roman" w:cs="Times New Roman"/>
          <w:sz w:val="24"/>
          <w:szCs w:val="24"/>
          <w:lang w:val="pt-BR"/>
        </w:rPr>
        <w:t xml:space="preserve">compreender o sentido da </w:t>
      </w:r>
      <w:r w:rsidR="00502ACF" w:rsidRPr="0014716E">
        <w:rPr>
          <w:rFonts w:ascii="Times New Roman" w:hAnsi="Times New Roman" w:cs="Times New Roman"/>
          <w:sz w:val="24"/>
          <w:szCs w:val="24"/>
          <w:lang w:val="pt-BR"/>
        </w:rPr>
        <w:t>“</w:t>
      </w:r>
      <w:r w:rsidR="009A2055" w:rsidRPr="0014716E">
        <w:rPr>
          <w:rFonts w:ascii="Times New Roman" w:hAnsi="Times New Roman" w:cs="Times New Roman"/>
          <w:sz w:val="24"/>
          <w:szCs w:val="24"/>
          <w:lang w:val="pt-BR"/>
        </w:rPr>
        <w:t>diplomacia da propriedade intelectual</w:t>
      </w:r>
      <w:r w:rsidR="00502ACF" w:rsidRPr="0014716E">
        <w:rPr>
          <w:rFonts w:ascii="Times New Roman" w:hAnsi="Times New Roman" w:cs="Times New Roman"/>
          <w:sz w:val="24"/>
          <w:szCs w:val="24"/>
          <w:lang w:val="pt-BR"/>
        </w:rPr>
        <w:t>”</w:t>
      </w:r>
      <w:r w:rsidR="009A2055" w:rsidRPr="0014716E">
        <w:rPr>
          <w:rFonts w:ascii="Times New Roman" w:hAnsi="Times New Roman" w:cs="Times New Roman"/>
          <w:sz w:val="24"/>
          <w:szCs w:val="24"/>
          <w:lang w:val="pt-BR"/>
        </w:rPr>
        <w:t xml:space="preserve"> empreendida pelos países desenvolvidos sob a liderança dos EUA a partir dos anos 1980</w:t>
      </w:r>
      <w:r w:rsidR="00295919" w:rsidRPr="0014716E">
        <w:rPr>
          <w:rFonts w:ascii="Times New Roman" w:hAnsi="Times New Roman" w:cs="Times New Roman"/>
          <w:sz w:val="24"/>
          <w:szCs w:val="24"/>
          <w:lang w:val="pt-BR"/>
        </w:rPr>
        <w:t xml:space="preserve"> a partir de um ponto de vista bastante específico, qual seja, os fluxos internacionais de bens e serviços </w:t>
      </w:r>
      <w:r w:rsidR="00DE22D8">
        <w:rPr>
          <w:rFonts w:ascii="Times New Roman" w:hAnsi="Times New Roman" w:cs="Times New Roman"/>
          <w:sz w:val="24"/>
          <w:szCs w:val="24"/>
          <w:lang w:val="pt-BR"/>
        </w:rPr>
        <w:t>cujos valores</w:t>
      </w:r>
      <w:r w:rsidR="00295919" w:rsidRPr="0014716E">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têm relação direta com </w:t>
      </w:r>
      <w:r w:rsidR="00295919" w:rsidRPr="0014716E">
        <w:rPr>
          <w:rFonts w:ascii="Times New Roman" w:hAnsi="Times New Roman" w:cs="Times New Roman"/>
          <w:sz w:val="24"/>
          <w:szCs w:val="24"/>
          <w:lang w:val="pt-BR"/>
        </w:rPr>
        <w:t>os direitos de propriedade intelectual.</w:t>
      </w:r>
    </w:p>
    <w:p w14:paraId="1425B6D4" w14:textId="62D694F6" w:rsidR="003C3202" w:rsidRDefault="00E956F3" w:rsidP="008B0E7D">
      <w:pPr>
        <w:spacing w:after="0" w:line="360" w:lineRule="auto"/>
        <w:ind w:firstLine="567"/>
        <w:jc w:val="both"/>
        <w:rPr>
          <w:rFonts w:ascii="Times New Roman" w:hAnsi="Times New Roman" w:cs="Times New Roman"/>
          <w:sz w:val="24"/>
          <w:szCs w:val="24"/>
          <w:lang w:val="pt-BR"/>
        </w:rPr>
      </w:pPr>
      <w:r>
        <w:rPr>
          <w:rFonts w:ascii="Times New Roman" w:hAnsi="Times New Roman" w:cs="Times New Roman"/>
          <w:sz w:val="24"/>
          <w:szCs w:val="24"/>
          <w:lang w:val="pt-BR"/>
        </w:rPr>
        <w:t>É razoavelmente bem conhecido o</w:t>
      </w:r>
      <w:r w:rsidR="003C3202">
        <w:rPr>
          <w:rFonts w:ascii="Times New Roman" w:hAnsi="Times New Roman" w:cs="Times New Roman"/>
          <w:sz w:val="24"/>
          <w:szCs w:val="24"/>
          <w:lang w:val="pt-BR"/>
        </w:rPr>
        <w:t xml:space="preserve"> fato de </w:t>
      </w:r>
      <w:r w:rsidR="003C3202" w:rsidRPr="003C3202">
        <w:rPr>
          <w:rFonts w:ascii="Times New Roman" w:hAnsi="Times New Roman" w:cs="Times New Roman"/>
          <w:sz w:val="24"/>
          <w:szCs w:val="24"/>
          <w:lang w:val="pt-BR"/>
        </w:rPr>
        <w:t xml:space="preserve">que os países desenvolvidos e de alta renda vêm liderando o processo global para o estabelecimento de um arcabouço legal que garanta o retorno dos investimentos feitos por eles nas indústrias baseadas em informação e conhecimento. </w:t>
      </w:r>
      <w:r>
        <w:rPr>
          <w:rFonts w:ascii="Times New Roman" w:hAnsi="Times New Roman" w:cs="Times New Roman"/>
          <w:sz w:val="24"/>
          <w:szCs w:val="24"/>
          <w:lang w:val="pt-BR"/>
        </w:rPr>
        <w:t>U</w:t>
      </w:r>
      <w:r w:rsidR="003C3202">
        <w:rPr>
          <w:rFonts w:ascii="Times New Roman" w:hAnsi="Times New Roman" w:cs="Times New Roman"/>
          <w:sz w:val="24"/>
          <w:szCs w:val="24"/>
          <w:lang w:val="pt-BR"/>
        </w:rPr>
        <w:t xml:space="preserve">m dos resultados deste processo foi </w:t>
      </w:r>
      <w:r w:rsidR="003C3202" w:rsidRPr="003C3202">
        <w:rPr>
          <w:rFonts w:ascii="Times New Roman" w:hAnsi="Times New Roman" w:cs="Times New Roman"/>
          <w:sz w:val="24"/>
          <w:szCs w:val="24"/>
          <w:lang w:val="pt-BR"/>
        </w:rPr>
        <w:t xml:space="preserve">o desenvolvimento contínuo de um </w:t>
      </w:r>
      <w:r w:rsidR="003C3202">
        <w:rPr>
          <w:rFonts w:ascii="Times New Roman" w:hAnsi="Times New Roman" w:cs="Times New Roman"/>
          <w:sz w:val="24"/>
          <w:szCs w:val="24"/>
          <w:lang w:val="pt-BR"/>
        </w:rPr>
        <w:lastRenderedPageBreak/>
        <w:t xml:space="preserve">regime internacional </w:t>
      </w:r>
      <w:r w:rsidR="003C3202" w:rsidRPr="003C3202">
        <w:rPr>
          <w:rFonts w:ascii="Times New Roman" w:hAnsi="Times New Roman" w:cs="Times New Roman"/>
          <w:sz w:val="24"/>
          <w:szCs w:val="24"/>
          <w:lang w:val="pt-BR"/>
        </w:rPr>
        <w:t xml:space="preserve">de propriedade intelectual (PI) em todo o mundo. </w:t>
      </w:r>
      <w:r w:rsidR="00DA4DD8">
        <w:rPr>
          <w:rFonts w:ascii="Times New Roman" w:hAnsi="Times New Roman" w:cs="Times New Roman"/>
          <w:sz w:val="24"/>
          <w:szCs w:val="24"/>
          <w:lang w:val="pt-BR"/>
        </w:rPr>
        <w:t>A</w:t>
      </w:r>
      <w:r w:rsidR="003C3202" w:rsidRPr="003C3202">
        <w:rPr>
          <w:rFonts w:ascii="Times New Roman" w:hAnsi="Times New Roman" w:cs="Times New Roman"/>
          <w:sz w:val="24"/>
          <w:szCs w:val="24"/>
          <w:lang w:val="pt-BR"/>
        </w:rPr>
        <w:t xml:space="preserve"> adoção do Acordo TRIPS, a agenda TRIPS-</w:t>
      </w:r>
      <w:proofErr w:type="spellStart"/>
      <w:r w:rsidR="003C3202" w:rsidRPr="003C3202">
        <w:rPr>
          <w:rFonts w:ascii="Times New Roman" w:hAnsi="Times New Roman" w:cs="Times New Roman"/>
          <w:sz w:val="24"/>
          <w:szCs w:val="24"/>
          <w:lang w:val="pt-BR"/>
        </w:rPr>
        <w:t>plus</w:t>
      </w:r>
      <w:proofErr w:type="spellEnd"/>
      <w:r w:rsidR="003C3202" w:rsidRPr="003C3202">
        <w:rPr>
          <w:rFonts w:ascii="Times New Roman" w:hAnsi="Times New Roman" w:cs="Times New Roman"/>
          <w:sz w:val="24"/>
          <w:szCs w:val="24"/>
          <w:lang w:val="pt-BR"/>
        </w:rPr>
        <w:t xml:space="preserve"> e outros tipos de </w:t>
      </w:r>
      <w:r w:rsidR="00DA4DD8">
        <w:rPr>
          <w:rFonts w:ascii="Times New Roman" w:hAnsi="Times New Roman" w:cs="Times New Roman"/>
          <w:sz w:val="24"/>
          <w:szCs w:val="24"/>
          <w:lang w:val="pt-BR"/>
        </w:rPr>
        <w:t>reforço da legislação relativa à</w:t>
      </w:r>
      <w:r w:rsidR="003C3202" w:rsidRPr="003C3202">
        <w:rPr>
          <w:rFonts w:ascii="Times New Roman" w:hAnsi="Times New Roman" w:cs="Times New Roman"/>
          <w:sz w:val="24"/>
          <w:szCs w:val="24"/>
          <w:lang w:val="pt-BR"/>
        </w:rPr>
        <w:t xml:space="preserve"> PI estão profundamente ligados ao processo de desenvolvimento científico-tecnológico nesses países. O que não está claro, no entanto, são os resultados econômicos </w:t>
      </w:r>
      <w:r w:rsidR="00DE22D8">
        <w:rPr>
          <w:rFonts w:ascii="Times New Roman" w:hAnsi="Times New Roman" w:cs="Times New Roman"/>
          <w:sz w:val="24"/>
          <w:szCs w:val="24"/>
          <w:lang w:val="pt-BR"/>
        </w:rPr>
        <w:t xml:space="preserve">(supostamente </w:t>
      </w:r>
      <w:r w:rsidR="003C3202" w:rsidRPr="003C3202">
        <w:rPr>
          <w:rFonts w:ascii="Times New Roman" w:hAnsi="Times New Roman" w:cs="Times New Roman"/>
          <w:sz w:val="24"/>
          <w:szCs w:val="24"/>
          <w:lang w:val="pt-BR"/>
        </w:rPr>
        <w:t>positivos</w:t>
      </w:r>
      <w:r w:rsidR="00DE22D8">
        <w:rPr>
          <w:rFonts w:ascii="Times New Roman" w:hAnsi="Times New Roman" w:cs="Times New Roman"/>
          <w:sz w:val="24"/>
          <w:szCs w:val="24"/>
          <w:lang w:val="pt-BR"/>
        </w:rPr>
        <w:t>)</w:t>
      </w:r>
      <w:r w:rsidR="003C3202" w:rsidRPr="003C3202">
        <w:rPr>
          <w:rFonts w:ascii="Times New Roman" w:hAnsi="Times New Roman" w:cs="Times New Roman"/>
          <w:sz w:val="24"/>
          <w:szCs w:val="24"/>
          <w:lang w:val="pt-BR"/>
        </w:rPr>
        <w:t xml:space="preserve"> </w:t>
      </w:r>
      <w:r w:rsidR="00DE22D8">
        <w:rPr>
          <w:rFonts w:ascii="Times New Roman" w:hAnsi="Times New Roman" w:cs="Times New Roman"/>
          <w:sz w:val="24"/>
          <w:szCs w:val="24"/>
          <w:lang w:val="pt-BR"/>
        </w:rPr>
        <w:t>para este</w:t>
      </w:r>
      <w:r w:rsidR="00E41CFE">
        <w:rPr>
          <w:rFonts w:ascii="Times New Roman" w:hAnsi="Times New Roman" w:cs="Times New Roman"/>
          <w:sz w:val="24"/>
          <w:szCs w:val="24"/>
          <w:lang w:val="pt-BR"/>
        </w:rPr>
        <w:t xml:space="preserve"> grupo de </w:t>
      </w:r>
      <w:r w:rsidR="00DE22D8">
        <w:rPr>
          <w:rFonts w:ascii="Times New Roman" w:hAnsi="Times New Roman" w:cs="Times New Roman"/>
          <w:sz w:val="24"/>
          <w:szCs w:val="24"/>
          <w:lang w:val="pt-BR"/>
        </w:rPr>
        <w:t>países</w:t>
      </w:r>
      <w:r w:rsidR="003C3202" w:rsidRPr="003C3202">
        <w:rPr>
          <w:rFonts w:ascii="Times New Roman" w:hAnsi="Times New Roman" w:cs="Times New Roman"/>
          <w:sz w:val="24"/>
          <w:szCs w:val="24"/>
          <w:lang w:val="pt-BR"/>
        </w:rPr>
        <w:t>.</w:t>
      </w:r>
    </w:p>
    <w:p w14:paraId="6402690A" w14:textId="2DC6612F" w:rsidR="00DA4DD8" w:rsidRDefault="00E956F3" w:rsidP="003C3202">
      <w:pPr>
        <w:spacing w:after="0" w:line="360" w:lineRule="auto"/>
        <w:ind w:firstLine="56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Ao contrário dos </w:t>
      </w:r>
      <w:r w:rsidR="00DA4DD8" w:rsidRPr="00DA4DD8">
        <w:rPr>
          <w:rFonts w:ascii="Times New Roman" w:hAnsi="Times New Roman" w:cs="Times New Roman"/>
          <w:sz w:val="24"/>
          <w:szCs w:val="24"/>
          <w:lang w:val="pt-BR"/>
        </w:rPr>
        <w:t xml:space="preserve">países </w:t>
      </w:r>
      <w:r>
        <w:rPr>
          <w:rFonts w:ascii="Times New Roman" w:hAnsi="Times New Roman" w:cs="Times New Roman"/>
          <w:sz w:val="24"/>
          <w:szCs w:val="24"/>
          <w:lang w:val="pt-BR"/>
        </w:rPr>
        <w:t xml:space="preserve">desenvolvidos, os países considerados </w:t>
      </w:r>
      <w:r w:rsidR="00DA4DD8" w:rsidRPr="00DA4DD8">
        <w:rPr>
          <w:rFonts w:ascii="Times New Roman" w:hAnsi="Times New Roman" w:cs="Times New Roman"/>
          <w:sz w:val="24"/>
          <w:szCs w:val="24"/>
          <w:lang w:val="pt-BR"/>
        </w:rPr>
        <w:t>em desenvolvimento</w:t>
      </w:r>
      <w:r>
        <w:rPr>
          <w:rFonts w:ascii="Times New Roman" w:hAnsi="Times New Roman" w:cs="Times New Roman"/>
          <w:sz w:val="24"/>
          <w:szCs w:val="24"/>
          <w:lang w:val="pt-BR"/>
        </w:rPr>
        <w:t>, são</w:t>
      </w:r>
      <w:r w:rsidR="00DA4DD8" w:rsidRPr="00DA4DD8">
        <w:rPr>
          <w:rFonts w:ascii="Times New Roman" w:hAnsi="Times New Roman" w:cs="Times New Roman"/>
          <w:sz w:val="24"/>
          <w:szCs w:val="24"/>
          <w:lang w:val="pt-BR"/>
        </w:rPr>
        <w:t>, neste contexto</w:t>
      </w:r>
      <w:r>
        <w:rPr>
          <w:rFonts w:ascii="Times New Roman" w:hAnsi="Times New Roman" w:cs="Times New Roman"/>
          <w:sz w:val="24"/>
          <w:szCs w:val="24"/>
          <w:lang w:val="pt-BR"/>
        </w:rPr>
        <w:t xml:space="preserve">, </w:t>
      </w:r>
      <w:r w:rsidR="00DA4DD8" w:rsidRPr="00DA4DD8">
        <w:rPr>
          <w:rFonts w:ascii="Times New Roman" w:hAnsi="Times New Roman" w:cs="Times New Roman"/>
          <w:sz w:val="24"/>
          <w:szCs w:val="24"/>
          <w:lang w:val="pt-BR"/>
        </w:rPr>
        <w:t>considerados como sendo os seguidores</w:t>
      </w:r>
      <w:r w:rsidR="00226A75">
        <w:rPr>
          <w:rFonts w:ascii="Times New Roman" w:hAnsi="Times New Roman" w:cs="Times New Roman"/>
          <w:sz w:val="24"/>
          <w:szCs w:val="24"/>
          <w:lang w:val="pt-BR"/>
        </w:rPr>
        <w:t xml:space="preserve"> deste regime</w:t>
      </w:r>
      <w:r w:rsidR="00DA4DD8">
        <w:rPr>
          <w:rFonts w:ascii="Times New Roman" w:hAnsi="Times New Roman" w:cs="Times New Roman"/>
          <w:sz w:val="24"/>
          <w:szCs w:val="24"/>
          <w:lang w:val="pt-BR"/>
        </w:rPr>
        <w:t>,</w:t>
      </w:r>
      <w:r w:rsidR="00DA4DD8" w:rsidRPr="00DA4DD8">
        <w:rPr>
          <w:rFonts w:ascii="Times New Roman" w:hAnsi="Times New Roman" w:cs="Times New Roman"/>
          <w:sz w:val="24"/>
          <w:szCs w:val="24"/>
          <w:lang w:val="pt-BR"/>
        </w:rPr>
        <w:t xml:space="preserve"> na melhor das hipóteses. Segundo a literatura</w:t>
      </w:r>
      <w:r w:rsidR="00DA4DD8">
        <w:rPr>
          <w:rFonts w:ascii="Times New Roman" w:hAnsi="Times New Roman" w:cs="Times New Roman"/>
          <w:sz w:val="24"/>
          <w:szCs w:val="24"/>
          <w:lang w:val="pt-BR"/>
        </w:rPr>
        <w:t xml:space="preserve"> acadêmica</w:t>
      </w:r>
      <w:r w:rsidR="00A44F2B">
        <w:rPr>
          <w:rFonts w:ascii="Times New Roman" w:hAnsi="Times New Roman" w:cs="Times New Roman"/>
          <w:sz w:val="24"/>
          <w:szCs w:val="24"/>
          <w:lang w:val="pt-BR"/>
        </w:rPr>
        <w:t xml:space="preserve"> </w:t>
      </w:r>
      <w:r w:rsidR="00E638CE">
        <w:rPr>
          <w:rFonts w:ascii="Times New Roman" w:hAnsi="Times New Roman" w:cs="Times New Roman"/>
          <w:sz w:val="24"/>
          <w:szCs w:val="24"/>
          <w:lang w:val="pt-BR"/>
        </w:rPr>
        <w:t xml:space="preserve">que foi </w:t>
      </w:r>
      <w:r w:rsidR="00A44F2B">
        <w:rPr>
          <w:rFonts w:ascii="Times New Roman" w:hAnsi="Times New Roman" w:cs="Times New Roman"/>
          <w:sz w:val="24"/>
          <w:szCs w:val="24"/>
          <w:lang w:val="pt-BR"/>
        </w:rPr>
        <w:t>levantada durante esta pesquisa</w:t>
      </w:r>
      <w:r w:rsidR="00DA4DD8" w:rsidRPr="00DA4DD8">
        <w:rPr>
          <w:rFonts w:ascii="Times New Roman" w:hAnsi="Times New Roman" w:cs="Times New Roman"/>
          <w:sz w:val="24"/>
          <w:szCs w:val="24"/>
          <w:lang w:val="pt-BR"/>
        </w:rPr>
        <w:t xml:space="preserve">, os impactos do regime internacional de PI sobre </w:t>
      </w:r>
      <w:r w:rsidR="00DA4DD8">
        <w:rPr>
          <w:rFonts w:ascii="Times New Roman" w:hAnsi="Times New Roman" w:cs="Times New Roman"/>
          <w:sz w:val="24"/>
          <w:szCs w:val="24"/>
          <w:lang w:val="pt-BR"/>
        </w:rPr>
        <w:t xml:space="preserve">estes países </w:t>
      </w:r>
      <w:r w:rsidR="00012B8A">
        <w:rPr>
          <w:rFonts w:ascii="Times New Roman" w:hAnsi="Times New Roman" w:cs="Times New Roman"/>
          <w:sz w:val="24"/>
          <w:szCs w:val="24"/>
          <w:lang w:val="pt-BR"/>
        </w:rPr>
        <w:t>seriam</w:t>
      </w:r>
      <w:r w:rsidR="00DA4DD8" w:rsidRPr="00DA4DD8">
        <w:rPr>
          <w:rFonts w:ascii="Times New Roman" w:hAnsi="Times New Roman" w:cs="Times New Roman"/>
          <w:sz w:val="24"/>
          <w:szCs w:val="24"/>
          <w:lang w:val="pt-BR"/>
        </w:rPr>
        <w:t xml:space="preserve"> mais heterogêneos. As previsões variam entre: 1) afirmar que o regime internacional de PI poderia beneficiar os países em desenvolvimento: aumentando a transferência ou o acesso a novas tecnologias e conhecimentos (</w:t>
      </w:r>
      <w:proofErr w:type="spellStart"/>
      <w:r w:rsidR="00DA4DD8" w:rsidRPr="00DA4DD8">
        <w:rPr>
          <w:rFonts w:ascii="Times New Roman" w:hAnsi="Times New Roman" w:cs="Times New Roman"/>
          <w:sz w:val="24"/>
          <w:szCs w:val="24"/>
          <w:lang w:val="pt-BR"/>
        </w:rPr>
        <w:t>Branstetter</w:t>
      </w:r>
      <w:proofErr w:type="spellEnd"/>
      <w:r w:rsidR="00DA4DD8" w:rsidRPr="00DA4DD8">
        <w:rPr>
          <w:rFonts w:ascii="Times New Roman" w:hAnsi="Times New Roman" w:cs="Times New Roman"/>
          <w:sz w:val="24"/>
          <w:szCs w:val="24"/>
          <w:lang w:val="pt-BR"/>
        </w:rPr>
        <w:t xml:space="preserve"> </w:t>
      </w:r>
      <w:proofErr w:type="gramStart"/>
      <w:r w:rsidR="00DA4DD8" w:rsidRPr="00DA4DD8">
        <w:rPr>
          <w:rFonts w:ascii="Times New Roman" w:hAnsi="Times New Roman" w:cs="Times New Roman"/>
          <w:sz w:val="24"/>
          <w:szCs w:val="24"/>
          <w:lang w:val="pt-BR"/>
        </w:rPr>
        <w:t>et</w:t>
      </w:r>
      <w:proofErr w:type="gramEnd"/>
      <w:r w:rsidR="00DA4DD8" w:rsidRPr="00DA4DD8">
        <w:rPr>
          <w:rFonts w:ascii="Times New Roman" w:hAnsi="Times New Roman" w:cs="Times New Roman"/>
          <w:sz w:val="24"/>
          <w:szCs w:val="24"/>
          <w:lang w:val="pt-BR"/>
        </w:rPr>
        <w:t xml:space="preserve"> al., 2006; Park e </w:t>
      </w:r>
      <w:proofErr w:type="spellStart"/>
      <w:r w:rsidR="00DA4DD8" w:rsidRPr="00DA4DD8">
        <w:rPr>
          <w:rFonts w:ascii="Times New Roman" w:hAnsi="Times New Roman" w:cs="Times New Roman"/>
          <w:sz w:val="24"/>
          <w:szCs w:val="24"/>
          <w:lang w:val="pt-BR"/>
        </w:rPr>
        <w:t>Lippoldt</w:t>
      </w:r>
      <w:proofErr w:type="spellEnd"/>
      <w:r w:rsidR="00DA4DD8" w:rsidRPr="00DA4DD8">
        <w:rPr>
          <w:rFonts w:ascii="Times New Roman" w:hAnsi="Times New Roman" w:cs="Times New Roman"/>
          <w:sz w:val="24"/>
          <w:szCs w:val="24"/>
          <w:lang w:val="pt-BR"/>
        </w:rPr>
        <w:t xml:space="preserve">, 2008; Yang e </w:t>
      </w:r>
      <w:proofErr w:type="spellStart"/>
      <w:r w:rsidR="00DA4DD8" w:rsidRPr="00DA4DD8">
        <w:rPr>
          <w:rFonts w:ascii="Times New Roman" w:hAnsi="Times New Roman" w:cs="Times New Roman"/>
          <w:sz w:val="24"/>
          <w:szCs w:val="24"/>
          <w:lang w:val="pt-BR"/>
        </w:rPr>
        <w:t>Maskus</w:t>
      </w:r>
      <w:proofErr w:type="spellEnd"/>
      <w:r w:rsidR="00DA4DD8" w:rsidRPr="00DA4DD8">
        <w:rPr>
          <w:rFonts w:ascii="Times New Roman" w:hAnsi="Times New Roman" w:cs="Times New Roman"/>
          <w:sz w:val="24"/>
          <w:szCs w:val="24"/>
          <w:lang w:val="pt-BR"/>
        </w:rPr>
        <w:t>, 2009); aumentando os fluxos de entrada d</w:t>
      </w:r>
      <w:r w:rsidR="00DA4DD8">
        <w:rPr>
          <w:rFonts w:ascii="Times New Roman" w:hAnsi="Times New Roman" w:cs="Times New Roman"/>
          <w:sz w:val="24"/>
          <w:szCs w:val="24"/>
          <w:lang w:val="pt-BR"/>
        </w:rPr>
        <w:t>e</w:t>
      </w:r>
      <w:r w:rsidR="00DA4DD8" w:rsidRPr="00DA4DD8">
        <w:rPr>
          <w:rFonts w:ascii="Times New Roman" w:hAnsi="Times New Roman" w:cs="Times New Roman"/>
          <w:sz w:val="24"/>
          <w:szCs w:val="24"/>
          <w:lang w:val="pt-BR"/>
        </w:rPr>
        <w:t xml:space="preserve"> Investimento Estrangeiro Direto (IED), uma vez que as empresas podem estar menos preocupadas com o roubo de tecnologia por parte d</w:t>
      </w:r>
      <w:r w:rsidR="00DA4DD8">
        <w:rPr>
          <w:rFonts w:ascii="Times New Roman" w:hAnsi="Times New Roman" w:cs="Times New Roman"/>
          <w:sz w:val="24"/>
          <w:szCs w:val="24"/>
          <w:lang w:val="pt-BR"/>
        </w:rPr>
        <w:t xml:space="preserve">as empresas </w:t>
      </w:r>
      <w:r w:rsidR="00DA4DD8" w:rsidRPr="00DA4DD8">
        <w:rPr>
          <w:rFonts w:ascii="Times New Roman" w:hAnsi="Times New Roman" w:cs="Times New Roman"/>
          <w:sz w:val="24"/>
          <w:szCs w:val="24"/>
          <w:lang w:val="pt-BR"/>
        </w:rPr>
        <w:t>locais (</w:t>
      </w:r>
      <w:proofErr w:type="spellStart"/>
      <w:r w:rsidR="00DA4DD8" w:rsidRPr="00DA4DD8">
        <w:rPr>
          <w:rFonts w:ascii="Times New Roman" w:hAnsi="Times New Roman" w:cs="Times New Roman"/>
          <w:sz w:val="24"/>
          <w:szCs w:val="24"/>
          <w:lang w:val="pt-BR"/>
        </w:rPr>
        <w:t>Romer</w:t>
      </w:r>
      <w:proofErr w:type="spellEnd"/>
      <w:r w:rsidR="00DA4DD8" w:rsidRPr="00DA4DD8">
        <w:rPr>
          <w:rFonts w:ascii="Times New Roman" w:hAnsi="Times New Roman" w:cs="Times New Roman"/>
          <w:sz w:val="24"/>
          <w:szCs w:val="24"/>
          <w:lang w:val="pt-BR"/>
        </w:rPr>
        <w:t xml:space="preserve">, 1993; Mansfield, 1994; Shapiro e </w:t>
      </w:r>
      <w:proofErr w:type="spellStart"/>
      <w:r w:rsidR="00DA4DD8" w:rsidRPr="00DA4DD8">
        <w:rPr>
          <w:rFonts w:ascii="Times New Roman" w:hAnsi="Times New Roman" w:cs="Times New Roman"/>
          <w:sz w:val="24"/>
          <w:szCs w:val="24"/>
          <w:lang w:val="pt-BR"/>
        </w:rPr>
        <w:t>Hassett</w:t>
      </w:r>
      <w:proofErr w:type="spellEnd"/>
      <w:r w:rsidR="00DA4DD8" w:rsidRPr="00DA4DD8">
        <w:rPr>
          <w:rFonts w:ascii="Times New Roman" w:hAnsi="Times New Roman" w:cs="Times New Roman"/>
          <w:sz w:val="24"/>
          <w:szCs w:val="24"/>
          <w:lang w:val="pt-BR"/>
        </w:rPr>
        <w:t>, 2005); e aumentando atividades inventivas nos países avançados dirigidas aos mercados do mundo em desenvolvimento (</w:t>
      </w:r>
      <w:proofErr w:type="spellStart"/>
      <w:r w:rsidR="00DA4DD8" w:rsidRPr="00DA4DD8">
        <w:rPr>
          <w:rFonts w:ascii="Times New Roman" w:hAnsi="Times New Roman" w:cs="Times New Roman"/>
          <w:sz w:val="24"/>
          <w:szCs w:val="24"/>
          <w:lang w:val="pt-BR"/>
        </w:rPr>
        <w:t>Abrams</w:t>
      </w:r>
      <w:proofErr w:type="spellEnd"/>
      <w:r w:rsidR="00DA4DD8" w:rsidRPr="00DA4DD8">
        <w:rPr>
          <w:rFonts w:ascii="Times New Roman" w:hAnsi="Times New Roman" w:cs="Times New Roman"/>
          <w:sz w:val="24"/>
          <w:szCs w:val="24"/>
          <w:lang w:val="pt-BR"/>
        </w:rPr>
        <w:t xml:space="preserve">, 2009). E </w:t>
      </w:r>
      <w:proofErr w:type="gramStart"/>
      <w:r w:rsidR="00DA4DD8" w:rsidRPr="00DA4DD8">
        <w:rPr>
          <w:rFonts w:ascii="Times New Roman" w:hAnsi="Times New Roman" w:cs="Times New Roman"/>
          <w:sz w:val="24"/>
          <w:szCs w:val="24"/>
          <w:lang w:val="pt-BR"/>
        </w:rPr>
        <w:t>2</w:t>
      </w:r>
      <w:proofErr w:type="gramEnd"/>
      <w:r w:rsidR="00DA4DD8" w:rsidRPr="00DA4DD8">
        <w:rPr>
          <w:rFonts w:ascii="Times New Roman" w:hAnsi="Times New Roman" w:cs="Times New Roman"/>
          <w:sz w:val="24"/>
          <w:szCs w:val="24"/>
          <w:lang w:val="pt-BR"/>
        </w:rPr>
        <w:t xml:space="preserve">) afirmar que </w:t>
      </w:r>
      <w:r w:rsidR="00DA4DD8">
        <w:rPr>
          <w:rFonts w:ascii="Times New Roman" w:hAnsi="Times New Roman" w:cs="Times New Roman"/>
          <w:sz w:val="24"/>
          <w:szCs w:val="24"/>
          <w:lang w:val="pt-BR"/>
        </w:rPr>
        <w:t xml:space="preserve">as </w:t>
      </w:r>
      <w:r w:rsidR="00DA4DD8" w:rsidRPr="00DA4DD8">
        <w:rPr>
          <w:rFonts w:ascii="Times New Roman" w:hAnsi="Times New Roman" w:cs="Times New Roman"/>
          <w:sz w:val="24"/>
          <w:szCs w:val="24"/>
          <w:lang w:val="pt-BR"/>
        </w:rPr>
        <w:t xml:space="preserve">previsões </w:t>
      </w:r>
      <w:r w:rsidR="00DA4DD8">
        <w:rPr>
          <w:rFonts w:ascii="Times New Roman" w:hAnsi="Times New Roman" w:cs="Times New Roman"/>
          <w:sz w:val="24"/>
          <w:szCs w:val="24"/>
          <w:lang w:val="pt-BR"/>
        </w:rPr>
        <w:t>acima</w:t>
      </w:r>
      <w:r w:rsidR="00DA4DD8" w:rsidRPr="00DA4DD8">
        <w:rPr>
          <w:rFonts w:ascii="Times New Roman" w:hAnsi="Times New Roman" w:cs="Times New Roman"/>
          <w:sz w:val="24"/>
          <w:szCs w:val="24"/>
          <w:lang w:val="pt-BR"/>
        </w:rPr>
        <w:t xml:space="preserve"> são, na melhor das hipóteses, marginais</w:t>
      </w:r>
      <w:r w:rsidR="00DA4DD8">
        <w:rPr>
          <w:rFonts w:ascii="Times New Roman" w:hAnsi="Times New Roman" w:cs="Times New Roman"/>
          <w:sz w:val="24"/>
          <w:szCs w:val="24"/>
          <w:lang w:val="pt-BR"/>
        </w:rPr>
        <w:t>,</w:t>
      </w:r>
      <w:r w:rsidR="00DA4DD8" w:rsidRPr="00DA4DD8">
        <w:rPr>
          <w:rFonts w:ascii="Times New Roman" w:hAnsi="Times New Roman" w:cs="Times New Roman"/>
          <w:sz w:val="24"/>
          <w:szCs w:val="24"/>
          <w:lang w:val="pt-BR"/>
        </w:rPr>
        <w:t xml:space="preserve"> e que o regime de PI realmente impõe custos substanciais aos países em desenvolvimento: aumentando </w:t>
      </w:r>
      <w:r w:rsidR="00DA4DD8">
        <w:rPr>
          <w:rFonts w:ascii="Times New Roman" w:hAnsi="Times New Roman" w:cs="Times New Roman"/>
          <w:sz w:val="24"/>
          <w:szCs w:val="24"/>
          <w:lang w:val="pt-BR"/>
        </w:rPr>
        <w:t xml:space="preserve">os </w:t>
      </w:r>
      <w:r w:rsidR="00DA4DD8" w:rsidRPr="00DA4DD8">
        <w:rPr>
          <w:rFonts w:ascii="Times New Roman" w:hAnsi="Times New Roman" w:cs="Times New Roman"/>
          <w:sz w:val="24"/>
          <w:szCs w:val="24"/>
          <w:lang w:val="pt-BR"/>
        </w:rPr>
        <w:t xml:space="preserve">pagamentos de royalties aos países desenvolvidos (Chang, 2001, p. 302; Orsi e </w:t>
      </w:r>
      <w:proofErr w:type="spellStart"/>
      <w:r w:rsidR="00DA4DD8" w:rsidRPr="00DA4DD8">
        <w:rPr>
          <w:rFonts w:ascii="Times New Roman" w:hAnsi="Times New Roman" w:cs="Times New Roman"/>
          <w:sz w:val="24"/>
          <w:szCs w:val="24"/>
          <w:lang w:val="pt-BR"/>
        </w:rPr>
        <w:t>Coriat</w:t>
      </w:r>
      <w:proofErr w:type="spellEnd"/>
      <w:r w:rsidR="00DA4DD8" w:rsidRPr="00DA4DD8">
        <w:rPr>
          <w:rFonts w:ascii="Times New Roman" w:hAnsi="Times New Roman" w:cs="Times New Roman"/>
          <w:sz w:val="24"/>
          <w:szCs w:val="24"/>
          <w:lang w:val="pt-BR"/>
        </w:rPr>
        <w:t xml:space="preserve">, 2006, p. 174; May e </w:t>
      </w:r>
      <w:proofErr w:type="spellStart"/>
      <w:r w:rsidR="00DA4DD8" w:rsidRPr="00DA4DD8">
        <w:rPr>
          <w:rFonts w:ascii="Times New Roman" w:hAnsi="Times New Roman" w:cs="Times New Roman"/>
          <w:sz w:val="24"/>
          <w:szCs w:val="24"/>
          <w:lang w:val="pt-BR"/>
        </w:rPr>
        <w:t>Sell</w:t>
      </w:r>
      <w:proofErr w:type="spellEnd"/>
      <w:r w:rsidR="00DA4DD8" w:rsidRPr="00DA4DD8">
        <w:rPr>
          <w:rFonts w:ascii="Times New Roman" w:hAnsi="Times New Roman" w:cs="Times New Roman"/>
          <w:sz w:val="24"/>
          <w:szCs w:val="24"/>
          <w:lang w:val="pt-BR"/>
        </w:rPr>
        <w:t>, 2006, p. 187-188) e aumentando o poder das corporações transnacionais (</w:t>
      </w:r>
      <w:proofErr w:type="spellStart"/>
      <w:r w:rsidR="00DA4DD8" w:rsidRPr="00DA4DD8">
        <w:rPr>
          <w:rFonts w:ascii="Times New Roman" w:hAnsi="Times New Roman" w:cs="Times New Roman"/>
          <w:sz w:val="24"/>
          <w:szCs w:val="24"/>
          <w:lang w:val="pt-BR"/>
        </w:rPr>
        <w:t>TNCs</w:t>
      </w:r>
      <w:proofErr w:type="spellEnd"/>
      <w:r w:rsidR="00DA4DD8" w:rsidRPr="00DA4DD8">
        <w:rPr>
          <w:rFonts w:ascii="Times New Roman" w:hAnsi="Times New Roman" w:cs="Times New Roman"/>
          <w:sz w:val="24"/>
          <w:szCs w:val="24"/>
          <w:lang w:val="pt-BR"/>
        </w:rPr>
        <w:t>) em relação ao poder dos estados em desenvolvimento em restringir seus comportamentos monopolistas (</w:t>
      </w:r>
      <w:proofErr w:type="spellStart"/>
      <w:r w:rsidR="00DA4DD8" w:rsidRPr="00DA4DD8">
        <w:rPr>
          <w:rFonts w:ascii="Times New Roman" w:hAnsi="Times New Roman" w:cs="Times New Roman"/>
          <w:sz w:val="24"/>
          <w:szCs w:val="24"/>
          <w:lang w:val="pt-BR"/>
        </w:rPr>
        <w:t>Drahos</w:t>
      </w:r>
      <w:proofErr w:type="spellEnd"/>
      <w:r w:rsidR="00DA4DD8" w:rsidRPr="00DA4DD8">
        <w:rPr>
          <w:rFonts w:ascii="Times New Roman" w:hAnsi="Times New Roman" w:cs="Times New Roman"/>
          <w:sz w:val="24"/>
          <w:szCs w:val="24"/>
          <w:lang w:val="pt-BR"/>
        </w:rPr>
        <w:t>, 1995, p.16). -</w:t>
      </w:r>
      <w:proofErr w:type="gramStart"/>
      <w:r w:rsidR="00DA4DD8" w:rsidRPr="00DA4DD8">
        <w:rPr>
          <w:rFonts w:ascii="Times New Roman" w:hAnsi="Times New Roman" w:cs="Times New Roman"/>
          <w:sz w:val="24"/>
          <w:szCs w:val="24"/>
          <w:lang w:val="pt-BR"/>
        </w:rPr>
        <w:t xml:space="preserve">17; </w:t>
      </w:r>
      <w:proofErr w:type="spellStart"/>
      <w:r w:rsidR="00DA4DD8" w:rsidRPr="00DA4DD8">
        <w:rPr>
          <w:rFonts w:ascii="Times New Roman" w:hAnsi="Times New Roman" w:cs="Times New Roman"/>
          <w:sz w:val="24"/>
          <w:szCs w:val="24"/>
          <w:lang w:val="pt-BR"/>
        </w:rPr>
        <w:t>Sell</w:t>
      </w:r>
      <w:proofErr w:type="spellEnd"/>
      <w:r w:rsidR="00DA4DD8" w:rsidRPr="00DA4DD8">
        <w:rPr>
          <w:rFonts w:ascii="Times New Roman" w:hAnsi="Times New Roman" w:cs="Times New Roman"/>
          <w:sz w:val="24"/>
          <w:szCs w:val="24"/>
          <w:lang w:val="pt-BR"/>
        </w:rPr>
        <w:t xml:space="preserve">, 1999, pp. 169-172; </w:t>
      </w:r>
      <w:proofErr w:type="spellStart"/>
      <w:r w:rsidR="00DA4DD8" w:rsidRPr="00DA4DD8">
        <w:rPr>
          <w:rFonts w:ascii="Times New Roman" w:hAnsi="Times New Roman" w:cs="Times New Roman"/>
          <w:sz w:val="24"/>
          <w:szCs w:val="24"/>
          <w:lang w:val="pt-BR"/>
        </w:rPr>
        <w:t>Zeller</w:t>
      </w:r>
      <w:proofErr w:type="spellEnd"/>
      <w:r w:rsidR="00DA4DD8" w:rsidRPr="00DA4DD8">
        <w:rPr>
          <w:rFonts w:ascii="Times New Roman" w:hAnsi="Times New Roman" w:cs="Times New Roman"/>
          <w:sz w:val="24"/>
          <w:szCs w:val="24"/>
          <w:lang w:val="pt-BR"/>
        </w:rPr>
        <w:t>, 2010, p. 108-110)</w:t>
      </w:r>
      <w:proofErr w:type="gramEnd"/>
      <w:r w:rsidR="00DA4DD8" w:rsidRPr="00DA4DD8">
        <w:rPr>
          <w:rFonts w:ascii="Times New Roman" w:hAnsi="Times New Roman" w:cs="Times New Roman"/>
          <w:sz w:val="24"/>
          <w:szCs w:val="24"/>
          <w:lang w:val="pt-BR"/>
        </w:rPr>
        <w:t>.</w:t>
      </w:r>
    </w:p>
    <w:p w14:paraId="227BC577" w14:textId="5830C8CE" w:rsidR="00DE22D8" w:rsidRDefault="00DA4DD8" w:rsidP="003C3202">
      <w:pPr>
        <w:spacing w:after="0" w:line="360" w:lineRule="auto"/>
        <w:ind w:firstLine="56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Dado este contexto, nesta pesquisa </w:t>
      </w:r>
      <w:r w:rsidRPr="00DA4DD8">
        <w:rPr>
          <w:rFonts w:ascii="Times New Roman" w:hAnsi="Times New Roman" w:cs="Times New Roman"/>
          <w:sz w:val="24"/>
          <w:szCs w:val="24"/>
          <w:lang w:val="pt-BR"/>
        </w:rPr>
        <w:t xml:space="preserve">procuramos entender os efeitos que as amplas mudanças nas regras internacionais de PI tiveram no comércio transfronteiriço de </w:t>
      </w:r>
      <w:r>
        <w:rPr>
          <w:rFonts w:ascii="Times New Roman" w:hAnsi="Times New Roman" w:cs="Times New Roman"/>
          <w:sz w:val="24"/>
          <w:szCs w:val="24"/>
          <w:lang w:val="pt-BR"/>
        </w:rPr>
        <w:t xml:space="preserve">bens e serviços relacionados à </w:t>
      </w:r>
      <w:r w:rsidR="00012B8A">
        <w:rPr>
          <w:rFonts w:ascii="Times New Roman" w:hAnsi="Times New Roman" w:cs="Times New Roman"/>
          <w:sz w:val="24"/>
          <w:szCs w:val="24"/>
          <w:lang w:val="pt-BR"/>
        </w:rPr>
        <w:t>PI</w:t>
      </w:r>
      <w:r w:rsidRPr="00DA4DD8">
        <w:rPr>
          <w:rFonts w:ascii="Times New Roman" w:hAnsi="Times New Roman" w:cs="Times New Roman"/>
          <w:sz w:val="24"/>
          <w:szCs w:val="24"/>
          <w:lang w:val="pt-BR"/>
        </w:rPr>
        <w:t xml:space="preserve"> ao longo do tempo. Quando dividimos os países em </w:t>
      </w:r>
      <w:r>
        <w:rPr>
          <w:rFonts w:ascii="Times New Roman" w:hAnsi="Times New Roman" w:cs="Times New Roman"/>
          <w:sz w:val="24"/>
          <w:szCs w:val="24"/>
          <w:lang w:val="pt-BR"/>
        </w:rPr>
        <w:t xml:space="preserve">grupos de acordo com seus </w:t>
      </w:r>
      <w:r w:rsidRPr="00DA4DD8">
        <w:rPr>
          <w:rFonts w:ascii="Times New Roman" w:hAnsi="Times New Roman" w:cs="Times New Roman"/>
          <w:sz w:val="24"/>
          <w:szCs w:val="24"/>
          <w:lang w:val="pt-BR"/>
        </w:rPr>
        <w:t xml:space="preserve">níveis de desenvolvimento, níveis de renda ou </w:t>
      </w:r>
      <w:r>
        <w:rPr>
          <w:rFonts w:ascii="Times New Roman" w:hAnsi="Times New Roman" w:cs="Times New Roman"/>
          <w:sz w:val="24"/>
          <w:szCs w:val="24"/>
          <w:lang w:val="pt-BR"/>
        </w:rPr>
        <w:t xml:space="preserve">de acordo com suas </w:t>
      </w:r>
      <w:r w:rsidRPr="00DA4DD8">
        <w:rPr>
          <w:rFonts w:ascii="Times New Roman" w:hAnsi="Times New Roman" w:cs="Times New Roman"/>
          <w:sz w:val="24"/>
          <w:szCs w:val="24"/>
          <w:lang w:val="pt-BR"/>
        </w:rPr>
        <w:t>regiões geográficas, as previsões da literatura ainda não são claras sobre os custos e benefícios econ</w:t>
      </w:r>
      <w:r>
        <w:rPr>
          <w:rFonts w:ascii="Times New Roman" w:hAnsi="Times New Roman" w:cs="Times New Roman"/>
          <w:sz w:val="24"/>
          <w:szCs w:val="24"/>
          <w:lang w:val="pt-BR"/>
        </w:rPr>
        <w:t>ômicos gerais relacionados aos direitos de propriedade intelectual (</w:t>
      </w:r>
      <w:proofErr w:type="spellStart"/>
      <w:r>
        <w:rPr>
          <w:rFonts w:ascii="Times New Roman" w:hAnsi="Times New Roman" w:cs="Times New Roman"/>
          <w:sz w:val="24"/>
          <w:szCs w:val="24"/>
          <w:lang w:val="pt-BR"/>
        </w:rPr>
        <w:t>DPIs</w:t>
      </w:r>
      <w:proofErr w:type="spellEnd"/>
      <w:r>
        <w:rPr>
          <w:rFonts w:ascii="Times New Roman" w:hAnsi="Times New Roman" w:cs="Times New Roman"/>
          <w:sz w:val="24"/>
          <w:szCs w:val="24"/>
          <w:lang w:val="pt-BR"/>
        </w:rPr>
        <w:t>)</w:t>
      </w:r>
      <w:r w:rsidRPr="00DA4DD8">
        <w:rPr>
          <w:rFonts w:ascii="Times New Roman" w:hAnsi="Times New Roman" w:cs="Times New Roman"/>
          <w:sz w:val="24"/>
          <w:szCs w:val="24"/>
          <w:lang w:val="pt-BR"/>
        </w:rPr>
        <w:t>. Na melhor das hipóteses, os trabalhos estabelecem relações indiretas complexas entre a adoção d</w:t>
      </w:r>
      <w:r w:rsidR="00012B8A">
        <w:rPr>
          <w:rFonts w:ascii="Times New Roman" w:hAnsi="Times New Roman" w:cs="Times New Roman"/>
          <w:sz w:val="24"/>
          <w:szCs w:val="24"/>
          <w:lang w:val="pt-BR"/>
        </w:rPr>
        <w:t>os</w:t>
      </w:r>
      <w:r w:rsidRPr="00DA4DD8">
        <w:rPr>
          <w:rFonts w:ascii="Times New Roman" w:hAnsi="Times New Roman" w:cs="Times New Roman"/>
          <w:sz w:val="24"/>
          <w:szCs w:val="24"/>
          <w:lang w:val="pt-BR"/>
        </w:rPr>
        <w:t xml:space="preserve"> </w:t>
      </w:r>
      <w:proofErr w:type="spellStart"/>
      <w:r w:rsidRPr="00DA4DD8">
        <w:rPr>
          <w:rFonts w:ascii="Times New Roman" w:hAnsi="Times New Roman" w:cs="Times New Roman"/>
          <w:sz w:val="24"/>
          <w:szCs w:val="24"/>
          <w:lang w:val="pt-BR"/>
        </w:rPr>
        <w:t>DPIs</w:t>
      </w:r>
      <w:proofErr w:type="spellEnd"/>
      <w:r w:rsidRPr="00DA4DD8">
        <w:rPr>
          <w:rFonts w:ascii="Times New Roman" w:hAnsi="Times New Roman" w:cs="Times New Roman"/>
          <w:sz w:val="24"/>
          <w:szCs w:val="24"/>
          <w:lang w:val="pt-BR"/>
        </w:rPr>
        <w:t xml:space="preserve"> e o impacto </w:t>
      </w:r>
      <w:r w:rsidR="000F4FE3">
        <w:rPr>
          <w:rFonts w:ascii="Times New Roman" w:hAnsi="Times New Roman" w:cs="Times New Roman"/>
          <w:sz w:val="24"/>
          <w:szCs w:val="24"/>
          <w:lang w:val="pt-BR"/>
        </w:rPr>
        <w:t>dessas políticas, leis e instituições</w:t>
      </w:r>
      <w:r w:rsidRPr="00DA4DD8">
        <w:rPr>
          <w:rFonts w:ascii="Times New Roman" w:hAnsi="Times New Roman" w:cs="Times New Roman"/>
          <w:sz w:val="24"/>
          <w:szCs w:val="24"/>
          <w:lang w:val="pt-BR"/>
        </w:rPr>
        <w:t xml:space="preserve"> sobre o crescimento econômico, </w:t>
      </w:r>
      <w:r w:rsidR="00012B8A">
        <w:rPr>
          <w:rFonts w:ascii="Times New Roman" w:hAnsi="Times New Roman" w:cs="Times New Roman"/>
          <w:sz w:val="24"/>
          <w:szCs w:val="24"/>
          <w:lang w:val="pt-BR"/>
        </w:rPr>
        <w:t>sobre a</w:t>
      </w:r>
      <w:r w:rsidRPr="00DA4DD8">
        <w:rPr>
          <w:rFonts w:ascii="Times New Roman" w:hAnsi="Times New Roman" w:cs="Times New Roman"/>
          <w:sz w:val="24"/>
          <w:szCs w:val="24"/>
          <w:lang w:val="pt-BR"/>
        </w:rPr>
        <w:t xml:space="preserve"> variação </w:t>
      </w:r>
      <w:r w:rsidR="00DE22D8">
        <w:rPr>
          <w:rFonts w:ascii="Times New Roman" w:hAnsi="Times New Roman" w:cs="Times New Roman"/>
          <w:sz w:val="24"/>
          <w:szCs w:val="24"/>
          <w:lang w:val="pt-BR"/>
        </w:rPr>
        <w:t>d</w:t>
      </w:r>
      <w:r>
        <w:rPr>
          <w:rFonts w:ascii="Times New Roman" w:hAnsi="Times New Roman" w:cs="Times New Roman"/>
          <w:sz w:val="24"/>
          <w:szCs w:val="24"/>
          <w:lang w:val="pt-BR"/>
        </w:rPr>
        <w:t>os</w:t>
      </w:r>
      <w:r w:rsidRPr="00DA4DD8">
        <w:rPr>
          <w:rFonts w:ascii="Times New Roman" w:hAnsi="Times New Roman" w:cs="Times New Roman"/>
          <w:sz w:val="24"/>
          <w:szCs w:val="24"/>
          <w:lang w:val="pt-BR"/>
        </w:rPr>
        <w:t xml:space="preserve"> </w:t>
      </w:r>
      <w:r w:rsidR="000F4FE3">
        <w:rPr>
          <w:rFonts w:ascii="Times New Roman" w:hAnsi="Times New Roman" w:cs="Times New Roman"/>
          <w:sz w:val="24"/>
          <w:szCs w:val="24"/>
          <w:lang w:val="pt-BR"/>
        </w:rPr>
        <w:t xml:space="preserve">fluxos de </w:t>
      </w:r>
      <w:r w:rsidRPr="00DA4DD8">
        <w:rPr>
          <w:rFonts w:ascii="Times New Roman" w:hAnsi="Times New Roman" w:cs="Times New Roman"/>
          <w:sz w:val="24"/>
          <w:szCs w:val="24"/>
          <w:lang w:val="pt-BR"/>
        </w:rPr>
        <w:t xml:space="preserve">IED, </w:t>
      </w:r>
      <w:r>
        <w:rPr>
          <w:rFonts w:ascii="Times New Roman" w:hAnsi="Times New Roman" w:cs="Times New Roman"/>
          <w:sz w:val="24"/>
          <w:szCs w:val="24"/>
          <w:lang w:val="pt-BR"/>
        </w:rPr>
        <w:t xml:space="preserve">nos </w:t>
      </w:r>
      <w:r w:rsidRPr="00DA4DD8">
        <w:rPr>
          <w:rFonts w:ascii="Times New Roman" w:hAnsi="Times New Roman" w:cs="Times New Roman"/>
          <w:sz w:val="24"/>
          <w:szCs w:val="24"/>
          <w:lang w:val="pt-BR"/>
        </w:rPr>
        <w:t>depósitos de patentes,</w:t>
      </w:r>
      <w:r>
        <w:rPr>
          <w:rFonts w:ascii="Times New Roman" w:hAnsi="Times New Roman" w:cs="Times New Roman"/>
          <w:sz w:val="24"/>
          <w:szCs w:val="24"/>
          <w:lang w:val="pt-BR"/>
        </w:rPr>
        <w:t xml:space="preserve"> nos</w:t>
      </w:r>
      <w:r w:rsidRPr="00DA4DD8">
        <w:rPr>
          <w:rFonts w:ascii="Times New Roman" w:hAnsi="Times New Roman" w:cs="Times New Roman"/>
          <w:sz w:val="24"/>
          <w:szCs w:val="24"/>
          <w:lang w:val="pt-BR"/>
        </w:rPr>
        <w:t xml:space="preserve"> investimentos em </w:t>
      </w:r>
      <w:r>
        <w:rPr>
          <w:rFonts w:ascii="Times New Roman" w:hAnsi="Times New Roman" w:cs="Times New Roman"/>
          <w:sz w:val="24"/>
          <w:szCs w:val="24"/>
          <w:lang w:val="pt-BR"/>
        </w:rPr>
        <w:t>pesquisa e desenvolvimento (</w:t>
      </w:r>
      <w:r w:rsidRPr="00DA4DD8">
        <w:rPr>
          <w:rFonts w:ascii="Times New Roman" w:hAnsi="Times New Roman" w:cs="Times New Roman"/>
          <w:sz w:val="24"/>
          <w:szCs w:val="24"/>
          <w:lang w:val="pt-BR"/>
        </w:rPr>
        <w:t>P&amp;D</w:t>
      </w:r>
      <w:r>
        <w:rPr>
          <w:rFonts w:ascii="Times New Roman" w:hAnsi="Times New Roman" w:cs="Times New Roman"/>
          <w:sz w:val="24"/>
          <w:szCs w:val="24"/>
          <w:lang w:val="pt-BR"/>
        </w:rPr>
        <w:t>)</w:t>
      </w:r>
      <w:r w:rsidR="00DE22D8">
        <w:rPr>
          <w:rFonts w:ascii="Times New Roman" w:hAnsi="Times New Roman" w:cs="Times New Roman"/>
          <w:sz w:val="24"/>
          <w:szCs w:val="24"/>
          <w:lang w:val="pt-BR"/>
        </w:rPr>
        <w:t xml:space="preserve"> e</w:t>
      </w:r>
      <w:r w:rsidRPr="00DA4DD8">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no </w:t>
      </w:r>
      <w:r w:rsidRPr="00DA4DD8">
        <w:rPr>
          <w:rFonts w:ascii="Times New Roman" w:hAnsi="Times New Roman" w:cs="Times New Roman"/>
          <w:sz w:val="24"/>
          <w:szCs w:val="24"/>
          <w:lang w:val="pt-BR"/>
        </w:rPr>
        <w:t xml:space="preserve">comércio </w:t>
      </w:r>
      <w:r>
        <w:rPr>
          <w:rFonts w:ascii="Times New Roman" w:hAnsi="Times New Roman" w:cs="Times New Roman"/>
          <w:sz w:val="24"/>
          <w:szCs w:val="24"/>
          <w:lang w:val="pt-BR"/>
        </w:rPr>
        <w:t>inte</w:t>
      </w:r>
      <w:r w:rsidR="00DE22D8">
        <w:rPr>
          <w:rFonts w:ascii="Times New Roman" w:hAnsi="Times New Roman" w:cs="Times New Roman"/>
          <w:sz w:val="24"/>
          <w:szCs w:val="24"/>
          <w:lang w:val="pt-BR"/>
        </w:rPr>
        <w:t>r</w:t>
      </w:r>
      <w:r>
        <w:rPr>
          <w:rFonts w:ascii="Times New Roman" w:hAnsi="Times New Roman" w:cs="Times New Roman"/>
          <w:sz w:val="24"/>
          <w:szCs w:val="24"/>
          <w:lang w:val="pt-BR"/>
        </w:rPr>
        <w:t xml:space="preserve">nacional. </w:t>
      </w:r>
    </w:p>
    <w:p w14:paraId="17F38FE9" w14:textId="29B343F9" w:rsidR="00DA4DD8" w:rsidRDefault="00DA4DD8" w:rsidP="003C3202">
      <w:pPr>
        <w:spacing w:after="0" w:line="360" w:lineRule="auto"/>
        <w:ind w:firstLine="567"/>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Nossa pesquisa pretendeu </w:t>
      </w:r>
      <w:r w:rsidRPr="00DA4DD8">
        <w:rPr>
          <w:rFonts w:ascii="Times New Roman" w:hAnsi="Times New Roman" w:cs="Times New Roman"/>
          <w:sz w:val="24"/>
          <w:szCs w:val="24"/>
          <w:lang w:val="pt-BR"/>
        </w:rPr>
        <w:t xml:space="preserve">ir além dessas relações indiretas </w:t>
      </w:r>
      <w:r w:rsidR="00A423E7">
        <w:rPr>
          <w:rFonts w:ascii="Times New Roman" w:hAnsi="Times New Roman" w:cs="Times New Roman"/>
          <w:sz w:val="24"/>
          <w:szCs w:val="24"/>
          <w:lang w:val="pt-BR"/>
        </w:rPr>
        <w:t xml:space="preserve">ao tentar fazer uma análise </w:t>
      </w:r>
      <w:r w:rsidRPr="00DA4DD8">
        <w:rPr>
          <w:rFonts w:ascii="Times New Roman" w:hAnsi="Times New Roman" w:cs="Times New Roman"/>
          <w:sz w:val="24"/>
          <w:szCs w:val="24"/>
          <w:lang w:val="pt-BR"/>
        </w:rPr>
        <w:t>cuidadosa</w:t>
      </w:r>
      <w:r w:rsidR="00A423E7">
        <w:rPr>
          <w:rFonts w:ascii="Times New Roman" w:hAnsi="Times New Roman" w:cs="Times New Roman"/>
          <w:sz w:val="24"/>
          <w:szCs w:val="24"/>
          <w:lang w:val="pt-BR"/>
        </w:rPr>
        <w:t xml:space="preserve"> e profunda d</w:t>
      </w:r>
      <w:r w:rsidRPr="00DA4DD8">
        <w:rPr>
          <w:rFonts w:ascii="Times New Roman" w:hAnsi="Times New Roman" w:cs="Times New Roman"/>
          <w:sz w:val="24"/>
          <w:szCs w:val="24"/>
          <w:lang w:val="pt-BR"/>
        </w:rPr>
        <w:t xml:space="preserve">os dados </w:t>
      </w:r>
      <w:r w:rsidR="00A423E7">
        <w:rPr>
          <w:rFonts w:ascii="Times New Roman" w:hAnsi="Times New Roman" w:cs="Times New Roman"/>
          <w:sz w:val="24"/>
          <w:szCs w:val="24"/>
          <w:lang w:val="pt-BR"/>
        </w:rPr>
        <w:t xml:space="preserve">do balanço de pagamentos </w:t>
      </w:r>
      <w:r w:rsidRPr="00DA4DD8">
        <w:rPr>
          <w:rFonts w:ascii="Times New Roman" w:hAnsi="Times New Roman" w:cs="Times New Roman"/>
          <w:sz w:val="24"/>
          <w:szCs w:val="24"/>
          <w:lang w:val="pt-BR"/>
        </w:rPr>
        <w:t>espec</w:t>
      </w:r>
      <w:r w:rsidR="00A423E7">
        <w:rPr>
          <w:rFonts w:ascii="Times New Roman" w:hAnsi="Times New Roman" w:cs="Times New Roman"/>
          <w:sz w:val="24"/>
          <w:szCs w:val="24"/>
          <w:lang w:val="pt-BR"/>
        </w:rPr>
        <w:t>i</w:t>
      </w:r>
      <w:r w:rsidRPr="00DA4DD8">
        <w:rPr>
          <w:rFonts w:ascii="Times New Roman" w:hAnsi="Times New Roman" w:cs="Times New Roman"/>
          <w:sz w:val="24"/>
          <w:szCs w:val="24"/>
          <w:lang w:val="pt-BR"/>
        </w:rPr>
        <w:t>fic</w:t>
      </w:r>
      <w:r w:rsidR="000F4FE3">
        <w:rPr>
          <w:rFonts w:ascii="Times New Roman" w:hAnsi="Times New Roman" w:cs="Times New Roman"/>
          <w:sz w:val="24"/>
          <w:szCs w:val="24"/>
          <w:lang w:val="pt-BR"/>
        </w:rPr>
        <w:t>amente</w:t>
      </w:r>
      <w:r w:rsidR="00A423E7">
        <w:rPr>
          <w:rFonts w:ascii="Times New Roman" w:hAnsi="Times New Roman" w:cs="Times New Roman"/>
          <w:sz w:val="24"/>
          <w:szCs w:val="24"/>
          <w:lang w:val="pt-BR"/>
        </w:rPr>
        <w:t xml:space="preserve"> relacionados </w:t>
      </w:r>
      <w:r w:rsidR="000F4FE3">
        <w:rPr>
          <w:rFonts w:ascii="Times New Roman" w:hAnsi="Times New Roman" w:cs="Times New Roman"/>
          <w:sz w:val="24"/>
          <w:szCs w:val="24"/>
          <w:lang w:val="pt-BR"/>
        </w:rPr>
        <w:t>com</w:t>
      </w:r>
      <w:r w:rsidR="00A423E7">
        <w:rPr>
          <w:rFonts w:ascii="Times New Roman" w:hAnsi="Times New Roman" w:cs="Times New Roman"/>
          <w:sz w:val="24"/>
          <w:szCs w:val="24"/>
          <w:lang w:val="pt-BR"/>
        </w:rPr>
        <w:t xml:space="preserve"> </w:t>
      </w:r>
      <w:r w:rsidR="00012B8A">
        <w:rPr>
          <w:rFonts w:ascii="Times New Roman" w:hAnsi="Times New Roman" w:cs="Times New Roman"/>
          <w:sz w:val="24"/>
          <w:szCs w:val="24"/>
          <w:lang w:val="pt-BR"/>
        </w:rPr>
        <w:t xml:space="preserve">o </w:t>
      </w:r>
      <w:r w:rsidR="00A423E7">
        <w:rPr>
          <w:rFonts w:ascii="Times New Roman" w:hAnsi="Times New Roman" w:cs="Times New Roman"/>
          <w:sz w:val="24"/>
          <w:szCs w:val="24"/>
          <w:lang w:val="pt-BR"/>
        </w:rPr>
        <w:t xml:space="preserve">comércio </w:t>
      </w:r>
      <w:r w:rsidR="000F4FE3">
        <w:rPr>
          <w:rFonts w:ascii="Times New Roman" w:hAnsi="Times New Roman" w:cs="Times New Roman"/>
          <w:sz w:val="24"/>
          <w:szCs w:val="24"/>
          <w:lang w:val="pt-BR"/>
        </w:rPr>
        <w:t xml:space="preserve">transfronteiriço </w:t>
      </w:r>
      <w:r w:rsidR="00A423E7">
        <w:rPr>
          <w:rFonts w:ascii="Times New Roman" w:hAnsi="Times New Roman" w:cs="Times New Roman"/>
          <w:sz w:val="24"/>
          <w:szCs w:val="24"/>
          <w:lang w:val="pt-BR"/>
        </w:rPr>
        <w:t>de ben</w:t>
      </w:r>
      <w:r w:rsidR="000F4FE3">
        <w:rPr>
          <w:rFonts w:ascii="Times New Roman" w:hAnsi="Times New Roman" w:cs="Times New Roman"/>
          <w:sz w:val="24"/>
          <w:szCs w:val="24"/>
          <w:lang w:val="pt-BR"/>
        </w:rPr>
        <w:t>s</w:t>
      </w:r>
      <w:r w:rsidR="00A423E7">
        <w:rPr>
          <w:rFonts w:ascii="Times New Roman" w:hAnsi="Times New Roman" w:cs="Times New Roman"/>
          <w:sz w:val="24"/>
          <w:szCs w:val="24"/>
          <w:lang w:val="pt-BR"/>
        </w:rPr>
        <w:t xml:space="preserve"> e serviços que dependem d</w:t>
      </w:r>
      <w:r w:rsidRPr="00DA4DD8">
        <w:rPr>
          <w:rFonts w:ascii="Times New Roman" w:hAnsi="Times New Roman" w:cs="Times New Roman"/>
          <w:sz w:val="24"/>
          <w:szCs w:val="24"/>
          <w:lang w:val="pt-BR"/>
        </w:rPr>
        <w:t>a P</w:t>
      </w:r>
      <w:r w:rsidR="00A423E7">
        <w:rPr>
          <w:rFonts w:ascii="Times New Roman" w:hAnsi="Times New Roman" w:cs="Times New Roman"/>
          <w:sz w:val="24"/>
          <w:szCs w:val="24"/>
          <w:lang w:val="pt-BR"/>
        </w:rPr>
        <w:t>I</w:t>
      </w:r>
      <w:r w:rsidRPr="00DA4DD8">
        <w:rPr>
          <w:rFonts w:ascii="Times New Roman" w:hAnsi="Times New Roman" w:cs="Times New Roman"/>
          <w:sz w:val="24"/>
          <w:szCs w:val="24"/>
          <w:lang w:val="pt-BR"/>
        </w:rPr>
        <w:t xml:space="preserve"> para cada país e analisá-los em nível global</w:t>
      </w:r>
      <w:r w:rsidR="00E66273">
        <w:rPr>
          <w:rFonts w:ascii="Times New Roman" w:hAnsi="Times New Roman" w:cs="Times New Roman"/>
          <w:sz w:val="24"/>
          <w:szCs w:val="24"/>
          <w:lang w:val="pt-BR"/>
        </w:rPr>
        <w:t>, o que deve ser considerado um primeiro passo de verificação empírica do debate teórico em torno do tema</w:t>
      </w:r>
      <w:r w:rsidRPr="00DA4DD8">
        <w:rPr>
          <w:rFonts w:ascii="Times New Roman" w:hAnsi="Times New Roman" w:cs="Times New Roman"/>
          <w:sz w:val="24"/>
          <w:szCs w:val="24"/>
          <w:lang w:val="pt-BR"/>
        </w:rPr>
        <w:t xml:space="preserve">. </w:t>
      </w:r>
    </w:p>
    <w:p w14:paraId="074A1741" w14:textId="723E3588" w:rsidR="000F4FE3" w:rsidRDefault="00E638CE" w:rsidP="000F4FE3">
      <w:pPr>
        <w:spacing w:after="0" w:line="360" w:lineRule="auto"/>
        <w:ind w:firstLine="567"/>
        <w:jc w:val="both"/>
        <w:rPr>
          <w:rFonts w:ascii="Times New Roman" w:hAnsi="Times New Roman" w:cs="Times New Roman"/>
          <w:sz w:val="24"/>
          <w:szCs w:val="24"/>
          <w:lang w:val="pt-BR"/>
        </w:rPr>
      </w:pPr>
      <w:r>
        <w:rPr>
          <w:rFonts w:ascii="Times New Roman" w:hAnsi="Times New Roman" w:cs="Times New Roman"/>
          <w:sz w:val="24"/>
          <w:szCs w:val="24"/>
          <w:lang w:val="pt-BR"/>
        </w:rPr>
        <w:t>Nesse sentido, nosso primeiro passo foi fazer u</w:t>
      </w:r>
      <w:r w:rsidR="00295919" w:rsidRPr="0014716E">
        <w:rPr>
          <w:rFonts w:ascii="Times New Roman" w:hAnsi="Times New Roman" w:cs="Times New Roman"/>
          <w:sz w:val="24"/>
          <w:szCs w:val="24"/>
          <w:lang w:val="pt-BR"/>
        </w:rPr>
        <w:t xml:space="preserve">ma </w:t>
      </w:r>
      <w:r w:rsidR="00DE22D8">
        <w:rPr>
          <w:rFonts w:ascii="Times New Roman" w:hAnsi="Times New Roman" w:cs="Times New Roman"/>
          <w:sz w:val="24"/>
          <w:szCs w:val="24"/>
          <w:lang w:val="pt-BR"/>
        </w:rPr>
        <w:t>ampla</w:t>
      </w:r>
      <w:r w:rsidR="00295919" w:rsidRPr="0014716E">
        <w:rPr>
          <w:rFonts w:ascii="Times New Roman" w:hAnsi="Times New Roman" w:cs="Times New Roman"/>
          <w:sz w:val="24"/>
          <w:szCs w:val="24"/>
          <w:lang w:val="pt-BR"/>
        </w:rPr>
        <w:t xml:space="preserve"> varredura na literatura acadêmica</w:t>
      </w:r>
      <w:r>
        <w:rPr>
          <w:rFonts w:ascii="Times New Roman" w:hAnsi="Times New Roman" w:cs="Times New Roman"/>
          <w:sz w:val="24"/>
          <w:szCs w:val="24"/>
          <w:lang w:val="pt-BR"/>
        </w:rPr>
        <w:t xml:space="preserve"> que lida</w:t>
      </w:r>
      <w:r w:rsidR="00295919" w:rsidRPr="0014716E">
        <w:rPr>
          <w:rFonts w:ascii="Times New Roman" w:hAnsi="Times New Roman" w:cs="Times New Roman"/>
          <w:sz w:val="24"/>
          <w:szCs w:val="24"/>
          <w:lang w:val="pt-BR"/>
        </w:rPr>
        <w:t xml:space="preserve"> com este tipo de dado</w:t>
      </w:r>
      <w:r>
        <w:rPr>
          <w:rFonts w:ascii="Times New Roman" w:hAnsi="Times New Roman" w:cs="Times New Roman"/>
          <w:sz w:val="24"/>
          <w:szCs w:val="24"/>
          <w:lang w:val="pt-BR"/>
        </w:rPr>
        <w:t>.</w:t>
      </w:r>
      <w:r w:rsidR="003C3202">
        <w:rPr>
          <w:rFonts w:ascii="Times New Roman" w:hAnsi="Times New Roman" w:cs="Times New Roman"/>
          <w:sz w:val="24"/>
          <w:szCs w:val="24"/>
          <w:lang w:val="pt-BR"/>
        </w:rPr>
        <w:t xml:space="preserve"> </w:t>
      </w:r>
      <w:r w:rsidRPr="00E638CE">
        <w:rPr>
          <w:rFonts w:ascii="Times New Roman" w:hAnsi="Times New Roman" w:cs="Times New Roman"/>
          <w:sz w:val="24"/>
          <w:szCs w:val="24"/>
          <w:lang w:val="pt-BR"/>
        </w:rPr>
        <w:t xml:space="preserve">O resultado foi </w:t>
      </w:r>
      <w:proofErr w:type="gramStart"/>
      <w:r w:rsidRPr="00E638CE">
        <w:rPr>
          <w:rFonts w:ascii="Times New Roman" w:hAnsi="Times New Roman" w:cs="Times New Roman"/>
          <w:sz w:val="24"/>
          <w:szCs w:val="24"/>
          <w:lang w:val="pt-BR"/>
        </w:rPr>
        <w:t>a</w:t>
      </w:r>
      <w:proofErr w:type="gramEnd"/>
      <w:r w:rsidRPr="00E638CE">
        <w:rPr>
          <w:rFonts w:ascii="Times New Roman" w:hAnsi="Times New Roman" w:cs="Times New Roman"/>
          <w:sz w:val="24"/>
          <w:szCs w:val="24"/>
          <w:lang w:val="pt-BR"/>
        </w:rPr>
        <w:t xml:space="preserve"> aparição de um número relativamente </w:t>
      </w:r>
      <w:r>
        <w:rPr>
          <w:rFonts w:ascii="Times New Roman" w:hAnsi="Times New Roman" w:cs="Times New Roman"/>
          <w:sz w:val="24"/>
          <w:szCs w:val="24"/>
          <w:lang w:val="pt-BR"/>
        </w:rPr>
        <w:t xml:space="preserve">pequeno de trabalhos </w:t>
      </w:r>
      <w:r w:rsidRPr="00E638CE">
        <w:rPr>
          <w:rFonts w:ascii="Times New Roman" w:hAnsi="Times New Roman" w:cs="Times New Roman"/>
          <w:sz w:val="24"/>
          <w:szCs w:val="24"/>
          <w:lang w:val="pt-BR"/>
        </w:rPr>
        <w:t>(</w:t>
      </w:r>
      <w:proofErr w:type="spellStart"/>
      <w:r w:rsidRPr="00E638CE">
        <w:rPr>
          <w:rFonts w:ascii="Times New Roman" w:hAnsi="Times New Roman" w:cs="Times New Roman"/>
          <w:sz w:val="24"/>
          <w:szCs w:val="24"/>
          <w:lang w:val="pt-BR"/>
        </w:rPr>
        <w:t>Australia</w:t>
      </w:r>
      <w:proofErr w:type="spellEnd"/>
      <w:r w:rsidRPr="00E638CE">
        <w:rPr>
          <w:rFonts w:ascii="Times New Roman" w:hAnsi="Times New Roman" w:cs="Times New Roman"/>
          <w:sz w:val="24"/>
          <w:szCs w:val="24"/>
          <w:lang w:val="pt-BR"/>
        </w:rPr>
        <w:t xml:space="preserve">, 1995; </w:t>
      </w:r>
      <w:proofErr w:type="spellStart"/>
      <w:r w:rsidRPr="00E638CE">
        <w:rPr>
          <w:rFonts w:ascii="Times New Roman" w:hAnsi="Times New Roman" w:cs="Times New Roman"/>
          <w:sz w:val="24"/>
          <w:szCs w:val="24"/>
          <w:lang w:val="pt-BR"/>
        </w:rPr>
        <w:t>Newfarmer</w:t>
      </w:r>
      <w:proofErr w:type="spellEnd"/>
      <w:r w:rsidRPr="00E638CE">
        <w:rPr>
          <w:rFonts w:ascii="Times New Roman" w:hAnsi="Times New Roman" w:cs="Times New Roman"/>
          <w:sz w:val="24"/>
          <w:szCs w:val="24"/>
          <w:lang w:val="pt-BR"/>
        </w:rPr>
        <w:t xml:space="preserve"> et al., 2002; </w:t>
      </w:r>
      <w:proofErr w:type="spellStart"/>
      <w:r w:rsidRPr="00E638CE">
        <w:rPr>
          <w:rFonts w:ascii="Times New Roman" w:hAnsi="Times New Roman" w:cs="Times New Roman"/>
          <w:sz w:val="24"/>
          <w:szCs w:val="24"/>
          <w:lang w:val="pt-BR"/>
        </w:rPr>
        <w:t>Maskus</w:t>
      </w:r>
      <w:proofErr w:type="spellEnd"/>
      <w:r w:rsidRPr="00E638CE">
        <w:rPr>
          <w:rFonts w:ascii="Times New Roman" w:hAnsi="Times New Roman" w:cs="Times New Roman"/>
          <w:sz w:val="24"/>
          <w:szCs w:val="24"/>
          <w:lang w:val="pt-BR"/>
        </w:rPr>
        <w:t xml:space="preserve">, 2004; May </w:t>
      </w:r>
      <w:proofErr w:type="spellStart"/>
      <w:r w:rsidRPr="00E638CE">
        <w:rPr>
          <w:rFonts w:ascii="Times New Roman" w:hAnsi="Times New Roman" w:cs="Times New Roman"/>
          <w:sz w:val="24"/>
          <w:szCs w:val="24"/>
          <w:lang w:val="pt-BR"/>
        </w:rPr>
        <w:t>and</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Sell</w:t>
      </w:r>
      <w:proofErr w:type="spellEnd"/>
      <w:r w:rsidRPr="00E638CE">
        <w:rPr>
          <w:rFonts w:ascii="Times New Roman" w:hAnsi="Times New Roman" w:cs="Times New Roman"/>
          <w:sz w:val="24"/>
          <w:szCs w:val="24"/>
          <w:lang w:val="pt-BR"/>
        </w:rPr>
        <w:t xml:space="preserve">, 2006; </w:t>
      </w:r>
      <w:proofErr w:type="spellStart"/>
      <w:r w:rsidRPr="00E638CE">
        <w:rPr>
          <w:rFonts w:ascii="Times New Roman" w:hAnsi="Times New Roman" w:cs="Times New Roman"/>
          <w:sz w:val="24"/>
          <w:szCs w:val="24"/>
          <w:lang w:val="pt-BR"/>
        </w:rPr>
        <w:t>Athreye</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and</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Cantwell</w:t>
      </w:r>
      <w:proofErr w:type="spellEnd"/>
      <w:r w:rsidRPr="00E638CE">
        <w:rPr>
          <w:rFonts w:ascii="Times New Roman" w:hAnsi="Times New Roman" w:cs="Times New Roman"/>
          <w:sz w:val="24"/>
          <w:szCs w:val="24"/>
          <w:lang w:val="pt-BR"/>
        </w:rPr>
        <w:t xml:space="preserve">, 2007; </w:t>
      </w:r>
      <w:proofErr w:type="spellStart"/>
      <w:r w:rsidRPr="00E638CE">
        <w:rPr>
          <w:rFonts w:ascii="Times New Roman" w:hAnsi="Times New Roman" w:cs="Times New Roman"/>
          <w:sz w:val="24"/>
          <w:szCs w:val="24"/>
          <w:lang w:val="pt-BR"/>
        </w:rPr>
        <w:t>Pagano</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and</w:t>
      </w:r>
      <w:proofErr w:type="spellEnd"/>
      <w:r w:rsidRPr="00E638CE">
        <w:rPr>
          <w:rFonts w:ascii="Times New Roman" w:hAnsi="Times New Roman" w:cs="Times New Roman"/>
          <w:sz w:val="24"/>
          <w:szCs w:val="24"/>
          <w:lang w:val="pt-BR"/>
        </w:rPr>
        <w:t xml:space="preserve"> Rossi, 2009; </w:t>
      </w:r>
      <w:proofErr w:type="spellStart"/>
      <w:r w:rsidRPr="00E638CE">
        <w:rPr>
          <w:rFonts w:ascii="Times New Roman" w:hAnsi="Times New Roman" w:cs="Times New Roman"/>
          <w:sz w:val="24"/>
          <w:szCs w:val="24"/>
          <w:lang w:val="pt-BR"/>
        </w:rPr>
        <w:t>Ghafele</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and</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Gibert</w:t>
      </w:r>
      <w:proofErr w:type="spellEnd"/>
      <w:r w:rsidRPr="00E638CE">
        <w:rPr>
          <w:rFonts w:ascii="Times New Roman" w:hAnsi="Times New Roman" w:cs="Times New Roman"/>
          <w:sz w:val="24"/>
          <w:szCs w:val="24"/>
          <w:lang w:val="pt-BR"/>
        </w:rPr>
        <w:t xml:space="preserve">, 2012; Guedes Pinto </w:t>
      </w:r>
      <w:proofErr w:type="spellStart"/>
      <w:r w:rsidRPr="00E638CE">
        <w:rPr>
          <w:rFonts w:ascii="Times New Roman" w:hAnsi="Times New Roman" w:cs="Times New Roman"/>
          <w:sz w:val="24"/>
          <w:szCs w:val="24"/>
          <w:lang w:val="pt-BR"/>
        </w:rPr>
        <w:t>and</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Carlotto</w:t>
      </w:r>
      <w:proofErr w:type="spellEnd"/>
      <w:r w:rsidRPr="00E638CE">
        <w:rPr>
          <w:rFonts w:ascii="Times New Roman" w:hAnsi="Times New Roman" w:cs="Times New Roman"/>
          <w:sz w:val="24"/>
          <w:szCs w:val="24"/>
          <w:lang w:val="pt-BR"/>
        </w:rPr>
        <w:t xml:space="preserve">, 2015; </w:t>
      </w:r>
      <w:proofErr w:type="spellStart"/>
      <w:r w:rsidRPr="00E638CE">
        <w:rPr>
          <w:rFonts w:ascii="Times New Roman" w:hAnsi="Times New Roman" w:cs="Times New Roman"/>
          <w:sz w:val="24"/>
          <w:szCs w:val="24"/>
          <w:lang w:val="pt-BR"/>
        </w:rPr>
        <w:t>Chiarini</w:t>
      </w:r>
      <w:proofErr w:type="spellEnd"/>
      <w:r w:rsidRPr="00E638CE">
        <w:rPr>
          <w:rFonts w:ascii="Times New Roman" w:hAnsi="Times New Roman" w:cs="Times New Roman"/>
          <w:sz w:val="24"/>
          <w:szCs w:val="24"/>
          <w:lang w:val="pt-BR"/>
        </w:rPr>
        <w:t xml:space="preserve"> et al., 2017; </w:t>
      </w:r>
      <w:proofErr w:type="spellStart"/>
      <w:r w:rsidRPr="00E638CE">
        <w:rPr>
          <w:rFonts w:ascii="Times New Roman" w:hAnsi="Times New Roman" w:cs="Times New Roman"/>
          <w:sz w:val="24"/>
          <w:szCs w:val="24"/>
          <w:lang w:val="pt-BR"/>
        </w:rPr>
        <w:t>Neubig</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and</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Wunsch</w:t>
      </w:r>
      <w:proofErr w:type="spellEnd"/>
      <w:r w:rsidRPr="00E638CE">
        <w:rPr>
          <w:rFonts w:ascii="Times New Roman" w:hAnsi="Times New Roman" w:cs="Times New Roman"/>
          <w:sz w:val="24"/>
          <w:szCs w:val="24"/>
          <w:lang w:val="pt-BR"/>
        </w:rPr>
        <w:t xml:space="preserve">-Vincent, 2017; </w:t>
      </w:r>
      <w:proofErr w:type="spellStart"/>
      <w:r w:rsidRPr="00E638CE">
        <w:rPr>
          <w:rFonts w:ascii="Times New Roman" w:hAnsi="Times New Roman" w:cs="Times New Roman"/>
          <w:sz w:val="24"/>
          <w:szCs w:val="24"/>
          <w:lang w:val="pt-BR"/>
        </w:rPr>
        <w:t>Maskus</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and</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Penubarti</w:t>
      </w:r>
      <w:proofErr w:type="spellEnd"/>
      <w:r w:rsidRPr="00E638CE">
        <w:rPr>
          <w:rFonts w:ascii="Times New Roman" w:hAnsi="Times New Roman" w:cs="Times New Roman"/>
          <w:sz w:val="24"/>
          <w:szCs w:val="24"/>
          <w:lang w:val="pt-BR"/>
        </w:rPr>
        <w:t xml:space="preserve">, 1995; Primo Braga </w:t>
      </w:r>
      <w:proofErr w:type="spellStart"/>
      <w:r w:rsidRPr="00E638CE">
        <w:rPr>
          <w:rFonts w:ascii="Times New Roman" w:hAnsi="Times New Roman" w:cs="Times New Roman"/>
          <w:sz w:val="24"/>
          <w:szCs w:val="24"/>
          <w:lang w:val="pt-BR"/>
        </w:rPr>
        <w:t>and</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Fink</w:t>
      </w:r>
      <w:proofErr w:type="spellEnd"/>
      <w:r w:rsidRPr="00E638CE">
        <w:rPr>
          <w:rFonts w:ascii="Times New Roman" w:hAnsi="Times New Roman" w:cs="Times New Roman"/>
          <w:sz w:val="24"/>
          <w:szCs w:val="24"/>
          <w:lang w:val="pt-BR"/>
        </w:rPr>
        <w:t xml:space="preserve">, 1997; Primo Braga </w:t>
      </w:r>
      <w:proofErr w:type="spellStart"/>
      <w:r w:rsidRPr="00E638CE">
        <w:rPr>
          <w:rFonts w:ascii="Times New Roman" w:hAnsi="Times New Roman" w:cs="Times New Roman"/>
          <w:sz w:val="24"/>
          <w:szCs w:val="24"/>
          <w:lang w:val="pt-BR"/>
        </w:rPr>
        <w:t>and</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Fink</w:t>
      </w:r>
      <w:proofErr w:type="spellEnd"/>
      <w:r w:rsidRPr="00E638CE">
        <w:rPr>
          <w:rFonts w:ascii="Times New Roman" w:hAnsi="Times New Roman" w:cs="Times New Roman"/>
          <w:sz w:val="24"/>
          <w:szCs w:val="24"/>
          <w:lang w:val="pt-BR"/>
        </w:rPr>
        <w:t xml:space="preserve">, 1999; </w:t>
      </w:r>
      <w:proofErr w:type="spellStart"/>
      <w:r w:rsidRPr="00E638CE">
        <w:rPr>
          <w:rFonts w:ascii="Times New Roman" w:hAnsi="Times New Roman" w:cs="Times New Roman"/>
          <w:sz w:val="24"/>
          <w:szCs w:val="24"/>
          <w:lang w:val="pt-BR"/>
        </w:rPr>
        <w:t>Doanh</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and</w:t>
      </w:r>
      <w:proofErr w:type="spellEnd"/>
      <w:r w:rsidRPr="00E638CE">
        <w:rPr>
          <w:rFonts w:ascii="Times New Roman" w:hAnsi="Times New Roman" w:cs="Times New Roman"/>
          <w:sz w:val="24"/>
          <w:szCs w:val="24"/>
          <w:lang w:val="pt-BR"/>
        </w:rPr>
        <w:t xml:space="preserve"> </w:t>
      </w:r>
      <w:proofErr w:type="spellStart"/>
      <w:r w:rsidRPr="00E638CE">
        <w:rPr>
          <w:rFonts w:ascii="Times New Roman" w:hAnsi="Times New Roman" w:cs="Times New Roman"/>
          <w:sz w:val="24"/>
          <w:szCs w:val="24"/>
          <w:lang w:val="pt-BR"/>
        </w:rPr>
        <w:t>Heo</w:t>
      </w:r>
      <w:proofErr w:type="spellEnd"/>
      <w:r w:rsidRPr="00E638CE">
        <w:rPr>
          <w:rFonts w:ascii="Times New Roman" w:hAnsi="Times New Roman" w:cs="Times New Roman"/>
          <w:sz w:val="24"/>
          <w:szCs w:val="24"/>
          <w:lang w:val="pt-BR"/>
        </w:rPr>
        <w:t>, 2007)</w:t>
      </w:r>
      <w:r>
        <w:rPr>
          <w:rFonts w:ascii="Times New Roman" w:hAnsi="Times New Roman" w:cs="Times New Roman"/>
          <w:sz w:val="24"/>
          <w:szCs w:val="24"/>
          <w:lang w:val="pt-BR"/>
        </w:rPr>
        <w:t xml:space="preserve"> extraídos de um universo relativamente vasto fornecido pela biblioteca (física e digital) da London </w:t>
      </w:r>
      <w:proofErr w:type="spellStart"/>
      <w:r>
        <w:rPr>
          <w:rFonts w:ascii="Times New Roman" w:hAnsi="Times New Roman" w:cs="Times New Roman"/>
          <w:sz w:val="24"/>
          <w:szCs w:val="24"/>
          <w:lang w:val="pt-BR"/>
        </w:rPr>
        <w:t>School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of</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Economics</w:t>
      </w:r>
      <w:proofErr w:type="spellEnd"/>
      <w:r w:rsidR="000F4FE3" w:rsidRPr="00E638CE">
        <w:rPr>
          <w:rFonts w:ascii="Times New Roman" w:hAnsi="Times New Roman" w:cs="Times New Roman"/>
          <w:sz w:val="24"/>
          <w:szCs w:val="24"/>
          <w:lang w:val="pt-BR"/>
        </w:rPr>
        <w:t xml:space="preserve">. </w:t>
      </w:r>
      <w:r>
        <w:rPr>
          <w:rFonts w:ascii="Times New Roman" w:hAnsi="Times New Roman" w:cs="Times New Roman"/>
          <w:sz w:val="24"/>
          <w:szCs w:val="24"/>
          <w:lang w:val="pt-BR"/>
        </w:rPr>
        <w:t>Ainda assim, a</w:t>
      </w:r>
      <w:r w:rsidR="003C3202">
        <w:rPr>
          <w:rFonts w:ascii="Times New Roman" w:hAnsi="Times New Roman" w:cs="Times New Roman"/>
          <w:sz w:val="24"/>
          <w:szCs w:val="24"/>
          <w:lang w:val="pt-BR"/>
        </w:rPr>
        <w:t xml:space="preserve">té onde conseguimos pesquisar, não há trabalho acadêmico que tenha abordado estes dados no grau de profundidade e </w:t>
      </w:r>
      <w:r w:rsidR="000F4FE3">
        <w:rPr>
          <w:rFonts w:ascii="Times New Roman" w:hAnsi="Times New Roman" w:cs="Times New Roman"/>
          <w:sz w:val="24"/>
          <w:szCs w:val="24"/>
          <w:lang w:val="pt-BR"/>
        </w:rPr>
        <w:t xml:space="preserve">no amplo </w:t>
      </w:r>
      <w:r w:rsidR="003C3202">
        <w:rPr>
          <w:rFonts w:ascii="Times New Roman" w:hAnsi="Times New Roman" w:cs="Times New Roman"/>
          <w:sz w:val="24"/>
          <w:szCs w:val="24"/>
          <w:lang w:val="pt-BR"/>
        </w:rPr>
        <w:t xml:space="preserve">escopo proposto aqui, ou seja, que tenha considerado todos os registros efetuados por todos os países </w:t>
      </w:r>
      <w:r w:rsidR="00226A75">
        <w:rPr>
          <w:rFonts w:ascii="Times New Roman" w:hAnsi="Times New Roman" w:cs="Times New Roman"/>
          <w:sz w:val="24"/>
          <w:szCs w:val="24"/>
          <w:lang w:val="pt-BR"/>
        </w:rPr>
        <w:t xml:space="preserve">que divulgam estes dados </w:t>
      </w:r>
      <w:r w:rsidR="003C3202">
        <w:rPr>
          <w:rFonts w:ascii="Times New Roman" w:hAnsi="Times New Roman" w:cs="Times New Roman"/>
          <w:sz w:val="24"/>
          <w:szCs w:val="24"/>
          <w:lang w:val="pt-BR"/>
        </w:rPr>
        <w:t>em seus respectivos balanços de pagamentos</w:t>
      </w:r>
      <w:r w:rsidR="00722D73">
        <w:rPr>
          <w:rFonts w:ascii="Times New Roman" w:hAnsi="Times New Roman" w:cs="Times New Roman"/>
          <w:sz w:val="24"/>
          <w:szCs w:val="24"/>
          <w:lang w:val="pt-BR"/>
        </w:rPr>
        <w:t>.</w:t>
      </w:r>
      <w:proofErr w:type="gramStart"/>
      <w:r w:rsidR="003C3202">
        <w:rPr>
          <w:rStyle w:val="Refdenotaderodap"/>
          <w:rFonts w:ascii="Times New Roman" w:hAnsi="Times New Roman" w:cs="Times New Roman"/>
          <w:sz w:val="24"/>
          <w:szCs w:val="24"/>
        </w:rPr>
        <w:footnoteReference w:id="1"/>
      </w:r>
      <w:proofErr w:type="gramEnd"/>
      <w:r w:rsidR="003C3202" w:rsidRPr="003C3202">
        <w:rPr>
          <w:rFonts w:ascii="Times New Roman" w:hAnsi="Times New Roman" w:cs="Times New Roman"/>
          <w:sz w:val="24"/>
          <w:szCs w:val="24"/>
          <w:lang w:val="pt-BR"/>
        </w:rPr>
        <w:t xml:space="preserve"> </w:t>
      </w:r>
    </w:p>
    <w:p w14:paraId="53DD89FC" w14:textId="228EDA6F" w:rsidR="000F4FE3" w:rsidRDefault="00E638CE" w:rsidP="000F4FE3">
      <w:pPr>
        <w:spacing w:after="0" w:line="360" w:lineRule="auto"/>
        <w:ind w:firstLine="567"/>
        <w:jc w:val="both"/>
        <w:rPr>
          <w:rFonts w:ascii="Times New Roman" w:hAnsi="Times New Roman" w:cs="Times New Roman"/>
          <w:sz w:val="24"/>
          <w:szCs w:val="24"/>
          <w:lang w:val="pt-BR"/>
        </w:rPr>
      </w:pPr>
      <w:r>
        <w:rPr>
          <w:rFonts w:ascii="Times New Roman" w:hAnsi="Times New Roman" w:cs="Times New Roman"/>
          <w:sz w:val="24"/>
          <w:szCs w:val="24"/>
          <w:lang w:val="pt-BR"/>
        </w:rPr>
        <w:t>Em suma, a</w:t>
      </w:r>
      <w:r w:rsidR="000F4FE3">
        <w:rPr>
          <w:rFonts w:ascii="Times New Roman" w:hAnsi="Times New Roman" w:cs="Times New Roman"/>
          <w:sz w:val="24"/>
          <w:szCs w:val="24"/>
          <w:lang w:val="pt-BR"/>
        </w:rPr>
        <w:t xml:space="preserve">s descobertas </w:t>
      </w:r>
      <w:r w:rsidR="00016AB1">
        <w:rPr>
          <w:rFonts w:ascii="Times New Roman" w:hAnsi="Times New Roman" w:cs="Times New Roman"/>
          <w:sz w:val="24"/>
          <w:szCs w:val="24"/>
          <w:lang w:val="pt-BR"/>
        </w:rPr>
        <w:t xml:space="preserve">mais consolidadas </w:t>
      </w:r>
      <w:r w:rsidR="000F4FE3">
        <w:rPr>
          <w:rFonts w:ascii="Times New Roman" w:hAnsi="Times New Roman" w:cs="Times New Roman"/>
          <w:sz w:val="24"/>
          <w:szCs w:val="24"/>
          <w:lang w:val="pt-BR"/>
        </w:rPr>
        <w:t xml:space="preserve">desta pesquisa </w:t>
      </w:r>
      <w:r w:rsidR="000F4FE3" w:rsidRPr="000F4FE3">
        <w:rPr>
          <w:rFonts w:ascii="Times New Roman" w:hAnsi="Times New Roman" w:cs="Times New Roman"/>
          <w:sz w:val="24"/>
          <w:szCs w:val="24"/>
          <w:lang w:val="pt-BR"/>
        </w:rPr>
        <w:t xml:space="preserve">mostram que, em primeiro lugar, </w:t>
      </w:r>
      <w:r w:rsidR="00DE22D8">
        <w:rPr>
          <w:rFonts w:ascii="Times New Roman" w:hAnsi="Times New Roman" w:cs="Times New Roman"/>
          <w:sz w:val="24"/>
          <w:szCs w:val="24"/>
          <w:lang w:val="pt-BR"/>
        </w:rPr>
        <w:t>o</w:t>
      </w:r>
      <w:r w:rsidR="00012B8A">
        <w:rPr>
          <w:rFonts w:ascii="Times New Roman" w:hAnsi="Times New Roman" w:cs="Times New Roman"/>
          <w:sz w:val="24"/>
          <w:szCs w:val="24"/>
          <w:lang w:val="pt-BR"/>
        </w:rPr>
        <w:t xml:space="preserve"> volume do</w:t>
      </w:r>
      <w:r w:rsidR="00DE22D8">
        <w:rPr>
          <w:rFonts w:ascii="Times New Roman" w:hAnsi="Times New Roman" w:cs="Times New Roman"/>
          <w:sz w:val="24"/>
          <w:szCs w:val="24"/>
          <w:lang w:val="pt-BR"/>
        </w:rPr>
        <w:t>s</w:t>
      </w:r>
      <w:r w:rsidR="000F4FE3">
        <w:rPr>
          <w:rFonts w:ascii="Times New Roman" w:hAnsi="Times New Roman" w:cs="Times New Roman"/>
          <w:sz w:val="24"/>
          <w:szCs w:val="24"/>
          <w:lang w:val="pt-BR"/>
        </w:rPr>
        <w:t xml:space="preserve"> fluxos </w:t>
      </w:r>
      <w:proofErr w:type="spellStart"/>
      <w:r w:rsidR="000F4FE3" w:rsidRPr="000F4FE3">
        <w:rPr>
          <w:rFonts w:ascii="Times New Roman" w:hAnsi="Times New Roman" w:cs="Times New Roman"/>
          <w:sz w:val="24"/>
          <w:szCs w:val="24"/>
          <w:lang w:val="pt-BR"/>
        </w:rPr>
        <w:t>transfronteiriços</w:t>
      </w:r>
      <w:proofErr w:type="spellEnd"/>
      <w:r w:rsidR="000F4FE3" w:rsidRPr="000F4FE3">
        <w:rPr>
          <w:rFonts w:ascii="Times New Roman" w:hAnsi="Times New Roman" w:cs="Times New Roman"/>
          <w:sz w:val="24"/>
          <w:szCs w:val="24"/>
          <w:lang w:val="pt-BR"/>
        </w:rPr>
        <w:t xml:space="preserve"> de bens e serviços diretamente associados a</w:t>
      </w:r>
      <w:r w:rsidR="000F4FE3">
        <w:rPr>
          <w:rFonts w:ascii="Times New Roman" w:hAnsi="Times New Roman" w:cs="Times New Roman"/>
          <w:sz w:val="24"/>
          <w:szCs w:val="24"/>
          <w:lang w:val="pt-BR"/>
        </w:rPr>
        <w:t>os</w:t>
      </w:r>
      <w:r w:rsidR="000F4FE3" w:rsidRPr="000F4FE3">
        <w:rPr>
          <w:rFonts w:ascii="Times New Roman" w:hAnsi="Times New Roman" w:cs="Times New Roman"/>
          <w:sz w:val="24"/>
          <w:szCs w:val="24"/>
          <w:lang w:val="pt-BR"/>
        </w:rPr>
        <w:t xml:space="preserve"> DPI</w:t>
      </w:r>
      <w:r w:rsidR="000F4FE3">
        <w:rPr>
          <w:rFonts w:ascii="Times New Roman" w:hAnsi="Times New Roman" w:cs="Times New Roman"/>
          <w:sz w:val="24"/>
          <w:szCs w:val="24"/>
          <w:lang w:val="pt-BR"/>
        </w:rPr>
        <w:t xml:space="preserve"> não são, em </w:t>
      </w:r>
      <w:r w:rsidR="00012B8A">
        <w:rPr>
          <w:rFonts w:ascii="Times New Roman" w:hAnsi="Times New Roman" w:cs="Times New Roman"/>
          <w:sz w:val="24"/>
          <w:szCs w:val="24"/>
          <w:lang w:val="pt-BR"/>
        </w:rPr>
        <w:t>hipótese</w:t>
      </w:r>
      <w:r w:rsidR="000F4FE3">
        <w:rPr>
          <w:rFonts w:ascii="Times New Roman" w:hAnsi="Times New Roman" w:cs="Times New Roman"/>
          <w:sz w:val="24"/>
          <w:szCs w:val="24"/>
          <w:lang w:val="pt-BR"/>
        </w:rPr>
        <w:t xml:space="preserve"> alguma mais</w:t>
      </w:r>
      <w:r w:rsidR="000F4FE3" w:rsidRPr="000F4FE3">
        <w:rPr>
          <w:rFonts w:ascii="Times New Roman" w:hAnsi="Times New Roman" w:cs="Times New Roman"/>
          <w:sz w:val="24"/>
          <w:szCs w:val="24"/>
          <w:lang w:val="pt-BR"/>
        </w:rPr>
        <w:t xml:space="preserve">, </w:t>
      </w:r>
      <w:r w:rsidR="000F4FE3">
        <w:rPr>
          <w:rFonts w:ascii="Times New Roman" w:hAnsi="Times New Roman" w:cs="Times New Roman"/>
          <w:sz w:val="24"/>
          <w:szCs w:val="24"/>
          <w:lang w:val="pt-BR"/>
        </w:rPr>
        <w:t xml:space="preserve">negligenciáveis. </w:t>
      </w:r>
      <w:r w:rsidR="00C60B0A">
        <w:rPr>
          <w:rFonts w:ascii="Times New Roman" w:hAnsi="Times New Roman" w:cs="Times New Roman"/>
          <w:sz w:val="24"/>
          <w:szCs w:val="24"/>
          <w:lang w:val="pt-BR"/>
        </w:rPr>
        <w:t xml:space="preserve">Por exemplo, os países movimentaram apenas através da subconta “serviços de propriedade intelectual” (que pertence ao balanço de serviços) mais de US$ 394 bilhões em 2017. </w:t>
      </w:r>
      <w:r w:rsidR="000F4FE3">
        <w:rPr>
          <w:rFonts w:ascii="Times New Roman" w:hAnsi="Times New Roman" w:cs="Times New Roman"/>
          <w:sz w:val="24"/>
          <w:szCs w:val="24"/>
          <w:lang w:val="pt-BR"/>
        </w:rPr>
        <w:t>Em segundo</w:t>
      </w:r>
      <w:r w:rsidR="000F4FE3" w:rsidRPr="000F4FE3">
        <w:rPr>
          <w:rFonts w:ascii="Times New Roman" w:hAnsi="Times New Roman" w:cs="Times New Roman"/>
          <w:sz w:val="24"/>
          <w:szCs w:val="24"/>
          <w:lang w:val="pt-BR"/>
        </w:rPr>
        <w:t xml:space="preserve">, nossas descobertas mostram que os fluxos comerciais </w:t>
      </w:r>
      <w:r w:rsidR="00A44F2B">
        <w:rPr>
          <w:rFonts w:ascii="Times New Roman" w:hAnsi="Times New Roman" w:cs="Times New Roman"/>
          <w:sz w:val="24"/>
          <w:szCs w:val="24"/>
          <w:lang w:val="pt-BR"/>
        </w:rPr>
        <w:t>(débitos e créditos) relacionados à PI</w:t>
      </w:r>
      <w:r w:rsidR="000F4FE3" w:rsidRPr="000F4FE3">
        <w:rPr>
          <w:rFonts w:ascii="Times New Roman" w:hAnsi="Times New Roman" w:cs="Times New Roman"/>
          <w:sz w:val="24"/>
          <w:szCs w:val="24"/>
          <w:lang w:val="pt-BR"/>
        </w:rPr>
        <w:t xml:space="preserve"> são altamente concentrados dentro de um pequeno grupo de países desenvolvidos</w:t>
      </w:r>
      <w:r w:rsidR="000F4FE3">
        <w:rPr>
          <w:rFonts w:ascii="Times New Roman" w:hAnsi="Times New Roman" w:cs="Times New Roman"/>
          <w:sz w:val="24"/>
          <w:szCs w:val="24"/>
          <w:lang w:val="pt-BR"/>
        </w:rPr>
        <w:t xml:space="preserve">, </w:t>
      </w:r>
      <w:r w:rsidR="00A44F2B">
        <w:rPr>
          <w:rFonts w:ascii="Times New Roman" w:hAnsi="Times New Roman" w:cs="Times New Roman"/>
          <w:sz w:val="24"/>
          <w:szCs w:val="24"/>
          <w:lang w:val="pt-BR"/>
        </w:rPr>
        <w:t>resultados que são</w:t>
      </w:r>
      <w:r w:rsidR="00DE22D8">
        <w:rPr>
          <w:rFonts w:ascii="Times New Roman" w:hAnsi="Times New Roman" w:cs="Times New Roman"/>
          <w:sz w:val="24"/>
          <w:szCs w:val="24"/>
          <w:lang w:val="pt-BR"/>
        </w:rPr>
        <w:t xml:space="preserve"> esperado</w:t>
      </w:r>
      <w:r w:rsidR="00A44F2B">
        <w:rPr>
          <w:rFonts w:ascii="Times New Roman" w:hAnsi="Times New Roman" w:cs="Times New Roman"/>
          <w:sz w:val="24"/>
          <w:szCs w:val="24"/>
          <w:lang w:val="pt-BR"/>
        </w:rPr>
        <w:t>s, mas não demonstrados,</w:t>
      </w:r>
      <w:r w:rsidR="00DE22D8">
        <w:rPr>
          <w:rFonts w:ascii="Times New Roman" w:hAnsi="Times New Roman" w:cs="Times New Roman"/>
          <w:sz w:val="24"/>
          <w:szCs w:val="24"/>
          <w:lang w:val="pt-BR"/>
        </w:rPr>
        <w:t xml:space="preserve"> </w:t>
      </w:r>
      <w:r w:rsidR="000F4FE3">
        <w:rPr>
          <w:rFonts w:ascii="Times New Roman" w:hAnsi="Times New Roman" w:cs="Times New Roman"/>
          <w:sz w:val="24"/>
          <w:szCs w:val="24"/>
          <w:lang w:val="pt-BR"/>
        </w:rPr>
        <w:t xml:space="preserve">pela literatura </w:t>
      </w:r>
      <w:r w:rsidR="00DE22D8">
        <w:rPr>
          <w:rFonts w:ascii="Times New Roman" w:hAnsi="Times New Roman" w:cs="Times New Roman"/>
          <w:sz w:val="24"/>
          <w:szCs w:val="24"/>
          <w:lang w:val="pt-BR"/>
        </w:rPr>
        <w:t xml:space="preserve">mais </w:t>
      </w:r>
      <w:r w:rsidR="000F4FE3">
        <w:rPr>
          <w:rFonts w:ascii="Times New Roman" w:hAnsi="Times New Roman" w:cs="Times New Roman"/>
          <w:sz w:val="24"/>
          <w:szCs w:val="24"/>
          <w:lang w:val="pt-BR"/>
        </w:rPr>
        <w:t xml:space="preserve">crítica ao regime </w:t>
      </w:r>
      <w:r w:rsidR="00DE22D8">
        <w:rPr>
          <w:rFonts w:ascii="Times New Roman" w:hAnsi="Times New Roman" w:cs="Times New Roman"/>
          <w:sz w:val="24"/>
          <w:szCs w:val="24"/>
          <w:lang w:val="pt-BR"/>
        </w:rPr>
        <w:t xml:space="preserve">atual </w:t>
      </w:r>
      <w:r w:rsidR="000F4FE3">
        <w:rPr>
          <w:rFonts w:ascii="Times New Roman" w:hAnsi="Times New Roman" w:cs="Times New Roman"/>
          <w:sz w:val="24"/>
          <w:szCs w:val="24"/>
          <w:lang w:val="pt-BR"/>
        </w:rPr>
        <w:t>de PI</w:t>
      </w:r>
      <w:r w:rsidR="000F4FE3" w:rsidRPr="000F4FE3">
        <w:rPr>
          <w:rFonts w:ascii="Times New Roman" w:hAnsi="Times New Roman" w:cs="Times New Roman"/>
          <w:sz w:val="24"/>
          <w:szCs w:val="24"/>
          <w:lang w:val="pt-BR"/>
        </w:rPr>
        <w:t xml:space="preserve">. </w:t>
      </w:r>
      <w:r w:rsidR="000F4FE3">
        <w:rPr>
          <w:rFonts w:ascii="Times New Roman" w:hAnsi="Times New Roman" w:cs="Times New Roman"/>
          <w:sz w:val="24"/>
          <w:szCs w:val="24"/>
          <w:lang w:val="pt-BR"/>
        </w:rPr>
        <w:t>Em te</w:t>
      </w:r>
      <w:r w:rsidR="000F4FE3" w:rsidRPr="000F4FE3">
        <w:rPr>
          <w:rFonts w:ascii="Times New Roman" w:hAnsi="Times New Roman" w:cs="Times New Roman"/>
          <w:sz w:val="24"/>
          <w:szCs w:val="24"/>
          <w:lang w:val="pt-BR"/>
        </w:rPr>
        <w:t xml:space="preserve">rceiro, os poucos países em desenvolvimento que </w:t>
      </w:r>
      <w:r w:rsidR="00DE22D8">
        <w:rPr>
          <w:rFonts w:ascii="Times New Roman" w:hAnsi="Times New Roman" w:cs="Times New Roman"/>
          <w:sz w:val="24"/>
          <w:szCs w:val="24"/>
          <w:lang w:val="pt-BR"/>
        </w:rPr>
        <w:t xml:space="preserve">registram </w:t>
      </w:r>
      <w:r w:rsidR="000F4FE3" w:rsidRPr="000F4FE3">
        <w:rPr>
          <w:rFonts w:ascii="Times New Roman" w:hAnsi="Times New Roman" w:cs="Times New Roman"/>
          <w:sz w:val="24"/>
          <w:szCs w:val="24"/>
          <w:lang w:val="pt-BR"/>
        </w:rPr>
        <w:t xml:space="preserve">fluxos </w:t>
      </w:r>
      <w:r w:rsidR="00DE22D8">
        <w:rPr>
          <w:rFonts w:ascii="Times New Roman" w:hAnsi="Times New Roman" w:cs="Times New Roman"/>
          <w:sz w:val="24"/>
          <w:szCs w:val="24"/>
          <w:lang w:val="pt-BR"/>
        </w:rPr>
        <w:t xml:space="preserve">comerciais relacionados à PI </w:t>
      </w:r>
      <w:r w:rsidR="000F4FE3" w:rsidRPr="000F4FE3">
        <w:rPr>
          <w:rFonts w:ascii="Times New Roman" w:hAnsi="Times New Roman" w:cs="Times New Roman"/>
          <w:sz w:val="24"/>
          <w:szCs w:val="24"/>
          <w:lang w:val="pt-BR"/>
        </w:rPr>
        <w:t>registram</w:t>
      </w:r>
      <w:r>
        <w:rPr>
          <w:rFonts w:ascii="Times New Roman" w:hAnsi="Times New Roman" w:cs="Times New Roman"/>
          <w:sz w:val="24"/>
          <w:szCs w:val="24"/>
          <w:lang w:val="pt-BR"/>
        </w:rPr>
        <w:t xml:space="preserve">, </w:t>
      </w:r>
      <w:r w:rsidR="000F4FE3" w:rsidRPr="000F4FE3">
        <w:rPr>
          <w:rFonts w:ascii="Times New Roman" w:hAnsi="Times New Roman" w:cs="Times New Roman"/>
          <w:sz w:val="24"/>
          <w:szCs w:val="24"/>
          <w:lang w:val="pt-BR"/>
        </w:rPr>
        <w:t>como um grupo</w:t>
      </w:r>
      <w:r>
        <w:rPr>
          <w:rFonts w:ascii="Times New Roman" w:hAnsi="Times New Roman" w:cs="Times New Roman"/>
          <w:sz w:val="24"/>
          <w:szCs w:val="24"/>
          <w:lang w:val="pt-BR"/>
        </w:rPr>
        <w:t>,</w:t>
      </w:r>
      <w:r w:rsidR="000F4FE3" w:rsidRPr="000F4FE3">
        <w:rPr>
          <w:rFonts w:ascii="Times New Roman" w:hAnsi="Times New Roman" w:cs="Times New Roman"/>
          <w:sz w:val="24"/>
          <w:szCs w:val="24"/>
          <w:lang w:val="pt-BR"/>
        </w:rPr>
        <w:t xml:space="preserve"> déficits </w:t>
      </w:r>
      <w:r>
        <w:rPr>
          <w:rFonts w:ascii="Times New Roman" w:hAnsi="Times New Roman" w:cs="Times New Roman"/>
          <w:sz w:val="24"/>
          <w:szCs w:val="24"/>
          <w:lang w:val="pt-BR"/>
        </w:rPr>
        <w:t xml:space="preserve">agregados </w:t>
      </w:r>
      <w:r w:rsidR="000F4FE3" w:rsidRPr="000F4FE3">
        <w:rPr>
          <w:rFonts w:ascii="Times New Roman" w:hAnsi="Times New Roman" w:cs="Times New Roman"/>
          <w:sz w:val="24"/>
          <w:szCs w:val="24"/>
          <w:lang w:val="pt-BR"/>
        </w:rPr>
        <w:t xml:space="preserve">crescentes nas contas pesquisadas. </w:t>
      </w:r>
      <w:r w:rsidR="00A44F2B">
        <w:rPr>
          <w:rFonts w:ascii="Times New Roman" w:hAnsi="Times New Roman" w:cs="Times New Roman"/>
          <w:sz w:val="24"/>
          <w:szCs w:val="24"/>
          <w:lang w:val="pt-BR"/>
        </w:rPr>
        <w:t>Os dados nos mostram ainda</w:t>
      </w:r>
      <w:r w:rsidR="00012B8A">
        <w:rPr>
          <w:rFonts w:ascii="Times New Roman" w:hAnsi="Times New Roman" w:cs="Times New Roman"/>
          <w:sz w:val="24"/>
          <w:szCs w:val="24"/>
          <w:lang w:val="pt-BR"/>
        </w:rPr>
        <w:t xml:space="preserve"> que </w:t>
      </w:r>
      <w:r w:rsidR="000F4FE3" w:rsidRPr="000F4FE3">
        <w:rPr>
          <w:rFonts w:ascii="Times New Roman" w:hAnsi="Times New Roman" w:cs="Times New Roman"/>
          <w:sz w:val="24"/>
          <w:szCs w:val="24"/>
          <w:lang w:val="pt-BR"/>
        </w:rPr>
        <w:t>es</w:t>
      </w:r>
      <w:r w:rsidR="00A44F2B">
        <w:rPr>
          <w:rFonts w:ascii="Times New Roman" w:hAnsi="Times New Roman" w:cs="Times New Roman"/>
          <w:sz w:val="24"/>
          <w:szCs w:val="24"/>
          <w:lang w:val="pt-BR"/>
        </w:rPr>
        <w:t>t</w:t>
      </w:r>
      <w:r w:rsidR="000F4FE3" w:rsidRPr="000F4FE3">
        <w:rPr>
          <w:rFonts w:ascii="Times New Roman" w:hAnsi="Times New Roman" w:cs="Times New Roman"/>
          <w:sz w:val="24"/>
          <w:szCs w:val="24"/>
          <w:lang w:val="pt-BR"/>
        </w:rPr>
        <w:t xml:space="preserve">as mesmas tendências destacadas acima </w:t>
      </w:r>
      <w:r w:rsidR="00012B8A">
        <w:rPr>
          <w:rFonts w:ascii="Times New Roman" w:hAnsi="Times New Roman" w:cs="Times New Roman"/>
          <w:sz w:val="24"/>
          <w:szCs w:val="24"/>
          <w:lang w:val="pt-BR"/>
        </w:rPr>
        <w:t xml:space="preserve">(concentração dos </w:t>
      </w:r>
      <w:r w:rsidR="00A44F2B">
        <w:rPr>
          <w:rFonts w:ascii="Times New Roman" w:hAnsi="Times New Roman" w:cs="Times New Roman"/>
          <w:sz w:val="24"/>
          <w:szCs w:val="24"/>
          <w:lang w:val="pt-BR"/>
        </w:rPr>
        <w:lastRenderedPageBreak/>
        <w:t xml:space="preserve">fluxos e dos </w:t>
      </w:r>
      <w:r w:rsidR="00012B8A">
        <w:rPr>
          <w:rFonts w:ascii="Times New Roman" w:hAnsi="Times New Roman" w:cs="Times New Roman"/>
          <w:sz w:val="24"/>
          <w:szCs w:val="24"/>
          <w:lang w:val="pt-BR"/>
        </w:rPr>
        <w:t>superávits</w:t>
      </w:r>
      <w:r>
        <w:rPr>
          <w:rFonts w:ascii="Times New Roman" w:hAnsi="Times New Roman" w:cs="Times New Roman"/>
          <w:sz w:val="24"/>
          <w:szCs w:val="24"/>
          <w:lang w:val="pt-BR"/>
        </w:rPr>
        <w:t xml:space="preserve"> em poucos países</w:t>
      </w:r>
      <w:r w:rsidR="00012B8A">
        <w:rPr>
          <w:rFonts w:ascii="Times New Roman" w:hAnsi="Times New Roman" w:cs="Times New Roman"/>
          <w:sz w:val="24"/>
          <w:szCs w:val="24"/>
          <w:lang w:val="pt-BR"/>
        </w:rPr>
        <w:t xml:space="preserve">) </w:t>
      </w:r>
      <w:r w:rsidR="000F4FE3" w:rsidRPr="000F4FE3">
        <w:rPr>
          <w:rFonts w:ascii="Times New Roman" w:hAnsi="Times New Roman" w:cs="Times New Roman"/>
          <w:sz w:val="24"/>
          <w:szCs w:val="24"/>
          <w:lang w:val="pt-BR"/>
        </w:rPr>
        <w:t xml:space="preserve">aparecem quando </w:t>
      </w:r>
      <w:r w:rsidR="00A44F2B">
        <w:rPr>
          <w:rFonts w:ascii="Times New Roman" w:hAnsi="Times New Roman" w:cs="Times New Roman"/>
          <w:sz w:val="24"/>
          <w:szCs w:val="24"/>
          <w:lang w:val="pt-BR"/>
        </w:rPr>
        <w:t xml:space="preserve">agrupamos os dados de todos os países segundo outros critérios </w:t>
      </w:r>
      <w:r w:rsidR="000F4FE3" w:rsidRPr="000F4FE3">
        <w:rPr>
          <w:rFonts w:ascii="Times New Roman" w:hAnsi="Times New Roman" w:cs="Times New Roman"/>
          <w:sz w:val="24"/>
          <w:szCs w:val="24"/>
          <w:lang w:val="pt-BR"/>
        </w:rPr>
        <w:t>de agregação</w:t>
      </w:r>
      <w:r w:rsidR="00A44F2B">
        <w:rPr>
          <w:rFonts w:ascii="Times New Roman" w:hAnsi="Times New Roman" w:cs="Times New Roman"/>
          <w:sz w:val="24"/>
          <w:szCs w:val="24"/>
          <w:lang w:val="pt-BR"/>
        </w:rPr>
        <w:t xml:space="preserve">, tais como </w:t>
      </w:r>
      <w:r w:rsidR="000F4FE3" w:rsidRPr="000F4FE3">
        <w:rPr>
          <w:rFonts w:ascii="Times New Roman" w:hAnsi="Times New Roman" w:cs="Times New Roman"/>
          <w:sz w:val="24"/>
          <w:szCs w:val="24"/>
          <w:lang w:val="pt-BR"/>
        </w:rPr>
        <w:t>nível de renda, região geográfica e sub-região geográfica.</w:t>
      </w:r>
    </w:p>
    <w:p w14:paraId="6BB28030" w14:textId="4142F067" w:rsidR="000F4FE3" w:rsidRDefault="002A24FC" w:rsidP="000F4FE3">
      <w:pPr>
        <w:spacing w:after="0" w:line="360" w:lineRule="auto"/>
        <w:ind w:firstLine="567"/>
        <w:jc w:val="both"/>
        <w:rPr>
          <w:rFonts w:ascii="Times New Roman" w:hAnsi="Times New Roman" w:cs="Times New Roman"/>
          <w:sz w:val="24"/>
          <w:szCs w:val="24"/>
          <w:lang w:val="pt-BR"/>
        </w:rPr>
      </w:pPr>
      <w:r>
        <w:rPr>
          <w:rFonts w:ascii="Times New Roman" w:hAnsi="Times New Roman" w:cs="Times New Roman"/>
          <w:sz w:val="24"/>
          <w:szCs w:val="24"/>
          <w:lang w:val="pt-BR"/>
        </w:rPr>
        <w:t>Além</w:t>
      </w:r>
      <w:r w:rsidR="00012B8A">
        <w:rPr>
          <w:rFonts w:ascii="Times New Roman" w:hAnsi="Times New Roman" w:cs="Times New Roman"/>
          <w:sz w:val="24"/>
          <w:szCs w:val="24"/>
          <w:lang w:val="pt-BR"/>
        </w:rPr>
        <w:t xml:space="preserve"> d</w:t>
      </w:r>
      <w:r>
        <w:rPr>
          <w:rFonts w:ascii="Times New Roman" w:hAnsi="Times New Roman" w:cs="Times New Roman"/>
          <w:sz w:val="24"/>
          <w:szCs w:val="24"/>
          <w:lang w:val="pt-BR"/>
        </w:rPr>
        <w:t>e conseguirmos trabalhar com os dados d</w:t>
      </w:r>
      <w:r w:rsidR="00653049">
        <w:rPr>
          <w:rFonts w:ascii="Times New Roman" w:hAnsi="Times New Roman" w:cs="Times New Roman"/>
          <w:sz w:val="24"/>
          <w:szCs w:val="24"/>
          <w:lang w:val="pt-BR"/>
        </w:rPr>
        <w:t>o</w:t>
      </w:r>
      <w:r>
        <w:rPr>
          <w:rFonts w:ascii="Times New Roman" w:hAnsi="Times New Roman" w:cs="Times New Roman"/>
          <w:sz w:val="24"/>
          <w:szCs w:val="24"/>
          <w:lang w:val="pt-BR"/>
        </w:rPr>
        <w:t xml:space="preserve"> comércio </w:t>
      </w:r>
      <w:r w:rsidR="00E638CE">
        <w:rPr>
          <w:rFonts w:ascii="Times New Roman" w:hAnsi="Times New Roman" w:cs="Times New Roman"/>
          <w:sz w:val="24"/>
          <w:szCs w:val="24"/>
          <w:lang w:val="pt-BR"/>
        </w:rPr>
        <w:t xml:space="preserve">de cada país </w:t>
      </w:r>
      <w:r w:rsidR="0048486B">
        <w:rPr>
          <w:rFonts w:ascii="Times New Roman" w:hAnsi="Times New Roman" w:cs="Times New Roman"/>
          <w:sz w:val="24"/>
          <w:szCs w:val="24"/>
          <w:lang w:val="pt-BR"/>
        </w:rPr>
        <w:t xml:space="preserve">relativo </w:t>
      </w:r>
      <w:proofErr w:type="gramStart"/>
      <w:r w:rsidR="0048486B">
        <w:rPr>
          <w:rFonts w:ascii="Times New Roman" w:hAnsi="Times New Roman" w:cs="Times New Roman"/>
          <w:sz w:val="24"/>
          <w:szCs w:val="24"/>
          <w:lang w:val="pt-BR"/>
        </w:rPr>
        <w:t>à</w:t>
      </w:r>
      <w:proofErr w:type="gramEnd"/>
      <w:r w:rsidR="0048486B">
        <w:rPr>
          <w:rFonts w:ascii="Times New Roman" w:hAnsi="Times New Roman" w:cs="Times New Roman"/>
          <w:sz w:val="24"/>
          <w:szCs w:val="24"/>
          <w:lang w:val="pt-BR"/>
        </w:rPr>
        <w:t xml:space="preserve"> bens e serviços que depend</w:t>
      </w:r>
      <w:r w:rsidR="00E638CE">
        <w:rPr>
          <w:rFonts w:ascii="Times New Roman" w:hAnsi="Times New Roman" w:cs="Times New Roman"/>
          <w:sz w:val="24"/>
          <w:szCs w:val="24"/>
          <w:lang w:val="pt-BR"/>
        </w:rPr>
        <w:t>a</w:t>
      </w:r>
      <w:r w:rsidR="0048486B">
        <w:rPr>
          <w:rFonts w:ascii="Times New Roman" w:hAnsi="Times New Roman" w:cs="Times New Roman"/>
          <w:sz w:val="24"/>
          <w:szCs w:val="24"/>
          <w:lang w:val="pt-BR"/>
        </w:rPr>
        <w:t xml:space="preserve">m </w:t>
      </w:r>
      <w:r>
        <w:rPr>
          <w:rFonts w:ascii="Times New Roman" w:hAnsi="Times New Roman" w:cs="Times New Roman"/>
          <w:sz w:val="24"/>
          <w:szCs w:val="24"/>
          <w:lang w:val="pt-BR"/>
        </w:rPr>
        <w:t>d</w:t>
      </w:r>
      <w:r w:rsidR="00E638CE">
        <w:rPr>
          <w:rFonts w:ascii="Times New Roman" w:hAnsi="Times New Roman" w:cs="Times New Roman"/>
          <w:sz w:val="24"/>
          <w:szCs w:val="24"/>
          <w:lang w:val="pt-BR"/>
        </w:rPr>
        <w:t>a</w:t>
      </w:r>
      <w:r>
        <w:rPr>
          <w:rFonts w:ascii="Times New Roman" w:hAnsi="Times New Roman" w:cs="Times New Roman"/>
          <w:sz w:val="24"/>
          <w:szCs w:val="24"/>
          <w:lang w:val="pt-BR"/>
        </w:rPr>
        <w:t xml:space="preserve"> PI e demonstrar a concentração dos fluxos agregando tipos ou </w:t>
      </w:r>
      <w:r w:rsidRPr="002A24FC">
        <w:rPr>
          <w:rFonts w:ascii="Times New Roman" w:hAnsi="Times New Roman" w:cs="Times New Roman"/>
          <w:i/>
          <w:sz w:val="24"/>
          <w:szCs w:val="24"/>
          <w:lang w:val="pt-BR"/>
        </w:rPr>
        <w:t>clusters</w:t>
      </w:r>
      <w:r>
        <w:rPr>
          <w:rFonts w:ascii="Times New Roman" w:hAnsi="Times New Roman" w:cs="Times New Roman"/>
          <w:sz w:val="24"/>
          <w:szCs w:val="24"/>
          <w:lang w:val="pt-BR"/>
        </w:rPr>
        <w:t xml:space="preserve"> de países, </w:t>
      </w:r>
      <w:r w:rsidR="00DE22D8">
        <w:rPr>
          <w:rFonts w:ascii="Times New Roman" w:hAnsi="Times New Roman" w:cs="Times New Roman"/>
          <w:sz w:val="24"/>
          <w:szCs w:val="24"/>
          <w:lang w:val="pt-BR"/>
        </w:rPr>
        <w:t xml:space="preserve">a pesquisa </w:t>
      </w:r>
      <w:r>
        <w:rPr>
          <w:rFonts w:ascii="Times New Roman" w:hAnsi="Times New Roman" w:cs="Times New Roman"/>
          <w:sz w:val="24"/>
          <w:szCs w:val="24"/>
          <w:lang w:val="pt-BR"/>
        </w:rPr>
        <w:t xml:space="preserve">foi capaz de </w:t>
      </w:r>
      <w:r w:rsidR="00DE22D8">
        <w:rPr>
          <w:rFonts w:ascii="Times New Roman" w:hAnsi="Times New Roman" w:cs="Times New Roman"/>
          <w:sz w:val="24"/>
          <w:szCs w:val="24"/>
          <w:lang w:val="pt-BR"/>
        </w:rPr>
        <w:t xml:space="preserve">mapear </w:t>
      </w:r>
      <w:r>
        <w:rPr>
          <w:rFonts w:ascii="Times New Roman" w:hAnsi="Times New Roman" w:cs="Times New Roman"/>
          <w:sz w:val="24"/>
          <w:szCs w:val="24"/>
          <w:lang w:val="pt-BR"/>
        </w:rPr>
        <w:t xml:space="preserve">também (e de forma inédita) </w:t>
      </w:r>
      <w:r w:rsidR="000F4FE3">
        <w:rPr>
          <w:rFonts w:ascii="Times New Roman" w:hAnsi="Times New Roman" w:cs="Times New Roman"/>
          <w:sz w:val="24"/>
          <w:szCs w:val="24"/>
          <w:lang w:val="pt-BR"/>
        </w:rPr>
        <w:t>dados bilater</w:t>
      </w:r>
      <w:r w:rsidR="00012B8A">
        <w:rPr>
          <w:rFonts w:ascii="Times New Roman" w:hAnsi="Times New Roman" w:cs="Times New Roman"/>
          <w:sz w:val="24"/>
          <w:szCs w:val="24"/>
          <w:lang w:val="pt-BR"/>
        </w:rPr>
        <w:t>ais</w:t>
      </w:r>
      <w:r w:rsidR="000F4FE3">
        <w:rPr>
          <w:rFonts w:ascii="Times New Roman" w:hAnsi="Times New Roman" w:cs="Times New Roman"/>
          <w:sz w:val="24"/>
          <w:szCs w:val="24"/>
          <w:lang w:val="pt-BR"/>
        </w:rPr>
        <w:t xml:space="preserve"> de comércio</w:t>
      </w:r>
      <w:r w:rsidR="00012B8A">
        <w:rPr>
          <w:rFonts w:ascii="Times New Roman" w:hAnsi="Times New Roman" w:cs="Times New Roman"/>
          <w:sz w:val="24"/>
          <w:szCs w:val="24"/>
          <w:lang w:val="pt-BR"/>
        </w:rPr>
        <w:t xml:space="preserve"> entre </w:t>
      </w:r>
      <w:r w:rsidR="0048486B">
        <w:rPr>
          <w:rFonts w:ascii="Times New Roman" w:hAnsi="Times New Roman" w:cs="Times New Roman"/>
          <w:sz w:val="24"/>
          <w:szCs w:val="24"/>
          <w:lang w:val="pt-BR"/>
        </w:rPr>
        <w:t>p</w:t>
      </w:r>
      <w:r w:rsidR="00012B8A">
        <w:rPr>
          <w:rFonts w:ascii="Times New Roman" w:hAnsi="Times New Roman" w:cs="Times New Roman"/>
          <w:sz w:val="24"/>
          <w:szCs w:val="24"/>
          <w:lang w:val="pt-BR"/>
        </w:rPr>
        <w:t>aíses</w:t>
      </w:r>
      <w:r w:rsidR="0048486B">
        <w:rPr>
          <w:rFonts w:ascii="Times New Roman" w:hAnsi="Times New Roman" w:cs="Times New Roman"/>
          <w:sz w:val="24"/>
          <w:szCs w:val="24"/>
          <w:lang w:val="pt-BR"/>
        </w:rPr>
        <w:t xml:space="preserve"> (</w:t>
      </w:r>
      <w:r w:rsidR="00E638CE">
        <w:rPr>
          <w:rFonts w:ascii="Times New Roman" w:hAnsi="Times New Roman" w:cs="Times New Roman"/>
          <w:sz w:val="24"/>
          <w:szCs w:val="24"/>
          <w:lang w:val="pt-BR"/>
        </w:rPr>
        <w:t xml:space="preserve">para uma </w:t>
      </w:r>
      <w:r w:rsidR="0048486B">
        <w:rPr>
          <w:rFonts w:ascii="Times New Roman" w:hAnsi="Times New Roman" w:cs="Times New Roman"/>
          <w:sz w:val="24"/>
          <w:szCs w:val="24"/>
          <w:lang w:val="pt-BR"/>
        </w:rPr>
        <w:t>amostra de 30 países)</w:t>
      </w:r>
      <w:r>
        <w:rPr>
          <w:rFonts w:ascii="Times New Roman" w:hAnsi="Times New Roman" w:cs="Times New Roman"/>
          <w:sz w:val="24"/>
          <w:szCs w:val="24"/>
          <w:lang w:val="pt-BR"/>
        </w:rPr>
        <w:t xml:space="preserve">, porém apenas para o caso do comércio de </w:t>
      </w:r>
      <w:r w:rsidR="0048486B">
        <w:rPr>
          <w:rFonts w:ascii="Times New Roman" w:hAnsi="Times New Roman" w:cs="Times New Roman"/>
          <w:sz w:val="24"/>
          <w:szCs w:val="24"/>
          <w:lang w:val="pt-BR"/>
        </w:rPr>
        <w:t>“</w:t>
      </w:r>
      <w:r>
        <w:rPr>
          <w:rFonts w:ascii="Times New Roman" w:hAnsi="Times New Roman" w:cs="Times New Roman"/>
          <w:sz w:val="24"/>
          <w:szCs w:val="24"/>
          <w:lang w:val="pt-BR"/>
        </w:rPr>
        <w:t>produtos farmacêuticos</w:t>
      </w:r>
      <w:r w:rsidR="0048486B">
        <w:rPr>
          <w:rFonts w:ascii="Times New Roman" w:hAnsi="Times New Roman" w:cs="Times New Roman"/>
          <w:sz w:val="24"/>
          <w:szCs w:val="24"/>
          <w:lang w:val="pt-BR"/>
        </w:rPr>
        <w:t>”</w:t>
      </w:r>
      <w:r>
        <w:rPr>
          <w:rFonts w:ascii="Times New Roman" w:hAnsi="Times New Roman" w:cs="Times New Roman"/>
          <w:sz w:val="24"/>
          <w:szCs w:val="24"/>
          <w:lang w:val="pt-BR"/>
        </w:rPr>
        <w:t xml:space="preserve">. No caso dos </w:t>
      </w:r>
      <w:r w:rsidR="00E638CE">
        <w:rPr>
          <w:rFonts w:ascii="Times New Roman" w:hAnsi="Times New Roman" w:cs="Times New Roman"/>
          <w:sz w:val="24"/>
          <w:szCs w:val="24"/>
          <w:lang w:val="pt-BR"/>
        </w:rPr>
        <w:t xml:space="preserve">registros sob o título </w:t>
      </w:r>
      <w:r>
        <w:rPr>
          <w:rFonts w:ascii="Times New Roman" w:hAnsi="Times New Roman" w:cs="Times New Roman"/>
          <w:sz w:val="24"/>
          <w:szCs w:val="24"/>
          <w:lang w:val="pt-BR"/>
        </w:rPr>
        <w:t>“serviços de propriedade intelectual”</w:t>
      </w:r>
      <w:r w:rsidR="00E638CE">
        <w:rPr>
          <w:rFonts w:ascii="Times New Roman" w:hAnsi="Times New Roman" w:cs="Times New Roman"/>
          <w:sz w:val="24"/>
          <w:szCs w:val="24"/>
          <w:lang w:val="pt-BR"/>
        </w:rPr>
        <w:t xml:space="preserve"> e de outros registros do balanço de serviços</w:t>
      </w:r>
      <w:r w:rsidR="00E66273">
        <w:rPr>
          <w:rFonts w:ascii="Times New Roman" w:hAnsi="Times New Roman" w:cs="Times New Roman"/>
          <w:sz w:val="24"/>
          <w:szCs w:val="24"/>
          <w:lang w:val="pt-BR"/>
        </w:rPr>
        <w:t xml:space="preserve"> que possuem relação com a PI</w:t>
      </w:r>
      <w:r>
        <w:rPr>
          <w:rFonts w:ascii="Times New Roman" w:hAnsi="Times New Roman" w:cs="Times New Roman"/>
          <w:sz w:val="24"/>
          <w:szCs w:val="24"/>
          <w:lang w:val="pt-BR"/>
        </w:rPr>
        <w:t xml:space="preserve">, </w:t>
      </w:r>
      <w:proofErr w:type="gramStart"/>
      <w:r>
        <w:rPr>
          <w:rFonts w:ascii="Times New Roman" w:hAnsi="Times New Roman" w:cs="Times New Roman"/>
          <w:sz w:val="24"/>
          <w:szCs w:val="24"/>
          <w:lang w:val="pt-BR"/>
        </w:rPr>
        <w:t>as</w:t>
      </w:r>
      <w:proofErr w:type="gramEnd"/>
      <w:r>
        <w:rPr>
          <w:rFonts w:ascii="Times New Roman" w:hAnsi="Times New Roman" w:cs="Times New Roman"/>
          <w:sz w:val="24"/>
          <w:szCs w:val="24"/>
          <w:lang w:val="pt-BR"/>
        </w:rPr>
        <w:t xml:space="preserve"> bases de dados são extremamente precárias</w:t>
      </w:r>
      <w:r w:rsidR="005F7DAA">
        <w:rPr>
          <w:rStyle w:val="Refdenotaderodap"/>
          <w:rFonts w:ascii="Times New Roman" w:hAnsi="Times New Roman" w:cs="Times New Roman"/>
          <w:sz w:val="24"/>
          <w:szCs w:val="24"/>
          <w:lang w:val="pt-BR"/>
        </w:rPr>
        <w:footnoteReference w:id="2"/>
      </w:r>
      <w:r w:rsidR="0048486B">
        <w:rPr>
          <w:rFonts w:ascii="Times New Roman" w:hAnsi="Times New Roman" w:cs="Times New Roman"/>
          <w:sz w:val="24"/>
          <w:szCs w:val="24"/>
          <w:lang w:val="pt-BR"/>
        </w:rPr>
        <w:t>, incompletas, inexistentes ou sigilosas</w:t>
      </w:r>
      <w:r w:rsidR="0048486B">
        <w:rPr>
          <w:rStyle w:val="Refdenotaderodap"/>
          <w:rFonts w:ascii="Times New Roman" w:hAnsi="Times New Roman" w:cs="Times New Roman"/>
          <w:sz w:val="24"/>
          <w:szCs w:val="24"/>
          <w:lang w:val="pt-BR"/>
        </w:rPr>
        <w:footnoteReference w:id="3"/>
      </w:r>
      <w:r w:rsidR="0048486B">
        <w:rPr>
          <w:rFonts w:ascii="Times New Roman" w:hAnsi="Times New Roman" w:cs="Times New Roman"/>
          <w:sz w:val="24"/>
          <w:szCs w:val="24"/>
          <w:lang w:val="pt-BR"/>
        </w:rPr>
        <w:t xml:space="preserve">. </w:t>
      </w:r>
      <w:r w:rsidR="004C68AA">
        <w:rPr>
          <w:rFonts w:ascii="Times New Roman" w:hAnsi="Times New Roman" w:cs="Times New Roman"/>
          <w:sz w:val="24"/>
          <w:szCs w:val="24"/>
          <w:lang w:val="pt-BR"/>
        </w:rPr>
        <w:t>A montagem destes dados foi resultado de um amplo trabalho de aprendizado relativo às bases de dados utilizadas. Aprendemos que, por exemplo, a</w:t>
      </w:r>
      <w:r w:rsidR="00655243">
        <w:rPr>
          <w:rFonts w:ascii="Times New Roman" w:hAnsi="Times New Roman" w:cs="Times New Roman"/>
          <w:sz w:val="24"/>
          <w:szCs w:val="24"/>
          <w:lang w:val="pt-BR"/>
        </w:rPr>
        <w:t xml:space="preserve"> base de dados do </w:t>
      </w:r>
      <w:r w:rsidR="00655243" w:rsidRPr="00E638CE">
        <w:rPr>
          <w:rFonts w:ascii="Times New Roman" w:hAnsi="Times New Roman" w:cs="Times New Roman"/>
          <w:i/>
          <w:sz w:val="24"/>
          <w:szCs w:val="24"/>
          <w:lang w:val="pt-BR"/>
        </w:rPr>
        <w:t>Internacional Trade Centre</w:t>
      </w:r>
      <w:r w:rsidR="00E638CE">
        <w:rPr>
          <w:rFonts w:ascii="Times New Roman" w:hAnsi="Times New Roman" w:cs="Times New Roman"/>
          <w:sz w:val="24"/>
          <w:szCs w:val="24"/>
          <w:lang w:val="pt-BR"/>
        </w:rPr>
        <w:t xml:space="preserve"> das Nações Unidas</w:t>
      </w:r>
      <w:r>
        <w:rPr>
          <w:rFonts w:ascii="Times New Roman" w:hAnsi="Times New Roman" w:cs="Times New Roman"/>
          <w:sz w:val="24"/>
          <w:szCs w:val="24"/>
          <w:lang w:val="pt-BR"/>
        </w:rPr>
        <w:t xml:space="preserve"> </w:t>
      </w:r>
      <w:r w:rsidR="00655243">
        <w:rPr>
          <w:rFonts w:ascii="Times New Roman" w:hAnsi="Times New Roman" w:cs="Times New Roman"/>
          <w:sz w:val="24"/>
          <w:szCs w:val="24"/>
          <w:lang w:val="pt-BR"/>
        </w:rPr>
        <w:t xml:space="preserve">reúne </w:t>
      </w:r>
      <w:r w:rsidR="004C68AA">
        <w:rPr>
          <w:rFonts w:ascii="Times New Roman" w:hAnsi="Times New Roman" w:cs="Times New Roman"/>
          <w:sz w:val="24"/>
          <w:szCs w:val="24"/>
          <w:lang w:val="pt-BR"/>
        </w:rPr>
        <w:t xml:space="preserve">os dados de comércio bilateral de alguns </w:t>
      </w:r>
      <w:r w:rsidR="00655243">
        <w:rPr>
          <w:rFonts w:ascii="Times New Roman" w:hAnsi="Times New Roman" w:cs="Times New Roman"/>
          <w:sz w:val="24"/>
          <w:szCs w:val="24"/>
          <w:lang w:val="pt-BR"/>
        </w:rPr>
        <w:t>países que possuem dados desagregados</w:t>
      </w:r>
      <w:r w:rsidR="004C68AA">
        <w:rPr>
          <w:rFonts w:ascii="Times New Roman" w:hAnsi="Times New Roman" w:cs="Times New Roman"/>
          <w:sz w:val="24"/>
          <w:szCs w:val="24"/>
          <w:lang w:val="pt-BR"/>
        </w:rPr>
        <w:t xml:space="preserve">, sejam eles divulgados pela própria ONU, sejam eles </w:t>
      </w:r>
      <w:r w:rsidR="00655243">
        <w:rPr>
          <w:rFonts w:ascii="Times New Roman" w:hAnsi="Times New Roman" w:cs="Times New Roman"/>
          <w:sz w:val="24"/>
          <w:szCs w:val="24"/>
          <w:lang w:val="pt-BR"/>
        </w:rPr>
        <w:t xml:space="preserve">divulgados por bancos centrais ou </w:t>
      </w:r>
      <w:r w:rsidR="004C68AA">
        <w:rPr>
          <w:rFonts w:ascii="Times New Roman" w:hAnsi="Times New Roman" w:cs="Times New Roman"/>
          <w:sz w:val="24"/>
          <w:szCs w:val="24"/>
          <w:lang w:val="pt-BR"/>
        </w:rPr>
        <w:t xml:space="preserve">até por </w:t>
      </w:r>
      <w:r w:rsidR="00655243">
        <w:rPr>
          <w:rFonts w:ascii="Times New Roman" w:hAnsi="Times New Roman" w:cs="Times New Roman"/>
          <w:sz w:val="24"/>
          <w:szCs w:val="24"/>
          <w:lang w:val="pt-BR"/>
        </w:rPr>
        <w:t>instituições de estatística. Descobrimos também que há ainda um número diminuto de países que divulgam dados bilaterais</w:t>
      </w:r>
      <w:proofErr w:type="gramStart"/>
      <w:r w:rsidR="00655243">
        <w:rPr>
          <w:rFonts w:ascii="Times New Roman" w:hAnsi="Times New Roman" w:cs="Times New Roman"/>
          <w:sz w:val="24"/>
          <w:szCs w:val="24"/>
          <w:lang w:val="pt-BR"/>
        </w:rPr>
        <w:t xml:space="preserve"> mas</w:t>
      </w:r>
      <w:proofErr w:type="gramEnd"/>
      <w:r w:rsidR="00655243">
        <w:rPr>
          <w:rFonts w:ascii="Times New Roman" w:hAnsi="Times New Roman" w:cs="Times New Roman"/>
          <w:sz w:val="24"/>
          <w:szCs w:val="24"/>
          <w:lang w:val="pt-BR"/>
        </w:rPr>
        <w:t xml:space="preserve"> que não estão nessa base, como p</w:t>
      </w:r>
      <w:r w:rsidR="005F7DAA">
        <w:rPr>
          <w:rFonts w:ascii="Times New Roman" w:hAnsi="Times New Roman" w:cs="Times New Roman"/>
          <w:sz w:val="24"/>
          <w:szCs w:val="24"/>
          <w:lang w:val="pt-BR"/>
        </w:rPr>
        <w:t>o</w:t>
      </w:r>
      <w:r w:rsidR="00655243">
        <w:rPr>
          <w:rFonts w:ascii="Times New Roman" w:hAnsi="Times New Roman" w:cs="Times New Roman"/>
          <w:sz w:val="24"/>
          <w:szCs w:val="24"/>
          <w:lang w:val="pt-BR"/>
        </w:rPr>
        <w:t xml:space="preserve">r exemplo o Reino Unido. </w:t>
      </w:r>
      <w:r w:rsidR="004C68AA">
        <w:rPr>
          <w:rFonts w:ascii="Times New Roman" w:hAnsi="Times New Roman" w:cs="Times New Roman"/>
          <w:sz w:val="24"/>
          <w:szCs w:val="24"/>
          <w:lang w:val="pt-BR"/>
        </w:rPr>
        <w:t>Reconhecemos por fim que a</w:t>
      </w:r>
      <w:r w:rsidR="00655243">
        <w:rPr>
          <w:rFonts w:ascii="Times New Roman" w:hAnsi="Times New Roman" w:cs="Times New Roman"/>
          <w:sz w:val="24"/>
          <w:szCs w:val="24"/>
          <w:lang w:val="pt-BR"/>
        </w:rPr>
        <w:t xml:space="preserve"> busca por dados bilaterais de serviços é uma tarefa ampla e demorada e </w:t>
      </w:r>
      <w:r w:rsidR="004C68AA">
        <w:rPr>
          <w:rFonts w:ascii="Times New Roman" w:hAnsi="Times New Roman" w:cs="Times New Roman"/>
          <w:sz w:val="24"/>
          <w:szCs w:val="24"/>
          <w:lang w:val="pt-BR"/>
        </w:rPr>
        <w:t>que deve ser</w:t>
      </w:r>
      <w:r w:rsidR="00655243">
        <w:rPr>
          <w:rFonts w:ascii="Times New Roman" w:hAnsi="Times New Roman" w:cs="Times New Roman"/>
          <w:sz w:val="24"/>
          <w:szCs w:val="24"/>
          <w:lang w:val="pt-BR"/>
        </w:rPr>
        <w:t xml:space="preserve"> completada nos próximos anos </w:t>
      </w:r>
      <w:r w:rsidR="005F7DAA">
        <w:rPr>
          <w:rFonts w:ascii="Times New Roman" w:hAnsi="Times New Roman" w:cs="Times New Roman"/>
          <w:sz w:val="24"/>
          <w:szCs w:val="24"/>
          <w:lang w:val="pt-BR"/>
        </w:rPr>
        <w:t>de</w:t>
      </w:r>
      <w:r w:rsidR="005B6935">
        <w:rPr>
          <w:rFonts w:ascii="Times New Roman" w:hAnsi="Times New Roman" w:cs="Times New Roman"/>
          <w:sz w:val="24"/>
          <w:szCs w:val="24"/>
          <w:lang w:val="pt-BR"/>
        </w:rPr>
        <w:t xml:space="preserve"> desenvolvimento de</w:t>
      </w:r>
      <w:r w:rsidR="005F7DAA">
        <w:rPr>
          <w:rFonts w:ascii="Times New Roman" w:hAnsi="Times New Roman" w:cs="Times New Roman"/>
          <w:sz w:val="24"/>
          <w:szCs w:val="24"/>
          <w:lang w:val="pt-BR"/>
        </w:rPr>
        <w:t>sta</w:t>
      </w:r>
      <w:r w:rsidR="00655243">
        <w:rPr>
          <w:rFonts w:ascii="Times New Roman" w:hAnsi="Times New Roman" w:cs="Times New Roman"/>
          <w:sz w:val="24"/>
          <w:szCs w:val="24"/>
          <w:lang w:val="pt-BR"/>
        </w:rPr>
        <w:t xml:space="preserve"> </w:t>
      </w:r>
      <w:r w:rsidR="005B6935">
        <w:rPr>
          <w:rFonts w:ascii="Times New Roman" w:hAnsi="Times New Roman" w:cs="Times New Roman"/>
          <w:sz w:val="24"/>
          <w:szCs w:val="24"/>
          <w:lang w:val="pt-BR"/>
        </w:rPr>
        <w:t xml:space="preserve">mesma </w:t>
      </w:r>
      <w:r w:rsidR="00655243">
        <w:rPr>
          <w:rFonts w:ascii="Times New Roman" w:hAnsi="Times New Roman" w:cs="Times New Roman"/>
          <w:sz w:val="24"/>
          <w:szCs w:val="24"/>
          <w:lang w:val="pt-BR"/>
        </w:rPr>
        <w:t>pesquisa.</w:t>
      </w:r>
    </w:p>
    <w:p w14:paraId="4808ED98" w14:textId="781DF16B" w:rsidR="000F4FE3" w:rsidRDefault="004C68AA" w:rsidP="000F4FE3">
      <w:pPr>
        <w:spacing w:after="0" w:line="360" w:lineRule="auto"/>
        <w:ind w:firstLine="567"/>
        <w:jc w:val="both"/>
        <w:rPr>
          <w:rFonts w:ascii="Times New Roman" w:hAnsi="Times New Roman" w:cs="Times New Roman"/>
          <w:sz w:val="24"/>
          <w:szCs w:val="24"/>
          <w:lang w:val="pt-BR"/>
        </w:rPr>
      </w:pPr>
      <w:r>
        <w:rPr>
          <w:rFonts w:ascii="Times New Roman" w:hAnsi="Times New Roman" w:cs="Times New Roman"/>
          <w:sz w:val="24"/>
          <w:szCs w:val="24"/>
          <w:lang w:val="pt-BR"/>
        </w:rPr>
        <w:t>Esta</w:t>
      </w:r>
      <w:r w:rsidR="000F4FE3">
        <w:rPr>
          <w:rFonts w:ascii="Times New Roman" w:hAnsi="Times New Roman" w:cs="Times New Roman"/>
          <w:sz w:val="24"/>
          <w:szCs w:val="24"/>
          <w:lang w:val="pt-BR"/>
        </w:rPr>
        <w:t xml:space="preserve"> pesquisa </w:t>
      </w:r>
      <w:r>
        <w:rPr>
          <w:rFonts w:ascii="Times New Roman" w:hAnsi="Times New Roman" w:cs="Times New Roman"/>
          <w:sz w:val="24"/>
          <w:szCs w:val="24"/>
          <w:lang w:val="pt-BR"/>
        </w:rPr>
        <w:t xml:space="preserve">também </w:t>
      </w:r>
      <w:r w:rsidR="000F4FE3">
        <w:rPr>
          <w:rFonts w:ascii="Times New Roman" w:hAnsi="Times New Roman" w:cs="Times New Roman"/>
          <w:sz w:val="24"/>
          <w:szCs w:val="24"/>
          <w:lang w:val="pt-BR"/>
        </w:rPr>
        <w:t xml:space="preserve">esbarrou de forma inesperada com dados inéditos </w:t>
      </w:r>
      <w:r w:rsidR="005F7DAA">
        <w:rPr>
          <w:rFonts w:ascii="Times New Roman" w:hAnsi="Times New Roman" w:cs="Times New Roman"/>
          <w:sz w:val="24"/>
          <w:szCs w:val="24"/>
          <w:lang w:val="pt-BR"/>
        </w:rPr>
        <w:t xml:space="preserve">sobre </w:t>
      </w:r>
      <w:r w:rsidR="000F4FE3">
        <w:rPr>
          <w:rFonts w:ascii="Times New Roman" w:hAnsi="Times New Roman" w:cs="Times New Roman"/>
          <w:sz w:val="24"/>
          <w:szCs w:val="24"/>
          <w:lang w:val="pt-BR"/>
        </w:rPr>
        <w:t xml:space="preserve">o </w:t>
      </w:r>
      <w:r w:rsidR="005F7DAA">
        <w:rPr>
          <w:rFonts w:ascii="Times New Roman" w:hAnsi="Times New Roman" w:cs="Times New Roman"/>
          <w:sz w:val="24"/>
          <w:szCs w:val="24"/>
          <w:lang w:val="pt-BR"/>
        </w:rPr>
        <w:t xml:space="preserve">peso das exportações e importações de </w:t>
      </w:r>
      <w:r w:rsidR="00016AB1">
        <w:rPr>
          <w:rFonts w:ascii="Times New Roman" w:hAnsi="Times New Roman" w:cs="Times New Roman"/>
          <w:sz w:val="24"/>
          <w:szCs w:val="24"/>
          <w:lang w:val="pt-BR"/>
        </w:rPr>
        <w:t>medicamentos</w:t>
      </w:r>
      <w:r w:rsidR="005F7DAA">
        <w:rPr>
          <w:rFonts w:ascii="Times New Roman" w:hAnsi="Times New Roman" w:cs="Times New Roman"/>
          <w:sz w:val="24"/>
          <w:szCs w:val="24"/>
          <w:lang w:val="pt-BR"/>
        </w:rPr>
        <w:t xml:space="preserve"> dentro das contas classificadas como “produtos farmacêuticos”, </w:t>
      </w:r>
      <w:r w:rsidR="00DA5256">
        <w:rPr>
          <w:rFonts w:ascii="Times New Roman" w:hAnsi="Times New Roman" w:cs="Times New Roman"/>
          <w:sz w:val="24"/>
          <w:szCs w:val="24"/>
          <w:lang w:val="pt-BR"/>
        </w:rPr>
        <w:t>que s</w:t>
      </w:r>
      <w:r w:rsidR="00543A82">
        <w:rPr>
          <w:rFonts w:ascii="Times New Roman" w:hAnsi="Times New Roman" w:cs="Times New Roman"/>
          <w:sz w:val="24"/>
          <w:szCs w:val="24"/>
          <w:lang w:val="pt-BR"/>
        </w:rPr>
        <w:t>ão publicad</w:t>
      </w:r>
      <w:r w:rsidR="00BF37E2">
        <w:rPr>
          <w:rFonts w:ascii="Times New Roman" w:hAnsi="Times New Roman" w:cs="Times New Roman"/>
          <w:sz w:val="24"/>
          <w:szCs w:val="24"/>
          <w:lang w:val="pt-BR"/>
        </w:rPr>
        <w:t>a</w:t>
      </w:r>
      <w:r w:rsidR="00543A82">
        <w:rPr>
          <w:rFonts w:ascii="Times New Roman" w:hAnsi="Times New Roman" w:cs="Times New Roman"/>
          <w:sz w:val="24"/>
          <w:szCs w:val="24"/>
          <w:lang w:val="pt-BR"/>
        </w:rPr>
        <w:t>s pela maioria dos países</w:t>
      </w:r>
      <w:r w:rsidR="00BF37E2">
        <w:rPr>
          <w:rFonts w:ascii="Times New Roman" w:hAnsi="Times New Roman" w:cs="Times New Roman"/>
          <w:sz w:val="24"/>
          <w:szCs w:val="24"/>
          <w:lang w:val="pt-BR"/>
        </w:rPr>
        <w:t xml:space="preserve"> e reunidas </w:t>
      </w:r>
      <w:r w:rsidR="000B0C2B">
        <w:rPr>
          <w:rFonts w:ascii="Times New Roman" w:hAnsi="Times New Roman" w:cs="Times New Roman"/>
          <w:sz w:val="24"/>
          <w:szCs w:val="24"/>
          <w:lang w:val="pt-BR"/>
        </w:rPr>
        <w:t xml:space="preserve">na base de dados UN </w:t>
      </w:r>
      <w:proofErr w:type="spellStart"/>
      <w:r w:rsidR="000B0C2B">
        <w:rPr>
          <w:rFonts w:ascii="Times New Roman" w:hAnsi="Times New Roman" w:cs="Times New Roman"/>
          <w:sz w:val="24"/>
          <w:szCs w:val="24"/>
          <w:lang w:val="pt-BR"/>
        </w:rPr>
        <w:t>Comtrade</w:t>
      </w:r>
      <w:proofErr w:type="spellEnd"/>
      <w:r w:rsidR="000B0C2B">
        <w:rPr>
          <w:rStyle w:val="Refdenotaderodap"/>
          <w:rFonts w:ascii="Times New Roman" w:hAnsi="Times New Roman" w:cs="Times New Roman"/>
          <w:sz w:val="24"/>
          <w:szCs w:val="24"/>
          <w:lang w:val="pt-BR"/>
        </w:rPr>
        <w:footnoteReference w:id="4"/>
      </w:r>
      <w:r w:rsidR="00543A82">
        <w:rPr>
          <w:rFonts w:ascii="Times New Roman" w:hAnsi="Times New Roman" w:cs="Times New Roman"/>
          <w:sz w:val="24"/>
          <w:szCs w:val="24"/>
          <w:lang w:val="pt-BR"/>
        </w:rPr>
        <w:t xml:space="preserve">. </w:t>
      </w:r>
      <w:r w:rsidR="000B0C2B">
        <w:rPr>
          <w:rFonts w:ascii="Times New Roman" w:hAnsi="Times New Roman" w:cs="Times New Roman"/>
          <w:sz w:val="24"/>
          <w:szCs w:val="24"/>
          <w:lang w:val="pt-BR"/>
        </w:rPr>
        <w:t xml:space="preserve">Tais dados são fundamentais para </w:t>
      </w:r>
      <w:r w:rsidR="00543A82">
        <w:rPr>
          <w:rFonts w:ascii="Times New Roman" w:hAnsi="Times New Roman" w:cs="Times New Roman"/>
          <w:sz w:val="24"/>
          <w:szCs w:val="24"/>
          <w:lang w:val="pt-BR"/>
        </w:rPr>
        <w:t>saber de forma mais precisa</w:t>
      </w:r>
      <w:r w:rsidR="00810221">
        <w:rPr>
          <w:rFonts w:ascii="Times New Roman" w:hAnsi="Times New Roman" w:cs="Times New Roman"/>
          <w:sz w:val="24"/>
          <w:szCs w:val="24"/>
          <w:lang w:val="pt-BR"/>
        </w:rPr>
        <w:t>, por exemplo,</w:t>
      </w:r>
      <w:r w:rsidR="00543A82">
        <w:rPr>
          <w:rFonts w:ascii="Times New Roman" w:hAnsi="Times New Roman" w:cs="Times New Roman"/>
          <w:sz w:val="24"/>
          <w:szCs w:val="24"/>
          <w:lang w:val="pt-BR"/>
        </w:rPr>
        <w:t xml:space="preserve"> se os países importam e ou exportam produtos genéricos (que teriam um preço por quilo mais baixo) ou de marca, que dependem de PI (que teriam um preço por quilo mais alto)</w:t>
      </w:r>
      <w:r w:rsidR="000B0C2B">
        <w:rPr>
          <w:rFonts w:ascii="Times New Roman" w:hAnsi="Times New Roman" w:cs="Times New Roman"/>
          <w:sz w:val="24"/>
          <w:szCs w:val="24"/>
          <w:lang w:val="pt-BR"/>
        </w:rPr>
        <w:t xml:space="preserve"> ao mostrarem a evolução do preço (dólar) por quilo dos medicamentos</w:t>
      </w:r>
      <w:r w:rsidR="00810221">
        <w:rPr>
          <w:rFonts w:ascii="Times New Roman" w:hAnsi="Times New Roman" w:cs="Times New Roman"/>
          <w:sz w:val="24"/>
          <w:szCs w:val="24"/>
          <w:lang w:val="pt-BR"/>
        </w:rPr>
        <w:t xml:space="preserve"> ao longo do tempo</w:t>
      </w:r>
      <w:r w:rsidR="00543A82">
        <w:rPr>
          <w:rFonts w:ascii="Times New Roman" w:hAnsi="Times New Roman" w:cs="Times New Roman"/>
          <w:sz w:val="24"/>
          <w:szCs w:val="24"/>
          <w:lang w:val="pt-BR"/>
        </w:rPr>
        <w:t xml:space="preserve">. </w:t>
      </w:r>
      <w:r w:rsidR="00810221">
        <w:rPr>
          <w:rFonts w:ascii="Times New Roman" w:hAnsi="Times New Roman" w:cs="Times New Roman"/>
          <w:sz w:val="24"/>
          <w:szCs w:val="24"/>
          <w:lang w:val="pt-BR"/>
        </w:rPr>
        <w:t>Como resultado, um</w:t>
      </w:r>
      <w:r w:rsidR="00543A82">
        <w:rPr>
          <w:rFonts w:ascii="Times New Roman" w:hAnsi="Times New Roman" w:cs="Times New Roman"/>
          <w:sz w:val="24"/>
          <w:szCs w:val="24"/>
          <w:lang w:val="pt-BR"/>
        </w:rPr>
        <w:t xml:space="preserve"> dos artigos que está sendo elaborado </w:t>
      </w:r>
      <w:r w:rsidR="00E66273">
        <w:rPr>
          <w:rFonts w:ascii="Times New Roman" w:hAnsi="Times New Roman" w:cs="Times New Roman"/>
          <w:sz w:val="24"/>
          <w:szCs w:val="24"/>
          <w:lang w:val="pt-BR"/>
        </w:rPr>
        <w:t xml:space="preserve">(em fase ainda muito </w:t>
      </w:r>
      <w:proofErr w:type="spellStart"/>
      <w:r w:rsidR="00E66273">
        <w:rPr>
          <w:rFonts w:ascii="Times New Roman" w:hAnsi="Times New Roman" w:cs="Times New Roman"/>
          <w:sz w:val="24"/>
          <w:szCs w:val="24"/>
          <w:lang w:val="pt-BR"/>
        </w:rPr>
        <w:t>incial</w:t>
      </w:r>
      <w:proofErr w:type="spellEnd"/>
      <w:r w:rsidR="00E66273">
        <w:rPr>
          <w:rFonts w:ascii="Times New Roman" w:hAnsi="Times New Roman" w:cs="Times New Roman"/>
          <w:sz w:val="24"/>
          <w:szCs w:val="24"/>
          <w:lang w:val="pt-BR"/>
        </w:rPr>
        <w:t xml:space="preserve">) </w:t>
      </w:r>
      <w:r w:rsidR="00543A82">
        <w:rPr>
          <w:rFonts w:ascii="Times New Roman" w:hAnsi="Times New Roman" w:cs="Times New Roman"/>
          <w:sz w:val="24"/>
          <w:szCs w:val="24"/>
          <w:lang w:val="pt-BR"/>
        </w:rPr>
        <w:t xml:space="preserve">tem como tarefa principal correlacionar </w:t>
      </w:r>
      <w:r w:rsidR="00016AB1">
        <w:rPr>
          <w:rFonts w:ascii="Times New Roman" w:hAnsi="Times New Roman" w:cs="Times New Roman"/>
          <w:sz w:val="24"/>
          <w:szCs w:val="24"/>
          <w:lang w:val="pt-BR"/>
        </w:rPr>
        <w:t>o</w:t>
      </w:r>
      <w:r w:rsidR="00543A82">
        <w:rPr>
          <w:rFonts w:ascii="Times New Roman" w:hAnsi="Times New Roman" w:cs="Times New Roman"/>
          <w:sz w:val="24"/>
          <w:szCs w:val="24"/>
          <w:lang w:val="pt-BR"/>
        </w:rPr>
        <w:t>s</w:t>
      </w:r>
      <w:r w:rsidR="00016AB1">
        <w:rPr>
          <w:rFonts w:ascii="Times New Roman" w:hAnsi="Times New Roman" w:cs="Times New Roman"/>
          <w:sz w:val="24"/>
          <w:szCs w:val="24"/>
          <w:lang w:val="pt-BR"/>
        </w:rPr>
        <w:t xml:space="preserve"> preço</w:t>
      </w:r>
      <w:r w:rsidR="00543A82">
        <w:rPr>
          <w:rFonts w:ascii="Times New Roman" w:hAnsi="Times New Roman" w:cs="Times New Roman"/>
          <w:sz w:val="24"/>
          <w:szCs w:val="24"/>
          <w:lang w:val="pt-BR"/>
        </w:rPr>
        <w:t>s</w:t>
      </w:r>
      <w:r w:rsidR="00016AB1">
        <w:rPr>
          <w:rFonts w:ascii="Times New Roman" w:hAnsi="Times New Roman" w:cs="Times New Roman"/>
          <w:sz w:val="24"/>
          <w:szCs w:val="24"/>
          <w:lang w:val="pt-BR"/>
        </w:rPr>
        <w:t xml:space="preserve"> por </w:t>
      </w:r>
      <w:r w:rsidR="00543A82">
        <w:rPr>
          <w:rFonts w:ascii="Times New Roman" w:hAnsi="Times New Roman" w:cs="Times New Roman"/>
          <w:sz w:val="24"/>
          <w:szCs w:val="24"/>
          <w:lang w:val="pt-BR"/>
        </w:rPr>
        <w:t>quilo d</w:t>
      </w:r>
      <w:r w:rsidR="00E66273">
        <w:rPr>
          <w:rFonts w:ascii="Times New Roman" w:hAnsi="Times New Roman" w:cs="Times New Roman"/>
          <w:sz w:val="24"/>
          <w:szCs w:val="24"/>
          <w:lang w:val="pt-BR"/>
        </w:rPr>
        <w:t>a</w:t>
      </w:r>
      <w:r w:rsidR="00543A82">
        <w:rPr>
          <w:rFonts w:ascii="Times New Roman" w:hAnsi="Times New Roman" w:cs="Times New Roman"/>
          <w:sz w:val="24"/>
          <w:szCs w:val="24"/>
          <w:lang w:val="pt-BR"/>
        </w:rPr>
        <w:t xml:space="preserve"> importação de medicamentos </w:t>
      </w:r>
      <w:r w:rsidR="00543A82">
        <w:rPr>
          <w:rFonts w:ascii="Times New Roman" w:hAnsi="Times New Roman" w:cs="Times New Roman"/>
          <w:sz w:val="24"/>
          <w:szCs w:val="24"/>
          <w:lang w:val="pt-BR"/>
        </w:rPr>
        <w:lastRenderedPageBreak/>
        <w:t>com os índices de proteção da propriedade intelectual de cada país para saber se há uma relação positiva, neutra ou negativa entre essas duas grandezas</w:t>
      </w:r>
      <w:r w:rsidR="00E66273">
        <w:rPr>
          <w:rFonts w:ascii="Times New Roman" w:hAnsi="Times New Roman" w:cs="Times New Roman"/>
          <w:sz w:val="24"/>
          <w:szCs w:val="24"/>
          <w:lang w:val="pt-BR"/>
        </w:rPr>
        <w:t xml:space="preserve">, um dos objetivos é entender, por exemplo, o quanto a assinatura e o </w:t>
      </w:r>
      <w:proofErr w:type="spellStart"/>
      <w:r w:rsidR="00E66273" w:rsidRPr="00E66273">
        <w:rPr>
          <w:rFonts w:ascii="Times New Roman" w:hAnsi="Times New Roman" w:cs="Times New Roman"/>
          <w:i/>
          <w:sz w:val="24"/>
          <w:szCs w:val="24"/>
          <w:lang w:val="pt-BR"/>
        </w:rPr>
        <w:t>enforcement</w:t>
      </w:r>
      <w:proofErr w:type="spellEnd"/>
      <w:r w:rsidR="00E66273">
        <w:rPr>
          <w:rFonts w:ascii="Times New Roman" w:hAnsi="Times New Roman" w:cs="Times New Roman"/>
          <w:sz w:val="24"/>
          <w:szCs w:val="24"/>
          <w:lang w:val="pt-BR"/>
        </w:rPr>
        <w:t xml:space="preserve"> dos </w:t>
      </w:r>
      <w:proofErr w:type="spellStart"/>
      <w:r w:rsidR="00E66273">
        <w:rPr>
          <w:rFonts w:ascii="Times New Roman" w:hAnsi="Times New Roman" w:cs="Times New Roman"/>
          <w:sz w:val="24"/>
          <w:szCs w:val="24"/>
          <w:lang w:val="pt-BR"/>
        </w:rPr>
        <w:t>TRIPs</w:t>
      </w:r>
      <w:proofErr w:type="spellEnd"/>
      <w:r w:rsidR="00E66273">
        <w:rPr>
          <w:rFonts w:ascii="Times New Roman" w:hAnsi="Times New Roman" w:cs="Times New Roman"/>
          <w:sz w:val="24"/>
          <w:szCs w:val="24"/>
          <w:lang w:val="pt-BR"/>
        </w:rPr>
        <w:t xml:space="preserve"> teriam influência nos custos de importação de medicamentos dos países menos desenvolvidos</w:t>
      </w:r>
      <w:r w:rsidR="00543A82">
        <w:rPr>
          <w:rFonts w:ascii="Times New Roman" w:hAnsi="Times New Roman" w:cs="Times New Roman"/>
          <w:sz w:val="24"/>
          <w:szCs w:val="24"/>
          <w:lang w:val="pt-BR"/>
        </w:rPr>
        <w:t xml:space="preserve">. </w:t>
      </w:r>
    </w:p>
    <w:p w14:paraId="2D025070" w14:textId="2F38E4A1" w:rsidR="00933967" w:rsidRDefault="00543A82" w:rsidP="00543A82">
      <w:pPr>
        <w:spacing w:after="0" w:line="360" w:lineRule="auto"/>
        <w:ind w:firstLine="56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Por fim, é importante salientar que o ineditismo desta pesquisa deve abrir </w:t>
      </w:r>
      <w:r w:rsidR="000F4FE3" w:rsidRPr="000F4FE3">
        <w:rPr>
          <w:rFonts w:ascii="Times New Roman" w:hAnsi="Times New Roman" w:cs="Times New Roman"/>
          <w:sz w:val="24"/>
          <w:szCs w:val="24"/>
          <w:lang w:val="pt-BR"/>
        </w:rPr>
        <w:t xml:space="preserve">um novo caminho metodológico </w:t>
      </w:r>
      <w:r w:rsidR="00016AB1">
        <w:rPr>
          <w:rFonts w:ascii="Times New Roman" w:hAnsi="Times New Roman" w:cs="Times New Roman"/>
          <w:sz w:val="24"/>
          <w:szCs w:val="24"/>
          <w:lang w:val="pt-BR"/>
        </w:rPr>
        <w:t>e</w:t>
      </w:r>
      <w:r w:rsidR="000F4FE3" w:rsidRPr="000F4FE3">
        <w:rPr>
          <w:rFonts w:ascii="Times New Roman" w:hAnsi="Times New Roman" w:cs="Times New Roman"/>
          <w:sz w:val="24"/>
          <w:szCs w:val="24"/>
          <w:lang w:val="pt-BR"/>
        </w:rPr>
        <w:t xml:space="preserve"> trazer uma visão mais aprofundada sobre as tendências do comércio diretamente (ou indiretamente) associad</w:t>
      </w:r>
      <w:r w:rsidR="00810221">
        <w:rPr>
          <w:rFonts w:ascii="Times New Roman" w:hAnsi="Times New Roman" w:cs="Times New Roman"/>
          <w:sz w:val="24"/>
          <w:szCs w:val="24"/>
          <w:lang w:val="pt-BR"/>
        </w:rPr>
        <w:t>o</w:t>
      </w:r>
      <w:r w:rsidR="000F4FE3" w:rsidRPr="000F4FE3">
        <w:rPr>
          <w:rFonts w:ascii="Times New Roman" w:hAnsi="Times New Roman" w:cs="Times New Roman"/>
          <w:sz w:val="24"/>
          <w:szCs w:val="24"/>
          <w:lang w:val="pt-BR"/>
        </w:rPr>
        <w:t xml:space="preserve"> aos </w:t>
      </w:r>
      <w:proofErr w:type="spellStart"/>
      <w:r w:rsidR="000F4FE3" w:rsidRPr="000F4FE3">
        <w:rPr>
          <w:rFonts w:ascii="Times New Roman" w:hAnsi="Times New Roman" w:cs="Times New Roman"/>
          <w:sz w:val="24"/>
          <w:szCs w:val="24"/>
          <w:lang w:val="pt-BR"/>
        </w:rPr>
        <w:t>DPIs</w:t>
      </w:r>
      <w:proofErr w:type="spellEnd"/>
      <w:r w:rsidR="000F4FE3" w:rsidRPr="000F4FE3">
        <w:rPr>
          <w:rFonts w:ascii="Times New Roman" w:hAnsi="Times New Roman" w:cs="Times New Roman"/>
          <w:sz w:val="24"/>
          <w:szCs w:val="24"/>
          <w:lang w:val="pt-BR"/>
        </w:rPr>
        <w:t>, destacando a concentração, os excedentes e os déficits desses tipos de fluxos internacionais ao longo do tempo</w:t>
      </w:r>
      <w:r w:rsidR="00016AB1">
        <w:rPr>
          <w:rFonts w:ascii="Times New Roman" w:hAnsi="Times New Roman" w:cs="Times New Roman"/>
          <w:sz w:val="24"/>
          <w:szCs w:val="24"/>
          <w:lang w:val="pt-BR"/>
        </w:rPr>
        <w:t xml:space="preserve"> bem como a influência dos DPI nos dados econômicos em âmbito </w:t>
      </w:r>
      <w:r>
        <w:rPr>
          <w:rFonts w:ascii="Times New Roman" w:hAnsi="Times New Roman" w:cs="Times New Roman"/>
          <w:sz w:val="24"/>
          <w:szCs w:val="24"/>
          <w:lang w:val="pt-BR"/>
        </w:rPr>
        <w:t>internacional</w:t>
      </w:r>
      <w:r w:rsidR="000F4FE3" w:rsidRPr="000F4FE3">
        <w:rPr>
          <w:rFonts w:ascii="Times New Roman" w:hAnsi="Times New Roman" w:cs="Times New Roman"/>
          <w:sz w:val="24"/>
          <w:szCs w:val="24"/>
          <w:lang w:val="pt-BR"/>
        </w:rPr>
        <w:t xml:space="preserve">. Este exercício também pode ajudar no debate mais amplo nas relações internacionais sobre </w:t>
      </w:r>
      <w:r>
        <w:rPr>
          <w:rFonts w:ascii="Times New Roman" w:hAnsi="Times New Roman" w:cs="Times New Roman"/>
          <w:sz w:val="24"/>
          <w:szCs w:val="24"/>
          <w:lang w:val="pt-BR"/>
        </w:rPr>
        <w:t>as</w:t>
      </w:r>
      <w:r w:rsidR="000F4FE3" w:rsidRPr="000F4FE3">
        <w:rPr>
          <w:rFonts w:ascii="Times New Roman" w:hAnsi="Times New Roman" w:cs="Times New Roman"/>
          <w:sz w:val="24"/>
          <w:szCs w:val="24"/>
          <w:lang w:val="pt-BR"/>
        </w:rPr>
        <w:t xml:space="preserve"> </w:t>
      </w:r>
      <w:r>
        <w:rPr>
          <w:rFonts w:ascii="Times New Roman" w:hAnsi="Times New Roman" w:cs="Times New Roman"/>
          <w:sz w:val="24"/>
          <w:szCs w:val="24"/>
          <w:lang w:val="pt-BR"/>
        </w:rPr>
        <w:t>assim</w:t>
      </w:r>
      <w:r w:rsidR="00810221">
        <w:rPr>
          <w:rFonts w:ascii="Times New Roman" w:hAnsi="Times New Roman" w:cs="Times New Roman"/>
          <w:sz w:val="24"/>
          <w:szCs w:val="24"/>
          <w:lang w:val="pt-BR"/>
        </w:rPr>
        <w:t>etrias entr</w:t>
      </w:r>
      <w:r w:rsidR="00E66273">
        <w:rPr>
          <w:rFonts w:ascii="Times New Roman" w:hAnsi="Times New Roman" w:cs="Times New Roman"/>
          <w:sz w:val="24"/>
          <w:szCs w:val="24"/>
          <w:lang w:val="pt-BR"/>
        </w:rPr>
        <w:t>e</w:t>
      </w:r>
      <w:r w:rsidR="00810221">
        <w:rPr>
          <w:rFonts w:ascii="Times New Roman" w:hAnsi="Times New Roman" w:cs="Times New Roman"/>
          <w:sz w:val="24"/>
          <w:szCs w:val="24"/>
          <w:lang w:val="pt-BR"/>
        </w:rPr>
        <w:t xml:space="preserve"> a</w:t>
      </w:r>
      <w:r>
        <w:rPr>
          <w:rFonts w:ascii="Times New Roman" w:hAnsi="Times New Roman" w:cs="Times New Roman"/>
          <w:sz w:val="24"/>
          <w:szCs w:val="24"/>
          <w:lang w:val="pt-BR"/>
        </w:rPr>
        <w:t xml:space="preserve">s economias </w:t>
      </w:r>
      <w:r w:rsidR="000F4FE3" w:rsidRPr="000F4FE3">
        <w:rPr>
          <w:rFonts w:ascii="Times New Roman" w:hAnsi="Times New Roman" w:cs="Times New Roman"/>
          <w:sz w:val="24"/>
          <w:szCs w:val="24"/>
          <w:lang w:val="pt-BR"/>
        </w:rPr>
        <w:t xml:space="preserve">internacionais </w:t>
      </w:r>
      <w:r>
        <w:rPr>
          <w:rFonts w:ascii="Times New Roman" w:hAnsi="Times New Roman" w:cs="Times New Roman"/>
          <w:sz w:val="24"/>
          <w:szCs w:val="24"/>
          <w:lang w:val="pt-BR"/>
        </w:rPr>
        <w:t xml:space="preserve">ao longo do tempo. </w:t>
      </w:r>
    </w:p>
    <w:p w14:paraId="38B48D5E" w14:textId="77777777" w:rsidR="00810221" w:rsidRPr="0014716E" w:rsidRDefault="00810221" w:rsidP="00BD2F29">
      <w:pPr>
        <w:spacing w:after="0" w:line="360" w:lineRule="auto"/>
        <w:jc w:val="both"/>
        <w:rPr>
          <w:rFonts w:ascii="Times New Roman" w:hAnsi="Times New Roman" w:cs="Times New Roman"/>
          <w:sz w:val="24"/>
          <w:szCs w:val="24"/>
          <w:lang w:val="pt-BR"/>
        </w:rPr>
      </w:pPr>
    </w:p>
    <w:p w14:paraId="4CD4A5DD" w14:textId="77777777" w:rsidR="00502ACF" w:rsidRPr="008B0E7D" w:rsidRDefault="00502ACF" w:rsidP="008B0E7D">
      <w:pPr>
        <w:spacing w:after="0" w:line="240" w:lineRule="auto"/>
        <w:ind w:right="-1"/>
        <w:jc w:val="both"/>
        <w:rPr>
          <w:rFonts w:ascii="Times New Roman" w:hAnsi="Times New Roman" w:cs="Times New Roman"/>
          <w:b/>
          <w:sz w:val="26"/>
          <w:szCs w:val="26"/>
          <w:lang w:val="pt-BR"/>
        </w:rPr>
      </w:pPr>
      <w:r w:rsidRPr="008B0E7D">
        <w:rPr>
          <w:rFonts w:ascii="Times New Roman" w:hAnsi="Times New Roman" w:cs="Times New Roman"/>
          <w:b/>
          <w:sz w:val="26"/>
          <w:szCs w:val="26"/>
          <w:lang w:val="pt-BR"/>
        </w:rPr>
        <w:t>Atividades realizadas</w:t>
      </w:r>
    </w:p>
    <w:p w14:paraId="14EBEC93" w14:textId="34A7AE42" w:rsidR="009A2055" w:rsidRDefault="009A2055" w:rsidP="00810221">
      <w:pPr>
        <w:spacing w:after="0" w:line="360" w:lineRule="auto"/>
        <w:ind w:firstLine="567"/>
        <w:jc w:val="both"/>
        <w:rPr>
          <w:rFonts w:ascii="Times New Roman" w:hAnsi="Times New Roman" w:cs="Times New Roman"/>
          <w:sz w:val="24"/>
          <w:szCs w:val="24"/>
          <w:lang w:val="pt-BR"/>
        </w:rPr>
      </w:pPr>
      <w:r w:rsidRPr="0014716E">
        <w:rPr>
          <w:rFonts w:ascii="Times New Roman" w:hAnsi="Times New Roman" w:cs="Times New Roman"/>
          <w:sz w:val="24"/>
          <w:szCs w:val="24"/>
          <w:lang w:val="pt-BR"/>
        </w:rPr>
        <w:t xml:space="preserve">Um cronograma de atividades foi proposto no projeto inicial com o </w:t>
      </w:r>
      <w:r w:rsidR="00DE22D8">
        <w:rPr>
          <w:rFonts w:ascii="Times New Roman" w:hAnsi="Times New Roman" w:cs="Times New Roman"/>
          <w:sz w:val="24"/>
          <w:szCs w:val="24"/>
          <w:lang w:val="pt-BR"/>
        </w:rPr>
        <w:t>intuito</w:t>
      </w:r>
      <w:r w:rsidRPr="0014716E">
        <w:rPr>
          <w:rFonts w:ascii="Times New Roman" w:hAnsi="Times New Roman" w:cs="Times New Roman"/>
          <w:sz w:val="24"/>
          <w:szCs w:val="24"/>
          <w:lang w:val="pt-BR"/>
        </w:rPr>
        <w:t xml:space="preserve"> de balizar as atividades e assim garantir que os objetivos propostos fossem satisfatoriamente alcançados. De acordo com o cronograma inicial, estavam propost</w:t>
      </w:r>
      <w:r w:rsidR="00295919" w:rsidRPr="0014716E">
        <w:rPr>
          <w:rFonts w:ascii="Times New Roman" w:hAnsi="Times New Roman" w:cs="Times New Roman"/>
          <w:sz w:val="24"/>
          <w:szCs w:val="24"/>
          <w:lang w:val="pt-BR"/>
        </w:rPr>
        <w:t>a</w:t>
      </w:r>
      <w:r w:rsidRPr="0014716E">
        <w:rPr>
          <w:rFonts w:ascii="Times New Roman" w:hAnsi="Times New Roman" w:cs="Times New Roman"/>
          <w:sz w:val="24"/>
          <w:szCs w:val="24"/>
          <w:lang w:val="pt-BR"/>
        </w:rPr>
        <w:t>s para os 12 meses d</w:t>
      </w:r>
      <w:r w:rsidR="00FC0FC1" w:rsidRPr="0014716E">
        <w:rPr>
          <w:rFonts w:ascii="Times New Roman" w:hAnsi="Times New Roman" w:cs="Times New Roman"/>
          <w:sz w:val="24"/>
          <w:szCs w:val="24"/>
          <w:lang w:val="pt-BR"/>
        </w:rPr>
        <w:t>o p</w:t>
      </w:r>
      <w:r w:rsidRPr="0014716E">
        <w:rPr>
          <w:rFonts w:ascii="Times New Roman" w:hAnsi="Times New Roman" w:cs="Times New Roman"/>
          <w:sz w:val="24"/>
          <w:szCs w:val="24"/>
          <w:lang w:val="pt-BR"/>
        </w:rPr>
        <w:t>rojeto</w:t>
      </w:r>
      <w:r w:rsidR="00295919" w:rsidRPr="0014716E">
        <w:rPr>
          <w:rFonts w:ascii="Times New Roman" w:hAnsi="Times New Roman" w:cs="Times New Roman"/>
          <w:sz w:val="24"/>
          <w:szCs w:val="24"/>
          <w:lang w:val="pt-BR"/>
        </w:rPr>
        <w:t xml:space="preserve"> as seguintes atividades</w:t>
      </w:r>
      <w:r w:rsidRPr="0014716E">
        <w:rPr>
          <w:rFonts w:ascii="Times New Roman" w:hAnsi="Times New Roman" w:cs="Times New Roman"/>
          <w:sz w:val="24"/>
          <w:szCs w:val="24"/>
          <w:lang w:val="pt-BR"/>
        </w:rPr>
        <w:t>:</w:t>
      </w:r>
    </w:p>
    <w:p w14:paraId="1FD4F58B" w14:textId="77777777" w:rsidR="00E66273" w:rsidRPr="0014716E" w:rsidRDefault="00E66273" w:rsidP="00810221">
      <w:pPr>
        <w:spacing w:after="0" w:line="360" w:lineRule="auto"/>
        <w:ind w:firstLine="567"/>
        <w:jc w:val="both"/>
        <w:rPr>
          <w:rFonts w:ascii="Times New Roman" w:hAnsi="Times New Roman" w:cs="Times New Roman"/>
          <w:sz w:val="24"/>
          <w:szCs w:val="24"/>
          <w:lang w:val="pt-BR"/>
        </w:rPr>
      </w:pPr>
    </w:p>
    <w:p w14:paraId="39DF7C59" w14:textId="77777777" w:rsidR="009A2055" w:rsidRPr="0014716E" w:rsidRDefault="009A2055" w:rsidP="0014716E">
      <w:pPr>
        <w:spacing w:after="120" w:line="360" w:lineRule="auto"/>
        <w:jc w:val="both"/>
        <w:rPr>
          <w:rFonts w:ascii="Times New Roman" w:hAnsi="Times New Roman" w:cs="Times New Roman"/>
          <w:sz w:val="24"/>
          <w:szCs w:val="24"/>
          <w:lang w:val="pt-BR"/>
        </w:rPr>
      </w:pPr>
      <w:r w:rsidRPr="0014716E">
        <w:rPr>
          <w:rFonts w:ascii="Times New Roman" w:hAnsi="Times New Roman" w:cs="Times New Roman"/>
          <w:noProof/>
          <w:sz w:val="24"/>
          <w:szCs w:val="24"/>
          <w:lang w:val="pt-BR" w:eastAsia="pt-BR"/>
        </w:rPr>
        <w:drawing>
          <wp:inline distT="0" distB="0" distL="0" distR="0" wp14:anchorId="52A2C728" wp14:editId="41D60D85">
            <wp:extent cx="5728855" cy="2240280"/>
            <wp:effectExtent l="0" t="0" r="571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934" cy="2242657"/>
                    </a:xfrm>
                    <a:prstGeom prst="rect">
                      <a:avLst/>
                    </a:prstGeom>
                    <a:noFill/>
                    <a:ln>
                      <a:noFill/>
                    </a:ln>
                  </pic:spPr>
                </pic:pic>
              </a:graphicData>
            </a:graphic>
          </wp:inline>
        </w:drawing>
      </w:r>
    </w:p>
    <w:p w14:paraId="4A00328D" w14:textId="47DC879F" w:rsidR="009A2055" w:rsidRPr="0014716E" w:rsidRDefault="003F6556" w:rsidP="008B0E7D">
      <w:pPr>
        <w:spacing w:after="0" w:line="360" w:lineRule="auto"/>
        <w:ind w:firstLine="360"/>
        <w:jc w:val="both"/>
        <w:rPr>
          <w:rFonts w:ascii="Times New Roman" w:hAnsi="Times New Roman" w:cs="Times New Roman"/>
          <w:sz w:val="24"/>
          <w:szCs w:val="24"/>
          <w:lang w:val="pt-BR"/>
        </w:rPr>
      </w:pPr>
      <w:r w:rsidRPr="0014716E">
        <w:rPr>
          <w:rFonts w:ascii="Times New Roman" w:hAnsi="Times New Roman" w:cs="Times New Roman"/>
          <w:sz w:val="24"/>
          <w:szCs w:val="24"/>
          <w:lang w:val="pt-BR"/>
        </w:rPr>
        <w:t>Embora o cronograma</w:t>
      </w:r>
      <w:r w:rsidR="00093B2C">
        <w:rPr>
          <w:rFonts w:ascii="Times New Roman" w:hAnsi="Times New Roman" w:cs="Times New Roman"/>
          <w:sz w:val="24"/>
          <w:szCs w:val="24"/>
          <w:lang w:val="pt-BR"/>
        </w:rPr>
        <w:t xml:space="preserve"> não tenha sido seguido de forma linear</w:t>
      </w:r>
      <w:r w:rsidRPr="0014716E">
        <w:rPr>
          <w:rFonts w:ascii="Times New Roman" w:hAnsi="Times New Roman" w:cs="Times New Roman"/>
          <w:sz w:val="24"/>
          <w:szCs w:val="24"/>
          <w:lang w:val="pt-BR"/>
        </w:rPr>
        <w:t xml:space="preserve">, todas as atividades </w:t>
      </w:r>
      <w:r w:rsidR="009A2055" w:rsidRPr="0014716E">
        <w:rPr>
          <w:rFonts w:ascii="Times New Roman" w:hAnsi="Times New Roman" w:cs="Times New Roman"/>
          <w:sz w:val="24"/>
          <w:szCs w:val="24"/>
          <w:lang w:val="pt-BR"/>
        </w:rPr>
        <w:t xml:space="preserve">propostas </w:t>
      </w:r>
      <w:r w:rsidRPr="0014716E">
        <w:rPr>
          <w:rFonts w:ascii="Times New Roman" w:hAnsi="Times New Roman" w:cs="Times New Roman"/>
          <w:sz w:val="24"/>
          <w:szCs w:val="24"/>
          <w:lang w:val="pt-BR"/>
        </w:rPr>
        <w:t xml:space="preserve">foram realizadas. </w:t>
      </w:r>
      <w:r w:rsidR="002A6E5B" w:rsidRPr="0014716E">
        <w:rPr>
          <w:rFonts w:ascii="Times New Roman" w:hAnsi="Times New Roman" w:cs="Times New Roman"/>
          <w:sz w:val="24"/>
          <w:szCs w:val="24"/>
          <w:lang w:val="pt-BR"/>
        </w:rPr>
        <w:t xml:space="preserve">Iremos </w:t>
      </w:r>
      <w:r w:rsidRPr="0014716E">
        <w:rPr>
          <w:rFonts w:ascii="Times New Roman" w:hAnsi="Times New Roman" w:cs="Times New Roman"/>
          <w:sz w:val="24"/>
          <w:szCs w:val="24"/>
          <w:lang w:val="pt-BR"/>
        </w:rPr>
        <w:t>descrevê-las</w:t>
      </w:r>
      <w:r w:rsidR="002A6E5B" w:rsidRPr="0014716E">
        <w:rPr>
          <w:rFonts w:ascii="Times New Roman" w:hAnsi="Times New Roman" w:cs="Times New Roman"/>
          <w:sz w:val="24"/>
          <w:szCs w:val="24"/>
          <w:lang w:val="pt-BR"/>
        </w:rPr>
        <w:t xml:space="preserve"> a seguir</w:t>
      </w:r>
      <w:r w:rsidRPr="0014716E">
        <w:rPr>
          <w:rFonts w:ascii="Times New Roman" w:hAnsi="Times New Roman" w:cs="Times New Roman"/>
          <w:sz w:val="24"/>
          <w:szCs w:val="24"/>
          <w:lang w:val="pt-BR"/>
        </w:rPr>
        <w:t>:</w:t>
      </w:r>
    </w:p>
    <w:p w14:paraId="5E5BCCE3" w14:textId="77777777" w:rsidR="00E66273" w:rsidRDefault="00E66273" w:rsidP="008B0E7D">
      <w:pPr>
        <w:spacing w:after="0" w:line="360" w:lineRule="auto"/>
        <w:jc w:val="both"/>
        <w:rPr>
          <w:rFonts w:ascii="Times New Roman" w:hAnsi="Times New Roman" w:cs="Times New Roman"/>
          <w:b/>
          <w:i/>
          <w:sz w:val="24"/>
          <w:szCs w:val="24"/>
          <w:lang w:val="pt-BR"/>
        </w:rPr>
      </w:pPr>
      <w:bookmarkStart w:id="0" w:name="_Hlk528059596"/>
    </w:p>
    <w:p w14:paraId="04A034CD" w14:textId="60EF7B58" w:rsidR="009A2055" w:rsidRPr="00C2207B" w:rsidRDefault="009A2055" w:rsidP="008B0E7D">
      <w:pPr>
        <w:spacing w:after="0" w:line="360" w:lineRule="auto"/>
        <w:jc w:val="both"/>
        <w:rPr>
          <w:rFonts w:ascii="Times New Roman" w:hAnsi="Times New Roman" w:cs="Times New Roman"/>
          <w:b/>
          <w:i/>
          <w:sz w:val="24"/>
          <w:szCs w:val="24"/>
          <w:lang w:val="pt-BR"/>
        </w:rPr>
      </w:pPr>
      <w:r w:rsidRPr="00C2207B">
        <w:rPr>
          <w:rFonts w:ascii="Times New Roman" w:hAnsi="Times New Roman" w:cs="Times New Roman"/>
          <w:b/>
          <w:i/>
          <w:sz w:val="24"/>
          <w:szCs w:val="24"/>
          <w:lang w:val="pt-BR"/>
        </w:rPr>
        <w:t>Levanta</w:t>
      </w:r>
      <w:r w:rsidR="003F6556" w:rsidRPr="00C2207B">
        <w:rPr>
          <w:rFonts w:ascii="Times New Roman" w:hAnsi="Times New Roman" w:cs="Times New Roman"/>
          <w:b/>
          <w:i/>
          <w:sz w:val="24"/>
          <w:szCs w:val="24"/>
          <w:lang w:val="pt-BR"/>
        </w:rPr>
        <w:t>mento</w:t>
      </w:r>
      <w:r w:rsidR="00C2207B" w:rsidRPr="00C2207B">
        <w:rPr>
          <w:rFonts w:ascii="Times New Roman" w:hAnsi="Times New Roman" w:cs="Times New Roman"/>
          <w:b/>
          <w:i/>
          <w:sz w:val="24"/>
          <w:szCs w:val="24"/>
          <w:lang w:val="pt-BR"/>
        </w:rPr>
        <w:t xml:space="preserve"> (identificação)</w:t>
      </w:r>
      <w:r w:rsidR="003F6556" w:rsidRPr="00C2207B">
        <w:rPr>
          <w:rFonts w:ascii="Times New Roman" w:hAnsi="Times New Roman" w:cs="Times New Roman"/>
          <w:b/>
          <w:i/>
          <w:sz w:val="24"/>
          <w:szCs w:val="24"/>
          <w:lang w:val="pt-BR"/>
        </w:rPr>
        <w:t xml:space="preserve"> d</w:t>
      </w:r>
      <w:r w:rsidRPr="00C2207B">
        <w:rPr>
          <w:rFonts w:ascii="Times New Roman" w:hAnsi="Times New Roman" w:cs="Times New Roman"/>
          <w:b/>
          <w:i/>
          <w:sz w:val="24"/>
          <w:szCs w:val="24"/>
          <w:lang w:val="pt-BR"/>
        </w:rPr>
        <w:t xml:space="preserve">os dados relativos à cobrança pelo uso de propriedade intelectual. </w:t>
      </w:r>
    </w:p>
    <w:bookmarkEnd w:id="0"/>
    <w:p w14:paraId="11164D54" w14:textId="5612F64A" w:rsidR="00396669" w:rsidRPr="0014716E" w:rsidRDefault="00C2207B" w:rsidP="008B0E7D">
      <w:pPr>
        <w:spacing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No projeto e</w:t>
      </w:r>
      <w:r w:rsidR="002A6E5B" w:rsidRPr="0014716E">
        <w:rPr>
          <w:rFonts w:ascii="Times New Roman" w:hAnsi="Times New Roman" w:cs="Times New Roman"/>
          <w:sz w:val="24"/>
          <w:szCs w:val="24"/>
          <w:lang w:val="pt-BR"/>
        </w:rPr>
        <w:t xml:space="preserve">sta tarefa </w:t>
      </w:r>
      <w:r w:rsidR="00F27B9C" w:rsidRPr="0014716E">
        <w:rPr>
          <w:rFonts w:ascii="Times New Roman" w:hAnsi="Times New Roman" w:cs="Times New Roman"/>
          <w:sz w:val="24"/>
          <w:szCs w:val="24"/>
          <w:lang w:val="pt-BR"/>
        </w:rPr>
        <w:t xml:space="preserve">estava limitada </w:t>
      </w:r>
      <w:r w:rsidR="002A6E5B" w:rsidRPr="0014716E">
        <w:rPr>
          <w:rFonts w:ascii="Times New Roman" w:hAnsi="Times New Roman" w:cs="Times New Roman"/>
          <w:sz w:val="24"/>
          <w:szCs w:val="24"/>
          <w:lang w:val="pt-BR"/>
        </w:rPr>
        <w:t xml:space="preserve">à </w:t>
      </w:r>
      <w:r>
        <w:rPr>
          <w:rFonts w:ascii="Times New Roman" w:hAnsi="Times New Roman" w:cs="Times New Roman"/>
          <w:sz w:val="24"/>
          <w:szCs w:val="24"/>
          <w:lang w:val="pt-BR"/>
        </w:rPr>
        <w:t>identificação</w:t>
      </w:r>
      <w:r w:rsidR="002A6E5B" w:rsidRPr="0014716E">
        <w:rPr>
          <w:rFonts w:ascii="Times New Roman" w:hAnsi="Times New Roman" w:cs="Times New Roman"/>
          <w:sz w:val="24"/>
          <w:szCs w:val="24"/>
          <w:lang w:val="pt-BR"/>
        </w:rPr>
        <w:t xml:space="preserve"> dos dados registrados </w:t>
      </w:r>
      <w:r w:rsidR="0049138B" w:rsidRPr="0014716E">
        <w:rPr>
          <w:rFonts w:ascii="Times New Roman" w:hAnsi="Times New Roman" w:cs="Times New Roman"/>
          <w:sz w:val="24"/>
          <w:szCs w:val="24"/>
          <w:lang w:val="pt-BR"/>
        </w:rPr>
        <w:t xml:space="preserve">pelos países </w:t>
      </w:r>
      <w:r w:rsidR="002A6E5B" w:rsidRPr="0014716E">
        <w:rPr>
          <w:rFonts w:ascii="Times New Roman" w:hAnsi="Times New Roman" w:cs="Times New Roman"/>
          <w:sz w:val="24"/>
          <w:szCs w:val="24"/>
          <w:lang w:val="pt-BR"/>
        </w:rPr>
        <w:t xml:space="preserve">no </w:t>
      </w:r>
      <w:r>
        <w:rPr>
          <w:rFonts w:ascii="Times New Roman" w:hAnsi="Times New Roman" w:cs="Times New Roman"/>
          <w:sz w:val="24"/>
          <w:szCs w:val="24"/>
          <w:lang w:val="pt-BR"/>
        </w:rPr>
        <w:t xml:space="preserve">balanço de pagamentos cujos valores dependem dos DPI. Num primeiro momento </w:t>
      </w:r>
      <w:r>
        <w:rPr>
          <w:rFonts w:ascii="Times New Roman" w:hAnsi="Times New Roman" w:cs="Times New Roman"/>
          <w:sz w:val="24"/>
          <w:szCs w:val="24"/>
          <w:lang w:val="pt-BR"/>
        </w:rPr>
        <w:lastRenderedPageBreak/>
        <w:t xml:space="preserve">identificamos o </w:t>
      </w:r>
      <w:r w:rsidR="002A6E5B" w:rsidRPr="0014716E">
        <w:rPr>
          <w:rFonts w:ascii="Times New Roman" w:hAnsi="Times New Roman" w:cs="Times New Roman"/>
          <w:sz w:val="24"/>
          <w:szCs w:val="24"/>
          <w:lang w:val="pt-BR"/>
        </w:rPr>
        <w:t>componente “</w:t>
      </w:r>
      <w:r w:rsidR="00F6022F" w:rsidRPr="0014716E">
        <w:rPr>
          <w:rFonts w:ascii="Times New Roman" w:hAnsi="Times New Roman" w:cs="Times New Roman"/>
          <w:sz w:val="24"/>
          <w:szCs w:val="24"/>
          <w:lang w:val="pt-BR"/>
        </w:rPr>
        <w:t>s</w:t>
      </w:r>
      <w:r w:rsidR="00274055" w:rsidRPr="0014716E">
        <w:rPr>
          <w:rFonts w:ascii="Times New Roman" w:hAnsi="Times New Roman" w:cs="Times New Roman"/>
          <w:sz w:val="24"/>
          <w:szCs w:val="24"/>
          <w:lang w:val="pt-BR"/>
        </w:rPr>
        <w:t>erviços de propriedade intelectual</w:t>
      </w:r>
      <w:r w:rsidR="002A6E5B" w:rsidRPr="0014716E">
        <w:rPr>
          <w:rFonts w:ascii="Times New Roman" w:hAnsi="Times New Roman" w:cs="Times New Roman"/>
          <w:sz w:val="24"/>
          <w:szCs w:val="24"/>
          <w:lang w:val="pt-BR"/>
        </w:rPr>
        <w:t>”</w:t>
      </w:r>
      <w:r w:rsidR="0049138B" w:rsidRPr="0014716E">
        <w:rPr>
          <w:rFonts w:ascii="Times New Roman" w:hAnsi="Times New Roman" w:cs="Times New Roman"/>
          <w:sz w:val="24"/>
          <w:szCs w:val="24"/>
          <w:lang w:val="pt-BR"/>
        </w:rPr>
        <w:t xml:space="preserve"> da balança de serviços</w:t>
      </w:r>
      <w:r w:rsidR="00396669" w:rsidRPr="0014716E">
        <w:rPr>
          <w:rFonts w:ascii="Times New Roman" w:hAnsi="Times New Roman" w:cs="Times New Roman"/>
          <w:sz w:val="24"/>
          <w:szCs w:val="24"/>
          <w:lang w:val="pt-BR"/>
        </w:rPr>
        <w:t xml:space="preserve">, que é parte da balança de transações correntes dentro do balanço pagamentos. Não </w:t>
      </w:r>
      <w:r w:rsidR="000C316B" w:rsidRPr="0014716E">
        <w:rPr>
          <w:rFonts w:ascii="Times New Roman" w:hAnsi="Times New Roman" w:cs="Times New Roman"/>
          <w:sz w:val="24"/>
          <w:szCs w:val="24"/>
          <w:lang w:val="pt-BR"/>
        </w:rPr>
        <w:t xml:space="preserve">houve grande </w:t>
      </w:r>
      <w:r w:rsidR="00396669" w:rsidRPr="0014716E">
        <w:rPr>
          <w:rFonts w:ascii="Times New Roman" w:hAnsi="Times New Roman" w:cs="Times New Roman"/>
          <w:sz w:val="24"/>
          <w:szCs w:val="24"/>
          <w:lang w:val="pt-BR"/>
        </w:rPr>
        <w:t xml:space="preserve">dificuldade em obter estes </w:t>
      </w:r>
      <w:r w:rsidR="000C316B" w:rsidRPr="0014716E">
        <w:rPr>
          <w:rFonts w:ascii="Times New Roman" w:hAnsi="Times New Roman" w:cs="Times New Roman"/>
          <w:sz w:val="24"/>
          <w:szCs w:val="24"/>
          <w:lang w:val="pt-BR"/>
        </w:rPr>
        <w:t>dados</w:t>
      </w:r>
      <w:r w:rsidR="00661B3D">
        <w:rPr>
          <w:rFonts w:ascii="Times New Roman" w:hAnsi="Times New Roman" w:cs="Times New Roman"/>
          <w:sz w:val="24"/>
          <w:szCs w:val="24"/>
          <w:lang w:val="pt-BR"/>
        </w:rPr>
        <w:t xml:space="preserve"> para todos os países que os fornecem</w:t>
      </w:r>
      <w:proofErr w:type="gramStart"/>
      <w:r w:rsidR="000C316B" w:rsidRPr="0014716E">
        <w:rPr>
          <w:rFonts w:ascii="Times New Roman" w:hAnsi="Times New Roman" w:cs="Times New Roman"/>
          <w:sz w:val="24"/>
          <w:szCs w:val="24"/>
          <w:lang w:val="pt-BR"/>
        </w:rPr>
        <w:t xml:space="preserve"> </w:t>
      </w:r>
      <w:r w:rsidR="00396669" w:rsidRPr="0014716E">
        <w:rPr>
          <w:rFonts w:ascii="Times New Roman" w:hAnsi="Times New Roman" w:cs="Times New Roman"/>
          <w:sz w:val="24"/>
          <w:szCs w:val="24"/>
          <w:lang w:val="pt-BR"/>
        </w:rPr>
        <w:t>pois</w:t>
      </w:r>
      <w:proofErr w:type="gramEnd"/>
      <w:r w:rsidR="00396669" w:rsidRPr="0014716E">
        <w:rPr>
          <w:rFonts w:ascii="Times New Roman" w:hAnsi="Times New Roman" w:cs="Times New Roman"/>
          <w:sz w:val="24"/>
          <w:szCs w:val="24"/>
          <w:lang w:val="pt-BR"/>
        </w:rPr>
        <w:t xml:space="preserve"> eles são </w:t>
      </w:r>
      <w:r w:rsidR="000C316B" w:rsidRPr="0014716E">
        <w:rPr>
          <w:rFonts w:ascii="Times New Roman" w:hAnsi="Times New Roman" w:cs="Times New Roman"/>
          <w:sz w:val="24"/>
          <w:szCs w:val="24"/>
          <w:lang w:val="pt-BR"/>
        </w:rPr>
        <w:t xml:space="preserve">publicados </w:t>
      </w:r>
      <w:r w:rsidR="00396669" w:rsidRPr="0014716E">
        <w:rPr>
          <w:rFonts w:ascii="Times New Roman" w:hAnsi="Times New Roman" w:cs="Times New Roman"/>
          <w:sz w:val="24"/>
          <w:szCs w:val="24"/>
          <w:lang w:val="pt-BR"/>
        </w:rPr>
        <w:t>na biblioteca digital do Fundo Monetário Internacional</w:t>
      </w:r>
      <w:r w:rsidR="0014716E">
        <w:rPr>
          <w:rFonts w:ascii="Times New Roman" w:hAnsi="Times New Roman" w:cs="Times New Roman"/>
          <w:sz w:val="24"/>
          <w:szCs w:val="24"/>
          <w:lang w:val="pt-BR"/>
        </w:rPr>
        <w:t xml:space="preserve"> (</w:t>
      </w:r>
      <w:r w:rsidR="0014716E" w:rsidRPr="0014716E">
        <w:rPr>
          <w:rFonts w:ascii="Times New Roman" w:hAnsi="Times New Roman" w:cs="Times New Roman"/>
          <w:sz w:val="24"/>
          <w:szCs w:val="24"/>
          <w:lang w:val="pt-BR"/>
        </w:rPr>
        <w:t>http://data.imf.org</w:t>
      </w:r>
      <w:r w:rsidR="0014716E">
        <w:rPr>
          <w:rFonts w:ascii="Times New Roman" w:hAnsi="Times New Roman" w:cs="Times New Roman"/>
          <w:sz w:val="24"/>
          <w:szCs w:val="24"/>
          <w:lang w:val="pt-BR"/>
        </w:rPr>
        <w:t>)</w:t>
      </w:r>
      <w:r w:rsidR="00396669" w:rsidRPr="0014716E">
        <w:rPr>
          <w:rFonts w:ascii="Times New Roman" w:hAnsi="Times New Roman" w:cs="Times New Roman"/>
          <w:sz w:val="24"/>
          <w:szCs w:val="24"/>
          <w:lang w:val="pt-BR"/>
        </w:rPr>
        <w:t xml:space="preserve">. </w:t>
      </w:r>
    </w:p>
    <w:p w14:paraId="69A6EA0C" w14:textId="1A77F26F" w:rsidR="00274055" w:rsidRPr="0014716E" w:rsidRDefault="00396669" w:rsidP="008B0E7D">
      <w:pPr>
        <w:spacing w:after="0" w:line="360" w:lineRule="auto"/>
        <w:ind w:firstLine="720"/>
        <w:jc w:val="both"/>
        <w:rPr>
          <w:rFonts w:ascii="Times New Roman" w:hAnsi="Times New Roman" w:cs="Times New Roman"/>
          <w:sz w:val="24"/>
          <w:szCs w:val="24"/>
          <w:lang w:val="pt-BR"/>
        </w:rPr>
      </w:pPr>
      <w:r w:rsidRPr="0014716E">
        <w:rPr>
          <w:rFonts w:ascii="Times New Roman" w:hAnsi="Times New Roman" w:cs="Times New Roman"/>
          <w:sz w:val="24"/>
          <w:szCs w:val="24"/>
          <w:lang w:val="pt-BR"/>
        </w:rPr>
        <w:t xml:space="preserve">A pesquisa, no entanto, não se limitou </w:t>
      </w:r>
      <w:proofErr w:type="gramStart"/>
      <w:r w:rsidRPr="0014716E">
        <w:rPr>
          <w:rFonts w:ascii="Times New Roman" w:hAnsi="Times New Roman" w:cs="Times New Roman"/>
          <w:sz w:val="24"/>
          <w:szCs w:val="24"/>
          <w:lang w:val="pt-BR"/>
        </w:rPr>
        <w:t>à</w:t>
      </w:r>
      <w:proofErr w:type="gramEnd"/>
      <w:r w:rsidRPr="0014716E">
        <w:rPr>
          <w:rFonts w:ascii="Times New Roman" w:hAnsi="Times New Roman" w:cs="Times New Roman"/>
          <w:sz w:val="24"/>
          <w:szCs w:val="24"/>
          <w:lang w:val="pt-BR"/>
        </w:rPr>
        <w:t xml:space="preserve"> este conjunto específico de dados e </w:t>
      </w:r>
      <w:r w:rsidR="00765698" w:rsidRPr="0014716E">
        <w:rPr>
          <w:rFonts w:ascii="Times New Roman" w:hAnsi="Times New Roman" w:cs="Times New Roman"/>
          <w:sz w:val="24"/>
          <w:szCs w:val="24"/>
          <w:lang w:val="pt-BR"/>
        </w:rPr>
        <w:t xml:space="preserve">procurou ampliar o </w:t>
      </w:r>
      <w:r w:rsidR="00274055" w:rsidRPr="0014716E">
        <w:rPr>
          <w:rFonts w:ascii="Times New Roman" w:hAnsi="Times New Roman" w:cs="Times New Roman"/>
          <w:sz w:val="24"/>
          <w:szCs w:val="24"/>
          <w:lang w:val="pt-BR"/>
        </w:rPr>
        <w:t xml:space="preserve">escopo, tentando aprofundar a </w:t>
      </w:r>
      <w:r w:rsidR="00765698" w:rsidRPr="0014716E">
        <w:rPr>
          <w:rFonts w:ascii="Times New Roman" w:hAnsi="Times New Roman" w:cs="Times New Roman"/>
          <w:sz w:val="24"/>
          <w:szCs w:val="24"/>
          <w:lang w:val="pt-BR"/>
        </w:rPr>
        <w:t>compreen</w:t>
      </w:r>
      <w:r w:rsidR="00274055" w:rsidRPr="0014716E">
        <w:rPr>
          <w:rFonts w:ascii="Times New Roman" w:hAnsi="Times New Roman" w:cs="Times New Roman"/>
          <w:sz w:val="24"/>
          <w:szCs w:val="24"/>
          <w:lang w:val="pt-BR"/>
        </w:rPr>
        <w:t xml:space="preserve">são do que se entende por trocas </w:t>
      </w:r>
      <w:proofErr w:type="spellStart"/>
      <w:r w:rsidR="00274055" w:rsidRPr="0014716E">
        <w:rPr>
          <w:rFonts w:ascii="Times New Roman" w:hAnsi="Times New Roman" w:cs="Times New Roman"/>
          <w:sz w:val="24"/>
          <w:szCs w:val="24"/>
          <w:lang w:val="pt-BR"/>
        </w:rPr>
        <w:t>tranfronteiriças</w:t>
      </w:r>
      <w:proofErr w:type="spellEnd"/>
      <w:r w:rsidR="00274055" w:rsidRPr="0014716E">
        <w:rPr>
          <w:rFonts w:ascii="Times New Roman" w:hAnsi="Times New Roman" w:cs="Times New Roman"/>
          <w:sz w:val="24"/>
          <w:szCs w:val="24"/>
          <w:lang w:val="pt-BR"/>
        </w:rPr>
        <w:t xml:space="preserve"> de bens e serviços </w:t>
      </w:r>
      <w:r w:rsidR="00093B2C">
        <w:rPr>
          <w:rFonts w:ascii="Times New Roman" w:hAnsi="Times New Roman" w:cs="Times New Roman"/>
          <w:sz w:val="24"/>
          <w:szCs w:val="24"/>
          <w:lang w:val="pt-BR"/>
        </w:rPr>
        <w:t>que dependem dos DPI</w:t>
      </w:r>
      <w:r w:rsidR="004B2973">
        <w:rPr>
          <w:rFonts w:ascii="Times New Roman" w:hAnsi="Times New Roman" w:cs="Times New Roman"/>
          <w:sz w:val="24"/>
          <w:szCs w:val="24"/>
          <w:lang w:val="pt-BR"/>
        </w:rPr>
        <w:t>.</w:t>
      </w:r>
      <w:r w:rsidR="00765698" w:rsidRPr="0014716E">
        <w:rPr>
          <w:rFonts w:ascii="Times New Roman" w:hAnsi="Times New Roman" w:cs="Times New Roman"/>
          <w:sz w:val="24"/>
          <w:szCs w:val="24"/>
          <w:lang w:val="pt-BR"/>
        </w:rPr>
        <w:t xml:space="preserve"> </w:t>
      </w:r>
    </w:p>
    <w:p w14:paraId="67D008B1" w14:textId="1B5C7057" w:rsidR="00F6022F" w:rsidRPr="0014716E" w:rsidRDefault="00765698" w:rsidP="008B0E7D">
      <w:pPr>
        <w:spacing w:after="0" w:line="360" w:lineRule="auto"/>
        <w:ind w:firstLine="567"/>
        <w:jc w:val="both"/>
        <w:rPr>
          <w:rFonts w:ascii="Times New Roman" w:hAnsi="Times New Roman" w:cs="Times New Roman"/>
          <w:sz w:val="24"/>
          <w:szCs w:val="24"/>
          <w:lang w:val="pt-BR"/>
        </w:rPr>
      </w:pPr>
      <w:r w:rsidRPr="0014716E">
        <w:rPr>
          <w:rFonts w:ascii="Times New Roman" w:hAnsi="Times New Roman" w:cs="Times New Roman"/>
          <w:sz w:val="24"/>
          <w:szCs w:val="24"/>
          <w:lang w:val="pt-BR"/>
        </w:rPr>
        <w:t xml:space="preserve">Sendo assim a nossa primeira </w:t>
      </w:r>
      <w:r w:rsidR="00F6022F" w:rsidRPr="0014716E">
        <w:rPr>
          <w:rFonts w:ascii="Times New Roman" w:hAnsi="Times New Roman" w:cs="Times New Roman"/>
          <w:sz w:val="24"/>
          <w:szCs w:val="24"/>
          <w:lang w:val="pt-BR"/>
        </w:rPr>
        <w:t xml:space="preserve">grande </w:t>
      </w:r>
      <w:r w:rsidRPr="0014716E">
        <w:rPr>
          <w:rFonts w:ascii="Times New Roman" w:hAnsi="Times New Roman" w:cs="Times New Roman"/>
          <w:sz w:val="24"/>
          <w:szCs w:val="24"/>
          <w:lang w:val="pt-BR"/>
        </w:rPr>
        <w:t xml:space="preserve">tarefa foi </w:t>
      </w:r>
      <w:proofErr w:type="gramStart"/>
      <w:r w:rsidRPr="0014716E">
        <w:rPr>
          <w:rFonts w:ascii="Times New Roman" w:hAnsi="Times New Roman" w:cs="Times New Roman"/>
          <w:sz w:val="24"/>
          <w:szCs w:val="24"/>
          <w:lang w:val="pt-BR"/>
        </w:rPr>
        <w:t>a</w:t>
      </w:r>
      <w:proofErr w:type="gramEnd"/>
      <w:r w:rsidRPr="0014716E">
        <w:rPr>
          <w:rFonts w:ascii="Times New Roman" w:hAnsi="Times New Roman" w:cs="Times New Roman"/>
          <w:sz w:val="24"/>
          <w:szCs w:val="24"/>
          <w:lang w:val="pt-BR"/>
        </w:rPr>
        <w:t xml:space="preserve"> realização de uma </w:t>
      </w:r>
      <w:r w:rsidR="00F6022F" w:rsidRPr="0014716E">
        <w:rPr>
          <w:rFonts w:ascii="Times New Roman" w:hAnsi="Times New Roman" w:cs="Times New Roman"/>
          <w:sz w:val="24"/>
          <w:szCs w:val="24"/>
          <w:lang w:val="pt-BR"/>
        </w:rPr>
        <w:t xml:space="preserve">grande pesquisa exploratória com o objetivo de obter fontes, bases de dados e outros documentos que pudessem identificar </w:t>
      </w:r>
      <w:bookmarkStart w:id="1" w:name="_Hlk528059792"/>
      <w:r w:rsidR="00F6022F" w:rsidRPr="0014716E">
        <w:rPr>
          <w:rFonts w:ascii="Times New Roman" w:hAnsi="Times New Roman" w:cs="Times New Roman"/>
          <w:sz w:val="24"/>
          <w:szCs w:val="24"/>
          <w:lang w:val="pt-BR"/>
        </w:rPr>
        <w:t xml:space="preserve">componentes </w:t>
      </w:r>
      <w:r w:rsidR="00AB16D6">
        <w:rPr>
          <w:rFonts w:ascii="Times New Roman" w:hAnsi="Times New Roman" w:cs="Times New Roman"/>
          <w:sz w:val="24"/>
          <w:szCs w:val="24"/>
          <w:lang w:val="pt-BR"/>
        </w:rPr>
        <w:t>n</w:t>
      </w:r>
      <w:r w:rsidR="00F6022F" w:rsidRPr="0014716E">
        <w:rPr>
          <w:rFonts w:ascii="Times New Roman" w:hAnsi="Times New Roman" w:cs="Times New Roman"/>
          <w:sz w:val="24"/>
          <w:szCs w:val="24"/>
          <w:lang w:val="pt-BR"/>
        </w:rPr>
        <w:t>as transações correntes dos países que incluíssem em seus registros transações de valores relacionados, derivados de ou que depende</w:t>
      </w:r>
      <w:r w:rsidR="0014716E">
        <w:rPr>
          <w:rFonts w:ascii="Times New Roman" w:hAnsi="Times New Roman" w:cs="Times New Roman"/>
          <w:sz w:val="24"/>
          <w:szCs w:val="24"/>
          <w:lang w:val="pt-BR"/>
        </w:rPr>
        <w:t>sse</w:t>
      </w:r>
      <w:r w:rsidR="00F6022F" w:rsidRPr="0014716E">
        <w:rPr>
          <w:rFonts w:ascii="Times New Roman" w:hAnsi="Times New Roman" w:cs="Times New Roman"/>
          <w:sz w:val="24"/>
          <w:szCs w:val="24"/>
          <w:lang w:val="pt-BR"/>
        </w:rPr>
        <w:t xml:space="preserve">m de direitos de </w:t>
      </w:r>
      <w:r w:rsidR="00722D73" w:rsidRPr="0014716E">
        <w:rPr>
          <w:rFonts w:ascii="Times New Roman" w:hAnsi="Times New Roman" w:cs="Times New Roman"/>
          <w:sz w:val="24"/>
          <w:szCs w:val="24"/>
          <w:lang w:val="pt-BR"/>
        </w:rPr>
        <w:t>propriedade</w:t>
      </w:r>
      <w:r w:rsidR="00F6022F" w:rsidRPr="0014716E">
        <w:rPr>
          <w:rFonts w:ascii="Times New Roman" w:hAnsi="Times New Roman" w:cs="Times New Roman"/>
          <w:sz w:val="24"/>
          <w:szCs w:val="24"/>
          <w:lang w:val="pt-BR"/>
        </w:rPr>
        <w:t xml:space="preserve"> intelectual</w:t>
      </w:r>
      <w:r w:rsidR="0014716E">
        <w:rPr>
          <w:rFonts w:ascii="Times New Roman" w:hAnsi="Times New Roman" w:cs="Times New Roman"/>
          <w:sz w:val="24"/>
          <w:szCs w:val="24"/>
          <w:lang w:val="pt-BR"/>
        </w:rPr>
        <w:t xml:space="preserve"> </w:t>
      </w:r>
      <w:r w:rsidR="0014716E" w:rsidRPr="0014716E">
        <w:rPr>
          <w:rFonts w:ascii="Times New Roman" w:hAnsi="Times New Roman" w:cs="Times New Roman"/>
          <w:sz w:val="24"/>
          <w:szCs w:val="24"/>
          <w:lang w:val="pt-BR"/>
        </w:rPr>
        <w:t>(em sua totalidade ou mesmo parcialmente)</w:t>
      </w:r>
      <w:r w:rsidR="00F6022F" w:rsidRPr="0014716E">
        <w:rPr>
          <w:rFonts w:ascii="Times New Roman" w:hAnsi="Times New Roman" w:cs="Times New Roman"/>
          <w:sz w:val="24"/>
          <w:szCs w:val="24"/>
          <w:lang w:val="pt-BR"/>
        </w:rPr>
        <w:t>.</w:t>
      </w:r>
    </w:p>
    <w:bookmarkEnd w:id="1"/>
    <w:p w14:paraId="45D5066B" w14:textId="11ACD9EE" w:rsidR="00093B2C" w:rsidRDefault="00F6022F" w:rsidP="008B0E7D">
      <w:pPr>
        <w:spacing w:after="0" w:line="360" w:lineRule="auto"/>
        <w:ind w:firstLine="567"/>
        <w:jc w:val="both"/>
        <w:rPr>
          <w:rFonts w:ascii="Times New Roman" w:hAnsi="Times New Roman" w:cs="Times New Roman"/>
          <w:sz w:val="24"/>
          <w:szCs w:val="24"/>
          <w:lang w:val="pt-BR"/>
        </w:rPr>
      </w:pPr>
      <w:r w:rsidRPr="0014716E">
        <w:rPr>
          <w:rFonts w:ascii="Times New Roman" w:hAnsi="Times New Roman" w:cs="Times New Roman"/>
          <w:sz w:val="24"/>
          <w:szCs w:val="24"/>
          <w:lang w:val="pt-BR"/>
        </w:rPr>
        <w:t xml:space="preserve">Após uma </w:t>
      </w:r>
      <w:r w:rsidR="00765698" w:rsidRPr="0014716E">
        <w:rPr>
          <w:rFonts w:ascii="Times New Roman" w:hAnsi="Times New Roman" w:cs="Times New Roman"/>
          <w:sz w:val="24"/>
          <w:szCs w:val="24"/>
          <w:lang w:val="pt-BR"/>
        </w:rPr>
        <w:t>leitura minuciosa e</w:t>
      </w:r>
      <w:r w:rsidR="009A2055" w:rsidRPr="0014716E">
        <w:rPr>
          <w:rFonts w:ascii="Times New Roman" w:hAnsi="Times New Roman" w:cs="Times New Roman"/>
          <w:sz w:val="24"/>
          <w:szCs w:val="24"/>
          <w:lang w:val="pt-BR"/>
        </w:rPr>
        <w:t xml:space="preserve"> completa da sexta (e última) vers</w:t>
      </w:r>
      <w:r w:rsidR="00765698" w:rsidRPr="0014716E">
        <w:rPr>
          <w:rFonts w:ascii="Times New Roman" w:hAnsi="Times New Roman" w:cs="Times New Roman"/>
          <w:sz w:val="24"/>
          <w:szCs w:val="24"/>
          <w:lang w:val="pt-BR"/>
        </w:rPr>
        <w:t>ão</w:t>
      </w:r>
      <w:r w:rsidR="009A2055" w:rsidRPr="0014716E">
        <w:rPr>
          <w:rFonts w:ascii="Times New Roman" w:hAnsi="Times New Roman" w:cs="Times New Roman"/>
          <w:sz w:val="24"/>
          <w:szCs w:val="24"/>
          <w:lang w:val="pt-BR"/>
        </w:rPr>
        <w:t xml:space="preserve"> do </w:t>
      </w:r>
      <w:r w:rsidR="00F22C4E" w:rsidRPr="0014716E">
        <w:rPr>
          <w:rFonts w:ascii="Times New Roman" w:hAnsi="Times New Roman" w:cs="Times New Roman"/>
          <w:sz w:val="24"/>
          <w:szCs w:val="24"/>
          <w:lang w:val="pt-BR"/>
        </w:rPr>
        <w:t xml:space="preserve">Manual do Balanço de Pagamentos divulgado pelo FMI </w:t>
      </w:r>
      <w:r w:rsidR="00765698" w:rsidRPr="0014716E">
        <w:rPr>
          <w:rFonts w:ascii="Times New Roman" w:hAnsi="Times New Roman" w:cs="Times New Roman"/>
          <w:sz w:val="24"/>
          <w:szCs w:val="24"/>
          <w:lang w:val="pt-BR"/>
        </w:rPr>
        <w:t xml:space="preserve">(IMF, 2009) </w:t>
      </w:r>
      <w:proofErr w:type="gramStart"/>
      <w:r w:rsidR="00722D73" w:rsidRPr="0014716E">
        <w:rPr>
          <w:rFonts w:ascii="Times New Roman" w:hAnsi="Times New Roman" w:cs="Times New Roman"/>
          <w:sz w:val="24"/>
          <w:szCs w:val="24"/>
          <w:lang w:val="pt-BR"/>
        </w:rPr>
        <w:t>identificamos</w:t>
      </w:r>
      <w:r w:rsidR="00722D73">
        <w:rPr>
          <w:rFonts w:ascii="Times New Roman" w:hAnsi="Times New Roman" w:cs="Times New Roman"/>
          <w:sz w:val="24"/>
          <w:szCs w:val="24"/>
          <w:lang w:val="pt-BR"/>
        </w:rPr>
        <w:t>,</w:t>
      </w:r>
      <w:proofErr w:type="gramEnd"/>
      <w:r w:rsidRPr="0014716E">
        <w:rPr>
          <w:rFonts w:ascii="Times New Roman" w:hAnsi="Times New Roman" w:cs="Times New Roman"/>
          <w:sz w:val="24"/>
          <w:szCs w:val="24"/>
          <w:lang w:val="pt-BR"/>
        </w:rPr>
        <w:t xml:space="preserve"> a</w:t>
      </w:r>
      <w:r w:rsidR="00274055" w:rsidRPr="0014716E">
        <w:rPr>
          <w:rFonts w:ascii="Times New Roman" w:hAnsi="Times New Roman" w:cs="Times New Roman"/>
          <w:sz w:val="24"/>
          <w:szCs w:val="24"/>
          <w:lang w:val="pt-BR"/>
        </w:rPr>
        <w:t>lém da entrada “serviços de propriedade intelectual”</w:t>
      </w:r>
      <w:r w:rsidRPr="0014716E">
        <w:rPr>
          <w:rFonts w:ascii="Times New Roman" w:hAnsi="Times New Roman" w:cs="Times New Roman"/>
          <w:sz w:val="24"/>
          <w:szCs w:val="24"/>
          <w:lang w:val="pt-BR"/>
        </w:rPr>
        <w:t>,</w:t>
      </w:r>
      <w:r w:rsidR="00274055" w:rsidRPr="0014716E">
        <w:rPr>
          <w:rFonts w:ascii="Times New Roman" w:hAnsi="Times New Roman" w:cs="Times New Roman"/>
          <w:sz w:val="24"/>
          <w:szCs w:val="24"/>
          <w:lang w:val="pt-BR"/>
        </w:rPr>
        <w:t xml:space="preserve"> outras três entradas no balanço de serviços</w:t>
      </w:r>
      <w:r w:rsidR="00E81255" w:rsidRPr="0014716E">
        <w:rPr>
          <w:rFonts w:ascii="Times New Roman" w:hAnsi="Times New Roman" w:cs="Times New Roman"/>
          <w:sz w:val="24"/>
          <w:szCs w:val="24"/>
          <w:lang w:val="pt-BR"/>
        </w:rPr>
        <w:t xml:space="preserve"> que se relacionam à propriedade intelectual, </w:t>
      </w:r>
      <w:r w:rsidR="00274055" w:rsidRPr="0014716E">
        <w:rPr>
          <w:rFonts w:ascii="Times New Roman" w:hAnsi="Times New Roman" w:cs="Times New Roman"/>
          <w:sz w:val="24"/>
          <w:szCs w:val="24"/>
          <w:lang w:val="pt-BR"/>
        </w:rPr>
        <w:t xml:space="preserve">sendo elas as contas </w:t>
      </w:r>
      <w:r w:rsidR="00093B2C" w:rsidRPr="0014716E">
        <w:rPr>
          <w:rFonts w:ascii="Times New Roman" w:hAnsi="Times New Roman" w:cs="Times New Roman"/>
          <w:sz w:val="24"/>
          <w:szCs w:val="24"/>
          <w:lang w:val="pt-BR"/>
        </w:rPr>
        <w:t>intituladas</w:t>
      </w:r>
      <w:r w:rsidR="00274055" w:rsidRPr="0014716E">
        <w:rPr>
          <w:rFonts w:ascii="Times New Roman" w:hAnsi="Times New Roman" w:cs="Times New Roman"/>
          <w:sz w:val="24"/>
          <w:szCs w:val="24"/>
          <w:lang w:val="pt-BR"/>
        </w:rPr>
        <w:t xml:space="preserve"> (segundo o </w:t>
      </w:r>
      <w:r w:rsidR="00E81255" w:rsidRPr="0014716E">
        <w:rPr>
          <w:rFonts w:ascii="Times New Roman" w:hAnsi="Times New Roman" w:cs="Times New Roman"/>
          <w:sz w:val="24"/>
          <w:szCs w:val="24"/>
          <w:lang w:val="pt-BR"/>
        </w:rPr>
        <w:t>B</w:t>
      </w:r>
      <w:r w:rsidR="00274055" w:rsidRPr="0014716E">
        <w:rPr>
          <w:rFonts w:ascii="Times New Roman" w:hAnsi="Times New Roman" w:cs="Times New Roman"/>
          <w:sz w:val="24"/>
          <w:szCs w:val="24"/>
          <w:lang w:val="pt-BR"/>
        </w:rPr>
        <w:t>anco Central Brasileiro e não o FMI, ou seja, em português): “telecomunicação, computação e informações”, “outros serviços de negócio, inclusive arquitetura e engenharia” e “</w:t>
      </w:r>
      <w:r w:rsidR="00E81255" w:rsidRPr="0014716E">
        <w:rPr>
          <w:rFonts w:ascii="Times New Roman" w:hAnsi="Times New Roman" w:cs="Times New Roman"/>
          <w:sz w:val="24"/>
          <w:szCs w:val="24"/>
          <w:lang w:val="pt-BR"/>
        </w:rPr>
        <w:t>s</w:t>
      </w:r>
      <w:r w:rsidR="00274055" w:rsidRPr="0014716E">
        <w:rPr>
          <w:rFonts w:ascii="Times New Roman" w:hAnsi="Times New Roman" w:cs="Times New Roman"/>
          <w:sz w:val="24"/>
          <w:szCs w:val="24"/>
          <w:lang w:val="pt-BR"/>
        </w:rPr>
        <w:t xml:space="preserve">erviços culturais, pessoais e recreativos”. </w:t>
      </w:r>
      <w:r w:rsidR="00E81255" w:rsidRPr="0014716E">
        <w:rPr>
          <w:rFonts w:ascii="Times New Roman" w:hAnsi="Times New Roman" w:cs="Times New Roman"/>
          <w:sz w:val="24"/>
          <w:szCs w:val="24"/>
          <w:lang w:val="pt-BR"/>
        </w:rPr>
        <w:t xml:space="preserve">Porém, como estes outros </w:t>
      </w:r>
      <w:r w:rsidR="00093B2C" w:rsidRPr="0014716E">
        <w:rPr>
          <w:rFonts w:ascii="Times New Roman" w:hAnsi="Times New Roman" w:cs="Times New Roman"/>
          <w:sz w:val="24"/>
          <w:szCs w:val="24"/>
          <w:lang w:val="pt-BR"/>
        </w:rPr>
        <w:t>componentes</w:t>
      </w:r>
      <w:r w:rsidR="00E81255" w:rsidRPr="0014716E">
        <w:rPr>
          <w:rFonts w:ascii="Times New Roman" w:hAnsi="Times New Roman" w:cs="Times New Roman"/>
          <w:sz w:val="24"/>
          <w:szCs w:val="24"/>
          <w:lang w:val="pt-BR"/>
        </w:rPr>
        <w:t xml:space="preserve"> contabilizam outros fluxos que não estão associados (nem indiretamente) com a propriedade intelectual, como não existem dados desagrados dessas contas na biblioteca</w:t>
      </w:r>
      <w:r w:rsidRPr="0014716E">
        <w:rPr>
          <w:rFonts w:ascii="Times New Roman" w:hAnsi="Times New Roman" w:cs="Times New Roman"/>
          <w:sz w:val="24"/>
          <w:szCs w:val="24"/>
          <w:lang w:val="pt-BR"/>
        </w:rPr>
        <w:t xml:space="preserve"> de dados do </w:t>
      </w:r>
      <w:r w:rsidR="00E81255" w:rsidRPr="0014716E">
        <w:rPr>
          <w:rFonts w:ascii="Times New Roman" w:hAnsi="Times New Roman" w:cs="Times New Roman"/>
          <w:sz w:val="24"/>
          <w:szCs w:val="24"/>
          <w:lang w:val="pt-BR"/>
        </w:rPr>
        <w:t xml:space="preserve">FMI e </w:t>
      </w:r>
      <w:r w:rsidRPr="0014716E">
        <w:rPr>
          <w:rFonts w:ascii="Times New Roman" w:hAnsi="Times New Roman" w:cs="Times New Roman"/>
          <w:sz w:val="24"/>
          <w:szCs w:val="24"/>
          <w:lang w:val="pt-BR"/>
        </w:rPr>
        <w:t xml:space="preserve">como mesmo em outras fontes de pesquisa </w:t>
      </w:r>
      <w:r w:rsidR="00E81255" w:rsidRPr="0014716E">
        <w:rPr>
          <w:rFonts w:ascii="Times New Roman" w:hAnsi="Times New Roman" w:cs="Times New Roman"/>
          <w:sz w:val="24"/>
          <w:szCs w:val="24"/>
          <w:lang w:val="pt-BR"/>
        </w:rPr>
        <w:t>(</w:t>
      </w:r>
      <w:r w:rsidRPr="0014716E">
        <w:rPr>
          <w:rFonts w:ascii="Times New Roman" w:hAnsi="Times New Roman" w:cs="Times New Roman"/>
          <w:sz w:val="24"/>
          <w:szCs w:val="24"/>
          <w:lang w:val="pt-BR"/>
        </w:rPr>
        <w:t xml:space="preserve">em </w:t>
      </w:r>
      <w:r w:rsidR="00E81255" w:rsidRPr="0014716E">
        <w:rPr>
          <w:rFonts w:ascii="Times New Roman" w:hAnsi="Times New Roman" w:cs="Times New Roman"/>
          <w:sz w:val="24"/>
          <w:szCs w:val="24"/>
          <w:lang w:val="pt-BR"/>
        </w:rPr>
        <w:t xml:space="preserve">portais do Banco Mundial, UN </w:t>
      </w:r>
      <w:proofErr w:type="spellStart"/>
      <w:r w:rsidR="00093B2C">
        <w:rPr>
          <w:rFonts w:ascii="Times New Roman" w:hAnsi="Times New Roman" w:cs="Times New Roman"/>
          <w:sz w:val="24"/>
          <w:szCs w:val="24"/>
          <w:lang w:val="pt-BR"/>
        </w:rPr>
        <w:t>C</w:t>
      </w:r>
      <w:r w:rsidR="00E81255" w:rsidRPr="0014716E">
        <w:rPr>
          <w:rFonts w:ascii="Times New Roman" w:hAnsi="Times New Roman" w:cs="Times New Roman"/>
          <w:sz w:val="24"/>
          <w:szCs w:val="24"/>
          <w:lang w:val="pt-BR"/>
        </w:rPr>
        <w:t>omtrade</w:t>
      </w:r>
      <w:proofErr w:type="spellEnd"/>
      <w:r w:rsidR="00E81255" w:rsidRPr="0014716E">
        <w:rPr>
          <w:rFonts w:ascii="Times New Roman" w:hAnsi="Times New Roman" w:cs="Times New Roman"/>
          <w:sz w:val="24"/>
          <w:szCs w:val="24"/>
          <w:lang w:val="pt-BR"/>
        </w:rPr>
        <w:t xml:space="preserve">, </w:t>
      </w:r>
      <w:proofErr w:type="spellStart"/>
      <w:r w:rsidR="00E81255" w:rsidRPr="0014716E">
        <w:rPr>
          <w:rFonts w:ascii="Times New Roman" w:hAnsi="Times New Roman" w:cs="Times New Roman"/>
          <w:sz w:val="24"/>
          <w:szCs w:val="24"/>
          <w:lang w:val="pt-BR"/>
        </w:rPr>
        <w:t>International</w:t>
      </w:r>
      <w:proofErr w:type="spellEnd"/>
      <w:r w:rsidR="00E81255" w:rsidRPr="0014716E">
        <w:rPr>
          <w:rFonts w:ascii="Times New Roman" w:hAnsi="Times New Roman" w:cs="Times New Roman"/>
          <w:sz w:val="24"/>
          <w:szCs w:val="24"/>
          <w:lang w:val="pt-BR"/>
        </w:rPr>
        <w:t xml:space="preserve"> Trade Centre)</w:t>
      </w:r>
      <w:r w:rsidRPr="0014716E">
        <w:rPr>
          <w:rFonts w:ascii="Times New Roman" w:hAnsi="Times New Roman" w:cs="Times New Roman"/>
          <w:sz w:val="24"/>
          <w:szCs w:val="24"/>
          <w:lang w:val="pt-BR"/>
        </w:rPr>
        <w:t xml:space="preserve"> que desagregam dados não </w:t>
      </w:r>
      <w:r w:rsidR="00EB630E" w:rsidRPr="0014716E">
        <w:rPr>
          <w:rFonts w:ascii="Times New Roman" w:hAnsi="Times New Roman" w:cs="Times New Roman"/>
          <w:sz w:val="24"/>
          <w:szCs w:val="24"/>
          <w:lang w:val="pt-BR"/>
        </w:rPr>
        <w:t>há</w:t>
      </w:r>
      <w:r w:rsidRPr="0014716E">
        <w:rPr>
          <w:rFonts w:ascii="Times New Roman" w:hAnsi="Times New Roman" w:cs="Times New Roman"/>
          <w:sz w:val="24"/>
          <w:szCs w:val="24"/>
          <w:lang w:val="pt-BR"/>
        </w:rPr>
        <w:t xml:space="preserve"> um histórico de registro para todos os países, ou para uma quantidade razoável de anos (os dados desagregados nessas contas de serviços começam em anos muito recentes como 2013), resolvemos não trabalhar</w:t>
      </w:r>
      <w:r w:rsidR="00EB630E" w:rsidRPr="0014716E">
        <w:rPr>
          <w:rFonts w:ascii="Times New Roman" w:hAnsi="Times New Roman" w:cs="Times New Roman"/>
          <w:sz w:val="24"/>
          <w:szCs w:val="24"/>
          <w:lang w:val="pt-BR"/>
        </w:rPr>
        <w:t xml:space="preserve"> com estes dados nessa primeira abordagem</w:t>
      </w:r>
      <w:r w:rsidR="00404811">
        <w:rPr>
          <w:rFonts w:ascii="Times New Roman" w:hAnsi="Times New Roman" w:cs="Times New Roman"/>
          <w:sz w:val="24"/>
          <w:szCs w:val="24"/>
          <w:lang w:val="pt-BR"/>
        </w:rPr>
        <w:t>.</w:t>
      </w:r>
    </w:p>
    <w:p w14:paraId="3CD4DEA5" w14:textId="4F6CFC6F" w:rsidR="00EB630E" w:rsidRPr="00093B2C" w:rsidRDefault="00404811" w:rsidP="008B0E7D">
      <w:pPr>
        <w:spacing w:after="0" w:line="360" w:lineRule="auto"/>
        <w:ind w:firstLine="567"/>
        <w:jc w:val="both"/>
        <w:rPr>
          <w:rFonts w:ascii="Times New Roman" w:hAnsi="Times New Roman" w:cs="Times New Roman"/>
          <w:strike/>
          <w:color w:val="FF0000"/>
          <w:sz w:val="24"/>
          <w:szCs w:val="24"/>
          <w:lang w:val="pt-BR"/>
        </w:rPr>
      </w:pPr>
      <w:r>
        <w:rPr>
          <w:rFonts w:ascii="Times New Roman" w:hAnsi="Times New Roman" w:cs="Times New Roman"/>
          <w:sz w:val="24"/>
          <w:szCs w:val="24"/>
          <w:lang w:val="pt-BR"/>
        </w:rPr>
        <w:t>N</w:t>
      </w:r>
      <w:r w:rsidR="0014716E">
        <w:rPr>
          <w:rFonts w:ascii="Times New Roman" w:hAnsi="Times New Roman" w:cs="Times New Roman"/>
          <w:sz w:val="24"/>
          <w:szCs w:val="24"/>
          <w:lang w:val="pt-BR"/>
        </w:rPr>
        <w:t>ão obstante</w:t>
      </w:r>
      <w:r w:rsidR="009073B2">
        <w:rPr>
          <w:rFonts w:ascii="Times New Roman" w:hAnsi="Times New Roman" w:cs="Times New Roman"/>
          <w:sz w:val="24"/>
          <w:szCs w:val="24"/>
          <w:lang w:val="pt-BR"/>
        </w:rPr>
        <w:t>, como veremos mais à frente,</w:t>
      </w:r>
      <w:r w:rsidR="0014716E">
        <w:rPr>
          <w:rFonts w:ascii="Times New Roman" w:hAnsi="Times New Roman" w:cs="Times New Roman"/>
          <w:sz w:val="24"/>
          <w:szCs w:val="24"/>
          <w:lang w:val="pt-BR"/>
        </w:rPr>
        <w:t xml:space="preserve"> estes comp</w:t>
      </w:r>
      <w:r>
        <w:rPr>
          <w:rFonts w:ascii="Times New Roman" w:hAnsi="Times New Roman" w:cs="Times New Roman"/>
          <w:sz w:val="24"/>
          <w:szCs w:val="24"/>
          <w:lang w:val="pt-BR"/>
        </w:rPr>
        <w:t>o</w:t>
      </w:r>
      <w:r w:rsidR="0014716E">
        <w:rPr>
          <w:rFonts w:ascii="Times New Roman" w:hAnsi="Times New Roman" w:cs="Times New Roman"/>
          <w:sz w:val="24"/>
          <w:szCs w:val="24"/>
          <w:lang w:val="pt-BR"/>
        </w:rPr>
        <w:t xml:space="preserve">nentes </w:t>
      </w:r>
      <w:r>
        <w:rPr>
          <w:rFonts w:ascii="Times New Roman" w:hAnsi="Times New Roman" w:cs="Times New Roman"/>
          <w:sz w:val="24"/>
          <w:szCs w:val="24"/>
          <w:lang w:val="pt-BR"/>
        </w:rPr>
        <w:t>foram levados em consideração na construção do banco de dados para o comércio bilateral</w:t>
      </w:r>
      <w:r w:rsidR="009073B2">
        <w:rPr>
          <w:rFonts w:ascii="Times New Roman" w:hAnsi="Times New Roman" w:cs="Times New Roman"/>
          <w:sz w:val="24"/>
          <w:szCs w:val="24"/>
          <w:lang w:val="pt-BR"/>
        </w:rPr>
        <w:t xml:space="preserve"> relacionado à PI, erguido </w:t>
      </w:r>
      <w:r w:rsidR="00722D73">
        <w:rPr>
          <w:rFonts w:ascii="Times New Roman" w:hAnsi="Times New Roman" w:cs="Times New Roman"/>
          <w:sz w:val="24"/>
          <w:szCs w:val="24"/>
          <w:lang w:val="pt-BR"/>
        </w:rPr>
        <w:t>a</w:t>
      </w:r>
      <w:r w:rsidR="009073B2">
        <w:rPr>
          <w:rFonts w:ascii="Times New Roman" w:hAnsi="Times New Roman" w:cs="Times New Roman"/>
          <w:sz w:val="24"/>
          <w:szCs w:val="24"/>
          <w:lang w:val="pt-BR"/>
        </w:rPr>
        <w:t xml:space="preserve"> partir de uma amostra de países relevantes para a pesquisa. Os dados</w:t>
      </w:r>
      <w:r>
        <w:rPr>
          <w:rFonts w:ascii="Times New Roman" w:hAnsi="Times New Roman" w:cs="Times New Roman"/>
          <w:sz w:val="24"/>
          <w:szCs w:val="24"/>
          <w:lang w:val="pt-BR"/>
        </w:rPr>
        <w:t xml:space="preserve"> </w:t>
      </w:r>
      <w:r w:rsidR="0014716E">
        <w:rPr>
          <w:rFonts w:ascii="Times New Roman" w:hAnsi="Times New Roman" w:cs="Times New Roman"/>
          <w:sz w:val="24"/>
          <w:szCs w:val="24"/>
          <w:lang w:val="pt-BR"/>
        </w:rPr>
        <w:t>deverão ser incorporados em pesquisas fut</w:t>
      </w:r>
      <w:r w:rsidR="00DE22D8">
        <w:rPr>
          <w:rFonts w:ascii="Times New Roman" w:hAnsi="Times New Roman" w:cs="Times New Roman"/>
          <w:sz w:val="24"/>
          <w:szCs w:val="24"/>
          <w:lang w:val="pt-BR"/>
        </w:rPr>
        <w:t>u</w:t>
      </w:r>
      <w:r w:rsidR="0014716E">
        <w:rPr>
          <w:rFonts w:ascii="Times New Roman" w:hAnsi="Times New Roman" w:cs="Times New Roman"/>
          <w:sz w:val="24"/>
          <w:szCs w:val="24"/>
          <w:lang w:val="pt-BR"/>
        </w:rPr>
        <w:t>ras</w:t>
      </w:r>
      <w:r w:rsidR="00EB630E" w:rsidRPr="0014716E">
        <w:rPr>
          <w:rFonts w:ascii="Times New Roman" w:hAnsi="Times New Roman" w:cs="Times New Roman"/>
          <w:sz w:val="24"/>
          <w:szCs w:val="24"/>
          <w:lang w:val="pt-BR"/>
        </w:rPr>
        <w:t>.</w:t>
      </w:r>
      <w:r w:rsidR="0014716E">
        <w:rPr>
          <w:rFonts w:ascii="Times New Roman" w:hAnsi="Times New Roman" w:cs="Times New Roman"/>
          <w:sz w:val="24"/>
          <w:szCs w:val="24"/>
          <w:lang w:val="pt-BR"/>
        </w:rPr>
        <w:t xml:space="preserve"> </w:t>
      </w:r>
      <w:r w:rsidR="00661B3D" w:rsidRPr="00661B3D">
        <w:rPr>
          <w:rFonts w:ascii="Times New Roman" w:hAnsi="Times New Roman" w:cs="Times New Roman"/>
          <w:sz w:val="24"/>
          <w:szCs w:val="24"/>
          <w:lang w:val="pt-BR"/>
        </w:rPr>
        <w:t>O resumo desta pesquisa</w:t>
      </w:r>
      <w:r w:rsidR="00B32803">
        <w:rPr>
          <w:rFonts w:ascii="Times New Roman" w:hAnsi="Times New Roman" w:cs="Times New Roman"/>
          <w:sz w:val="24"/>
          <w:szCs w:val="24"/>
          <w:lang w:val="pt-BR"/>
        </w:rPr>
        <w:t xml:space="preserve"> muito</w:t>
      </w:r>
      <w:r w:rsidR="00661B3D" w:rsidRPr="00661B3D">
        <w:rPr>
          <w:rFonts w:ascii="Times New Roman" w:hAnsi="Times New Roman" w:cs="Times New Roman"/>
          <w:sz w:val="24"/>
          <w:szCs w:val="24"/>
          <w:lang w:val="pt-BR"/>
        </w:rPr>
        <w:t xml:space="preserve"> </w:t>
      </w:r>
      <w:r w:rsidR="00661B3D">
        <w:rPr>
          <w:rFonts w:ascii="Times New Roman" w:hAnsi="Times New Roman" w:cs="Times New Roman"/>
          <w:sz w:val="24"/>
          <w:szCs w:val="24"/>
          <w:lang w:val="pt-BR"/>
        </w:rPr>
        <w:t xml:space="preserve">inicial </w:t>
      </w:r>
      <w:r w:rsidR="00661B3D" w:rsidRPr="00661B3D">
        <w:rPr>
          <w:rFonts w:ascii="Times New Roman" w:hAnsi="Times New Roman" w:cs="Times New Roman"/>
          <w:sz w:val="24"/>
          <w:szCs w:val="24"/>
          <w:lang w:val="pt-BR"/>
        </w:rPr>
        <w:t>se encontra</w:t>
      </w:r>
      <w:r w:rsidR="00B32803">
        <w:rPr>
          <w:rFonts w:ascii="Times New Roman" w:hAnsi="Times New Roman" w:cs="Times New Roman"/>
          <w:sz w:val="24"/>
          <w:szCs w:val="24"/>
          <w:lang w:val="pt-BR"/>
        </w:rPr>
        <w:t xml:space="preserve"> no relatório técnico escrito em inglês e disponibilizado como </w:t>
      </w:r>
      <w:r w:rsidR="00661B3D" w:rsidRPr="00661B3D">
        <w:rPr>
          <w:rFonts w:ascii="Times New Roman" w:hAnsi="Times New Roman" w:cs="Times New Roman"/>
          <w:b/>
          <w:sz w:val="24"/>
          <w:szCs w:val="24"/>
          <w:lang w:val="pt-BR"/>
        </w:rPr>
        <w:t xml:space="preserve">anexo </w:t>
      </w:r>
      <w:proofErr w:type="gramStart"/>
      <w:r w:rsidR="00661B3D" w:rsidRPr="00661B3D">
        <w:rPr>
          <w:rFonts w:ascii="Times New Roman" w:hAnsi="Times New Roman" w:cs="Times New Roman"/>
          <w:b/>
          <w:sz w:val="24"/>
          <w:szCs w:val="24"/>
          <w:lang w:val="pt-BR"/>
        </w:rPr>
        <w:t>1</w:t>
      </w:r>
      <w:proofErr w:type="gramEnd"/>
      <w:r w:rsidR="00661B3D" w:rsidRPr="00661B3D">
        <w:rPr>
          <w:rFonts w:ascii="Times New Roman" w:hAnsi="Times New Roman" w:cs="Times New Roman"/>
          <w:sz w:val="24"/>
          <w:szCs w:val="24"/>
          <w:lang w:val="pt-BR"/>
        </w:rPr>
        <w:t>.</w:t>
      </w:r>
    </w:p>
    <w:p w14:paraId="4609A958" w14:textId="332726F6" w:rsidR="004F5401" w:rsidRPr="0014716E" w:rsidRDefault="00722D73" w:rsidP="008B0E7D">
      <w:pPr>
        <w:spacing w:after="0" w:line="360" w:lineRule="auto"/>
        <w:ind w:firstLine="567"/>
        <w:jc w:val="both"/>
        <w:rPr>
          <w:rFonts w:ascii="Times New Roman" w:hAnsi="Times New Roman" w:cs="Times New Roman"/>
          <w:sz w:val="24"/>
          <w:szCs w:val="24"/>
          <w:lang w:val="pt-BR"/>
        </w:rPr>
      </w:pPr>
      <w:r w:rsidRPr="0014716E">
        <w:rPr>
          <w:rFonts w:ascii="Times New Roman" w:hAnsi="Times New Roman" w:cs="Times New Roman"/>
          <w:sz w:val="24"/>
          <w:szCs w:val="24"/>
          <w:lang w:val="pt-BR"/>
        </w:rPr>
        <w:t xml:space="preserve">Além </w:t>
      </w:r>
      <w:r w:rsidR="00B32803">
        <w:rPr>
          <w:rFonts w:ascii="Times New Roman" w:hAnsi="Times New Roman" w:cs="Times New Roman"/>
          <w:sz w:val="24"/>
          <w:szCs w:val="24"/>
          <w:lang w:val="pt-BR"/>
        </w:rPr>
        <w:t>dos dados da balança de serviços</w:t>
      </w:r>
      <w:r w:rsidRPr="0014716E">
        <w:rPr>
          <w:rFonts w:ascii="Times New Roman" w:hAnsi="Times New Roman" w:cs="Times New Roman"/>
          <w:sz w:val="24"/>
          <w:szCs w:val="24"/>
          <w:lang w:val="pt-BR"/>
        </w:rPr>
        <w:t>,</w:t>
      </w:r>
      <w:r w:rsidR="00EB630E" w:rsidRPr="0014716E">
        <w:rPr>
          <w:rFonts w:ascii="Times New Roman" w:hAnsi="Times New Roman" w:cs="Times New Roman"/>
          <w:sz w:val="24"/>
          <w:szCs w:val="24"/>
          <w:lang w:val="pt-BR"/>
        </w:rPr>
        <w:t xml:space="preserve"> incluímos na pesquisa </w:t>
      </w:r>
      <w:r w:rsidR="00DF2A15">
        <w:rPr>
          <w:rFonts w:ascii="Times New Roman" w:hAnsi="Times New Roman" w:cs="Times New Roman"/>
          <w:sz w:val="24"/>
          <w:szCs w:val="24"/>
          <w:lang w:val="pt-BR"/>
        </w:rPr>
        <w:t>dados relativos a</w:t>
      </w:r>
      <w:r w:rsidR="00EB630E" w:rsidRPr="0014716E">
        <w:rPr>
          <w:rFonts w:ascii="Times New Roman" w:hAnsi="Times New Roman" w:cs="Times New Roman"/>
          <w:sz w:val="24"/>
          <w:szCs w:val="24"/>
          <w:lang w:val="pt-BR"/>
        </w:rPr>
        <w:t xml:space="preserve">o comércio internacional de bens tangíveis cujos valores se relacionam (mesmo que indiretamente) com os direitos de propriedade intelectual. Neste caso a fonte de dados do </w:t>
      </w:r>
      <w:r w:rsidR="00EB630E" w:rsidRPr="0014716E">
        <w:rPr>
          <w:rFonts w:ascii="Times New Roman" w:hAnsi="Times New Roman" w:cs="Times New Roman"/>
          <w:sz w:val="24"/>
          <w:szCs w:val="24"/>
          <w:lang w:val="pt-BR"/>
        </w:rPr>
        <w:lastRenderedPageBreak/>
        <w:t>FMI não é útil</w:t>
      </w:r>
      <w:proofErr w:type="gramStart"/>
      <w:r w:rsidR="00EB630E" w:rsidRPr="0014716E">
        <w:rPr>
          <w:rFonts w:ascii="Times New Roman" w:hAnsi="Times New Roman" w:cs="Times New Roman"/>
          <w:sz w:val="24"/>
          <w:szCs w:val="24"/>
          <w:lang w:val="pt-BR"/>
        </w:rPr>
        <w:t xml:space="preserve"> </w:t>
      </w:r>
      <w:r w:rsidR="00DF2A15">
        <w:rPr>
          <w:rFonts w:ascii="Times New Roman" w:hAnsi="Times New Roman" w:cs="Times New Roman"/>
          <w:sz w:val="24"/>
          <w:szCs w:val="24"/>
          <w:lang w:val="pt-BR"/>
        </w:rPr>
        <w:t>pois</w:t>
      </w:r>
      <w:proofErr w:type="gramEnd"/>
      <w:r w:rsidR="00EB630E" w:rsidRPr="0014716E">
        <w:rPr>
          <w:rFonts w:ascii="Times New Roman" w:hAnsi="Times New Roman" w:cs="Times New Roman"/>
          <w:sz w:val="24"/>
          <w:szCs w:val="24"/>
          <w:lang w:val="pt-BR"/>
        </w:rPr>
        <w:t xml:space="preserve"> ela mostra apenas o fluxo </w:t>
      </w:r>
      <w:r w:rsidR="00DF2A15">
        <w:rPr>
          <w:rFonts w:ascii="Times New Roman" w:hAnsi="Times New Roman" w:cs="Times New Roman"/>
          <w:sz w:val="24"/>
          <w:szCs w:val="24"/>
          <w:lang w:val="pt-BR"/>
        </w:rPr>
        <w:t xml:space="preserve">(débitos e créditos) </w:t>
      </w:r>
      <w:r w:rsidR="00EB630E" w:rsidRPr="0014716E">
        <w:rPr>
          <w:rFonts w:ascii="Times New Roman" w:hAnsi="Times New Roman" w:cs="Times New Roman"/>
          <w:sz w:val="24"/>
          <w:szCs w:val="24"/>
          <w:lang w:val="pt-BR"/>
        </w:rPr>
        <w:t>d</w:t>
      </w:r>
      <w:r w:rsidR="00DF2A15">
        <w:rPr>
          <w:rFonts w:ascii="Times New Roman" w:hAnsi="Times New Roman" w:cs="Times New Roman"/>
          <w:sz w:val="24"/>
          <w:szCs w:val="24"/>
          <w:lang w:val="pt-BR"/>
        </w:rPr>
        <w:t>o</w:t>
      </w:r>
      <w:r w:rsidR="00EB630E" w:rsidRPr="0014716E">
        <w:rPr>
          <w:rFonts w:ascii="Times New Roman" w:hAnsi="Times New Roman" w:cs="Times New Roman"/>
          <w:sz w:val="24"/>
          <w:szCs w:val="24"/>
          <w:lang w:val="pt-BR"/>
        </w:rPr>
        <w:t xml:space="preserve"> comércio total dos bens tangíveis</w:t>
      </w:r>
      <w:r w:rsidR="00B32803">
        <w:rPr>
          <w:rFonts w:ascii="Times New Roman" w:hAnsi="Times New Roman" w:cs="Times New Roman"/>
          <w:sz w:val="24"/>
          <w:szCs w:val="24"/>
          <w:lang w:val="pt-BR"/>
        </w:rPr>
        <w:t xml:space="preserve"> (balança comercial ou </w:t>
      </w:r>
      <w:r w:rsidR="00B32803" w:rsidRPr="00B32803">
        <w:rPr>
          <w:rFonts w:ascii="Times New Roman" w:hAnsi="Times New Roman" w:cs="Times New Roman"/>
          <w:i/>
          <w:sz w:val="24"/>
          <w:szCs w:val="24"/>
          <w:lang w:val="pt-BR"/>
        </w:rPr>
        <w:t xml:space="preserve">balance </w:t>
      </w:r>
      <w:proofErr w:type="spellStart"/>
      <w:r w:rsidR="00B32803" w:rsidRPr="00B32803">
        <w:rPr>
          <w:rFonts w:ascii="Times New Roman" w:hAnsi="Times New Roman" w:cs="Times New Roman"/>
          <w:i/>
          <w:sz w:val="24"/>
          <w:szCs w:val="24"/>
          <w:lang w:val="pt-BR"/>
        </w:rPr>
        <w:t>of</w:t>
      </w:r>
      <w:proofErr w:type="spellEnd"/>
      <w:r w:rsidR="00B32803" w:rsidRPr="00B32803">
        <w:rPr>
          <w:rFonts w:ascii="Times New Roman" w:hAnsi="Times New Roman" w:cs="Times New Roman"/>
          <w:i/>
          <w:sz w:val="24"/>
          <w:szCs w:val="24"/>
          <w:lang w:val="pt-BR"/>
        </w:rPr>
        <w:t xml:space="preserve"> </w:t>
      </w:r>
      <w:proofErr w:type="spellStart"/>
      <w:r w:rsidR="00B32803" w:rsidRPr="00B32803">
        <w:rPr>
          <w:rFonts w:ascii="Times New Roman" w:hAnsi="Times New Roman" w:cs="Times New Roman"/>
          <w:i/>
          <w:sz w:val="24"/>
          <w:szCs w:val="24"/>
          <w:lang w:val="pt-BR"/>
        </w:rPr>
        <w:t>goods</w:t>
      </w:r>
      <w:proofErr w:type="spellEnd"/>
      <w:r w:rsidR="00B32803">
        <w:rPr>
          <w:rFonts w:ascii="Times New Roman" w:hAnsi="Times New Roman" w:cs="Times New Roman"/>
          <w:sz w:val="24"/>
          <w:szCs w:val="24"/>
          <w:lang w:val="pt-BR"/>
        </w:rPr>
        <w:t>)</w:t>
      </w:r>
      <w:r w:rsidR="00EB630E" w:rsidRPr="0014716E">
        <w:rPr>
          <w:rFonts w:ascii="Times New Roman" w:hAnsi="Times New Roman" w:cs="Times New Roman"/>
          <w:sz w:val="24"/>
          <w:szCs w:val="24"/>
          <w:lang w:val="pt-BR"/>
        </w:rPr>
        <w:t xml:space="preserve">, sem </w:t>
      </w:r>
      <w:r w:rsidR="004F5401" w:rsidRPr="0014716E">
        <w:rPr>
          <w:rFonts w:ascii="Times New Roman" w:hAnsi="Times New Roman" w:cs="Times New Roman"/>
          <w:sz w:val="24"/>
          <w:szCs w:val="24"/>
          <w:lang w:val="pt-BR"/>
        </w:rPr>
        <w:t xml:space="preserve">desagregá-los. Para superar essa barreira localizamos </w:t>
      </w:r>
      <w:r w:rsidR="00EB630E" w:rsidRPr="0014716E">
        <w:rPr>
          <w:rFonts w:ascii="Times New Roman" w:hAnsi="Times New Roman" w:cs="Times New Roman"/>
          <w:sz w:val="24"/>
          <w:szCs w:val="24"/>
          <w:lang w:val="pt-BR"/>
        </w:rPr>
        <w:t xml:space="preserve">outras fontes que desagregam os dados em diversos tipos de bens, tais como </w:t>
      </w:r>
      <w:r w:rsidR="00DF2A15">
        <w:rPr>
          <w:rFonts w:ascii="Times New Roman" w:hAnsi="Times New Roman" w:cs="Times New Roman"/>
          <w:sz w:val="24"/>
          <w:szCs w:val="24"/>
          <w:lang w:val="pt-BR"/>
        </w:rPr>
        <w:t>a “</w:t>
      </w:r>
      <w:proofErr w:type="spellStart"/>
      <w:r w:rsidR="00DF2A15" w:rsidRPr="00DF2A15">
        <w:rPr>
          <w:rFonts w:ascii="Times New Roman" w:hAnsi="Times New Roman" w:cs="Times New Roman"/>
          <w:sz w:val="24"/>
          <w:szCs w:val="24"/>
          <w:lang w:val="pt-BR"/>
        </w:rPr>
        <w:t>International</w:t>
      </w:r>
      <w:proofErr w:type="spellEnd"/>
      <w:r w:rsidR="00DF2A15" w:rsidRPr="00DF2A15">
        <w:rPr>
          <w:rFonts w:ascii="Times New Roman" w:hAnsi="Times New Roman" w:cs="Times New Roman"/>
          <w:sz w:val="24"/>
          <w:szCs w:val="24"/>
          <w:lang w:val="pt-BR"/>
        </w:rPr>
        <w:t xml:space="preserve"> Trade </w:t>
      </w:r>
      <w:proofErr w:type="spellStart"/>
      <w:r w:rsidR="00DF2A15" w:rsidRPr="00DF2A15">
        <w:rPr>
          <w:rFonts w:ascii="Times New Roman" w:hAnsi="Times New Roman" w:cs="Times New Roman"/>
          <w:sz w:val="24"/>
          <w:szCs w:val="24"/>
          <w:lang w:val="pt-BR"/>
        </w:rPr>
        <w:t>Statistics</w:t>
      </w:r>
      <w:proofErr w:type="spellEnd"/>
      <w:r w:rsidR="00DF2A15" w:rsidRPr="00DF2A15">
        <w:rPr>
          <w:rFonts w:ascii="Times New Roman" w:hAnsi="Times New Roman" w:cs="Times New Roman"/>
          <w:sz w:val="24"/>
          <w:szCs w:val="24"/>
          <w:lang w:val="pt-BR"/>
        </w:rPr>
        <w:t xml:space="preserve"> </w:t>
      </w:r>
      <w:proofErr w:type="spellStart"/>
      <w:r w:rsidR="00DF2A15" w:rsidRPr="00DF2A15">
        <w:rPr>
          <w:rFonts w:ascii="Times New Roman" w:hAnsi="Times New Roman" w:cs="Times New Roman"/>
          <w:sz w:val="24"/>
          <w:szCs w:val="24"/>
          <w:lang w:val="pt-BR"/>
        </w:rPr>
        <w:t>Database</w:t>
      </w:r>
      <w:proofErr w:type="spellEnd"/>
      <w:r w:rsidR="00DF2A15">
        <w:rPr>
          <w:rFonts w:ascii="Times New Roman" w:hAnsi="Times New Roman" w:cs="Times New Roman"/>
          <w:sz w:val="24"/>
          <w:szCs w:val="24"/>
          <w:lang w:val="pt-BR"/>
        </w:rPr>
        <w:t xml:space="preserve">”, </w:t>
      </w:r>
      <w:r w:rsidR="00EB630E" w:rsidRPr="0014716E">
        <w:rPr>
          <w:rFonts w:ascii="Times New Roman" w:hAnsi="Times New Roman" w:cs="Times New Roman"/>
          <w:sz w:val="24"/>
          <w:szCs w:val="24"/>
          <w:lang w:val="pt-BR"/>
        </w:rPr>
        <w:t>base de dados d</w:t>
      </w:r>
      <w:r w:rsidR="00DF2A15">
        <w:rPr>
          <w:rFonts w:ascii="Times New Roman" w:hAnsi="Times New Roman" w:cs="Times New Roman"/>
          <w:sz w:val="24"/>
          <w:szCs w:val="24"/>
          <w:lang w:val="pt-BR"/>
        </w:rPr>
        <w:t>a agência de estatística de comércio das Nações Unidas “</w:t>
      </w:r>
      <w:r w:rsidR="00EB630E" w:rsidRPr="0014716E">
        <w:rPr>
          <w:rFonts w:ascii="Times New Roman" w:hAnsi="Times New Roman" w:cs="Times New Roman"/>
          <w:sz w:val="24"/>
          <w:szCs w:val="24"/>
          <w:lang w:val="pt-BR"/>
        </w:rPr>
        <w:t xml:space="preserve">UN </w:t>
      </w:r>
      <w:proofErr w:type="spellStart"/>
      <w:r w:rsidR="00EB630E" w:rsidRPr="0014716E">
        <w:rPr>
          <w:rFonts w:ascii="Times New Roman" w:hAnsi="Times New Roman" w:cs="Times New Roman"/>
          <w:sz w:val="24"/>
          <w:szCs w:val="24"/>
          <w:lang w:val="pt-BR"/>
        </w:rPr>
        <w:t>Comtrade</w:t>
      </w:r>
      <w:proofErr w:type="spellEnd"/>
      <w:r w:rsidR="00DF2A15">
        <w:rPr>
          <w:rFonts w:ascii="Times New Roman" w:hAnsi="Times New Roman" w:cs="Times New Roman"/>
          <w:sz w:val="24"/>
          <w:szCs w:val="24"/>
          <w:lang w:val="pt-BR"/>
        </w:rPr>
        <w:t>”</w:t>
      </w:r>
      <w:r w:rsidR="00701A60">
        <w:rPr>
          <w:rFonts w:ascii="Times New Roman" w:hAnsi="Times New Roman" w:cs="Times New Roman"/>
          <w:sz w:val="24"/>
          <w:szCs w:val="24"/>
          <w:lang w:val="pt-BR"/>
        </w:rPr>
        <w:t xml:space="preserve"> (</w:t>
      </w:r>
      <w:proofErr w:type="gramStart"/>
      <w:r w:rsidR="00701A60" w:rsidRPr="00701A60">
        <w:rPr>
          <w:rFonts w:ascii="Times New Roman" w:hAnsi="Times New Roman" w:cs="Times New Roman"/>
          <w:sz w:val="24"/>
          <w:szCs w:val="24"/>
          <w:lang w:val="pt-BR"/>
        </w:rPr>
        <w:t>https</w:t>
      </w:r>
      <w:proofErr w:type="gramEnd"/>
      <w:r w:rsidR="00701A60" w:rsidRPr="00701A60">
        <w:rPr>
          <w:rFonts w:ascii="Times New Roman" w:hAnsi="Times New Roman" w:cs="Times New Roman"/>
          <w:sz w:val="24"/>
          <w:szCs w:val="24"/>
          <w:lang w:val="pt-BR"/>
        </w:rPr>
        <w:t>://comtrade.un.org/</w:t>
      </w:r>
      <w:r w:rsidR="00701A60">
        <w:rPr>
          <w:rFonts w:ascii="Times New Roman" w:hAnsi="Times New Roman" w:cs="Times New Roman"/>
          <w:sz w:val="24"/>
          <w:szCs w:val="24"/>
          <w:lang w:val="pt-BR"/>
        </w:rPr>
        <w:t>)</w:t>
      </w:r>
      <w:r w:rsidR="00DF2A15">
        <w:rPr>
          <w:rFonts w:ascii="Times New Roman" w:hAnsi="Times New Roman" w:cs="Times New Roman"/>
          <w:sz w:val="24"/>
          <w:szCs w:val="24"/>
          <w:lang w:val="pt-BR"/>
        </w:rPr>
        <w:t>,</w:t>
      </w:r>
      <w:r w:rsidR="00EB630E" w:rsidRPr="0014716E">
        <w:rPr>
          <w:rFonts w:ascii="Times New Roman" w:hAnsi="Times New Roman" w:cs="Times New Roman"/>
          <w:sz w:val="24"/>
          <w:szCs w:val="24"/>
          <w:lang w:val="pt-BR"/>
        </w:rPr>
        <w:t xml:space="preserve"> que </w:t>
      </w:r>
      <w:r w:rsidR="00DF2A15">
        <w:rPr>
          <w:rFonts w:ascii="Times New Roman" w:hAnsi="Times New Roman" w:cs="Times New Roman"/>
          <w:sz w:val="24"/>
          <w:szCs w:val="24"/>
          <w:lang w:val="pt-BR"/>
        </w:rPr>
        <w:t>disponibiliza os</w:t>
      </w:r>
      <w:r w:rsidR="00EB630E" w:rsidRPr="0014716E">
        <w:rPr>
          <w:rFonts w:ascii="Times New Roman" w:hAnsi="Times New Roman" w:cs="Times New Roman"/>
          <w:sz w:val="24"/>
          <w:szCs w:val="24"/>
          <w:lang w:val="pt-BR"/>
        </w:rPr>
        <w:t xml:space="preserve"> dados </w:t>
      </w:r>
      <w:r w:rsidR="00D058C8" w:rsidRPr="0014716E">
        <w:rPr>
          <w:rFonts w:ascii="Times New Roman" w:hAnsi="Times New Roman" w:cs="Times New Roman"/>
          <w:sz w:val="24"/>
          <w:szCs w:val="24"/>
          <w:lang w:val="pt-BR"/>
        </w:rPr>
        <w:t xml:space="preserve">de comércio de bens tangíveis </w:t>
      </w:r>
      <w:r w:rsidR="00EB630E" w:rsidRPr="0014716E">
        <w:rPr>
          <w:rFonts w:ascii="Times New Roman" w:hAnsi="Times New Roman" w:cs="Times New Roman"/>
          <w:sz w:val="24"/>
          <w:szCs w:val="24"/>
          <w:lang w:val="pt-BR"/>
        </w:rPr>
        <w:t xml:space="preserve">desagregados </w:t>
      </w:r>
      <w:r w:rsidR="00D058C8" w:rsidRPr="0014716E">
        <w:rPr>
          <w:rFonts w:ascii="Times New Roman" w:hAnsi="Times New Roman" w:cs="Times New Roman"/>
          <w:sz w:val="24"/>
          <w:szCs w:val="24"/>
          <w:lang w:val="pt-BR"/>
        </w:rPr>
        <w:t xml:space="preserve">entre 99 tipos diferentes de produtos classificados de acordo com o </w:t>
      </w:r>
      <w:proofErr w:type="spellStart"/>
      <w:r w:rsidR="00EB630E" w:rsidRPr="0014716E">
        <w:rPr>
          <w:rFonts w:ascii="Times New Roman" w:hAnsi="Times New Roman" w:cs="Times New Roman"/>
          <w:i/>
          <w:sz w:val="24"/>
          <w:szCs w:val="24"/>
          <w:lang w:val="pt-BR"/>
        </w:rPr>
        <w:t>Harmonized</w:t>
      </w:r>
      <w:proofErr w:type="spellEnd"/>
      <w:r w:rsidR="00EB630E" w:rsidRPr="0014716E">
        <w:rPr>
          <w:rFonts w:ascii="Times New Roman" w:hAnsi="Times New Roman" w:cs="Times New Roman"/>
          <w:i/>
          <w:sz w:val="24"/>
          <w:szCs w:val="24"/>
          <w:lang w:val="pt-BR"/>
        </w:rPr>
        <w:t xml:space="preserve"> Commodity </w:t>
      </w:r>
      <w:proofErr w:type="spellStart"/>
      <w:r w:rsidR="00EB630E" w:rsidRPr="0014716E">
        <w:rPr>
          <w:rFonts w:ascii="Times New Roman" w:hAnsi="Times New Roman" w:cs="Times New Roman"/>
          <w:i/>
          <w:sz w:val="24"/>
          <w:szCs w:val="24"/>
          <w:lang w:val="pt-BR"/>
        </w:rPr>
        <w:t>Description</w:t>
      </w:r>
      <w:proofErr w:type="spellEnd"/>
      <w:r w:rsidR="00EB630E" w:rsidRPr="0014716E">
        <w:rPr>
          <w:rFonts w:ascii="Times New Roman" w:hAnsi="Times New Roman" w:cs="Times New Roman"/>
          <w:i/>
          <w:sz w:val="24"/>
          <w:szCs w:val="24"/>
          <w:lang w:val="pt-BR"/>
        </w:rPr>
        <w:t xml:space="preserve"> </w:t>
      </w:r>
      <w:proofErr w:type="spellStart"/>
      <w:r w:rsidR="00EB630E" w:rsidRPr="0014716E">
        <w:rPr>
          <w:rFonts w:ascii="Times New Roman" w:hAnsi="Times New Roman" w:cs="Times New Roman"/>
          <w:i/>
          <w:sz w:val="24"/>
          <w:szCs w:val="24"/>
          <w:lang w:val="pt-BR"/>
        </w:rPr>
        <w:t>and</w:t>
      </w:r>
      <w:proofErr w:type="spellEnd"/>
      <w:r w:rsidR="00EB630E" w:rsidRPr="0014716E">
        <w:rPr>
          <w:rFonts w:ascii="Times New Roman" w:hAnsi="Times New Roman" w:cs="Times New Roman"/>
          <w:i/>
          <w:sz w:val="24"/>
          <w:szCs w:val="24"/>
          <w:lang w:val="pt-BR"/>
        </w:rPr>
        <w:t xml:space="preserve"> </w:t>
      </w:r>
      <w:proofErr w:type="spellStart"/>
      <w:r w:rsidR="00EB630E" w:rsidRPr="0014716E">
        <w:rPr>
          <w:rFonts w:ascii="Times New Roman" w:hAnsi="Times New Roman" w:cs="Times New Roman"/>
          <w:i/>
          <w:sz w:val="24"/>
          <w:szCs w:val="24"/>
          <w:lang w:val="pt-BR"/>
        </w:rPr>
        <w:t>Coding</w:t>
      </w:r>
      <w:proofErr w:type="spellEnd"/>
      <w:r w:rsidR="00EB630E" w:rsidRPr="0014716E">
        <w:rPr>
          <w:rFonts w:ascii="Times New Roman" w:hAnsi="Times New Roman" w:cs="Times New Roman"/>
          <w:i/>
          <w:sz w:val="24"/>
          <w:szCs w:val="24"/>
          <w:lang w:val="pt-BR"/>
        </w:rPr>
        <w:t xml:space="preserve"> Systems</w:t>
      </w:r>
      <w:r w:rsidR="00EB630E" w:rsidRPr="0014716E">
        <w:rPr>
          <w:rFonts w:ascii="Times New Roman" w:hAnsi="Times New Roman" w:cs="Times New Roman"/>
          <w:sz w:val="24"/>
          <w:szCs w:val="24"/>
          <w:lang w:val="pt-BR"/>
        </w:rPr>
        <w:t xml:space="preserve"> (HS)</w:t>
      </w:r>
      <w:r w:rsidR="00D058C8" w:rsidRPr="0014716E">
        <w:rPr>
          <w:rFonts w:ascii="Times New Roman" w:hAnsi="Times New Roman" w:cs="Times New Roman"/>
          <w:sz w:val="24"/>
          <w:szCs w:val="24"/>
          <w:lang w:val="pt-BR"/>
        </w:rPr>
        <w:t xml:space="preserve"> para tod</w:t>
      </w:r>
      <w:r w:rsidR="00F40491" w:rsidRPr="0014716E">
        <w:rPr>
          <w:rFonts w:ascii="Times New Roman" w:hAnsi="Times New Roman" w:cs="Times New Roman"/>
          <w:sz w:val="24"/>
          <w:szCs w:val="24"/>
          <w:lang w:val="pt-BR"/>
        </w:rPr>
        <w:t>o</w:t>
      </w:r>
      <w:r w:rsidR="00D058C8" w:rsidRPr="0014716E">
        <w:rPr>
          <w:rFonts w:ascii="Times New Roman" w:hAnsi="Times New Roman" w:cs="Times New Roman"/>
          <w:sz w:val="24"/>
          <w:szCs w:val="24"/>
          <w:lang w:val="pt-BR"/>
        </w:rPr>
        <w:t xml:space="preserve">s os países </w:t>
      </w:r>
      <w:r w:rsidR="00F40491" w:rsidRPr="0014716E">
        <w:rPr>
          <w:rFonts w:ascii="Times New Roman" w:hAnsi="Times New Roman" w:cs="Times New Roman"/>
          <w:sz w:val="24"/>
          <w:szCs w:val="24"/>
          <w:lang w:val="pt-BR"/>
        </w:rPr>
        <w:t xml:space="preserve">que reportam estes dados </w:t>
      </w:r>
      <w:r w:rsidR="00D058C8" w:rsidRPr="0014716E">
        <w:rPr>
          <w:rFonts w:ascii="Times New Roman" w:hAnsi="Times New Roman" w:cs="Times New Roman"/>
          <w:sz w:val="24"/>
          <w:szCs w:val="24"/>
          <w:lang w:val="pt-BR"/>
        </w:rPr>
        <w:t>desde 1988</w:t>
      </w:r>
      <w:r w:rsidR="00EB630E" w:rsidRPr="0014716E">
        <w:rPr>
          <w:rFonts w:ascii="Times New Roman" w:hAnsi="Times New Roman" w:cs="Times New Roman"/>
          <w:sz w:val="24"/>
          <w:szCs w:val="24"/>
          <w:lang w:val="pt-BR"/>
        </w:rPr>
        <w:t xml:space="preserve">. </w:t>
      </w:r>
    </w:p>
    <w:p w14:paraId="62FC82D0" w14:textId="77879342" w:rsidR="00F40491" w:rsidRPr="0014716E" w:rsidRDefault="004F5401" w:rsidP="008B0E7D">
      <w:pPr>
        <w:spacing w:after="0" w:line="360" w:lineRule="auto"/>
        <w:ind w:firstLine="567"/>
        <w:jc w:val="both"/>
        <w:rPr>
          <w:rFonts w:ascii="Times New Roman" w:hAnsi="Times New Roman" w:cs="Times New Roman"/>
          <w:sz w:val="24"/>
          <w:szCs w:val="24"/>
          <w:lang w:val="pt-BR"/>
        </w:rPr>
      </w:pPr>
      <w:r w:rsidRPr="0014716E">
        <w:rPr>
          <w:rFonts w:ascii="Times New Roman" w:hAnsi="Times New Roman" w:cs="Times New Roman"/>
          <w:sz w:val="24"/>
          <w:szCs w:val="24"/>
          <w:lang w:val="pt-BR"/>
        </w:rPr>
        <w:t xml:space="preserve">O novo desafio consistiu em selecionar bens cujos valores do comércio internacional dependem em grande parte dos </w:t>
      </w:r>
      <w:r w:rsidR="005A7DD6" w:rsidRPr="0014716E">
        <w:rPr>
          <w:rFonts w:ascii="Times New Roman" w:hAnsi="Times New Roman" w:cs="Times New Roman"/>
          <w:sz w:val="24"/>
          <w:szCs w:val="24"/>
          <w:lang w:val="pt-BR"/>
        </w:rPr>
        <w:t>direitos</w:t>
      </w:r>
      <w:r w:rsidRPr="0014716E">
        <w:rPr>
          <w:rFonts w:ascii="Times New Roman" w:hAnsi="Times New Roman" w:cs="Times New Roman"/>
          <w:sz w:val="24"/>
          <w:szCs w:val="24"/>
          <w:lang w:val="pt-BR"/>
        </w:rPr>
        <w:t xml:space="preserve"> de prop</w:t>
      </w:r>
      <w:r w:rsidR="005A7DD6" w:rsidRPr="0014716E">
        <w:rPr>
          <w:rFonts w:ascii="Times New Roman" w:hAnsi="Times New Roman" w:cs="Times New Roman"/>
          <w:sz w:val="24"/>
          <w:szCs w:val="24"/>
          <w:lang w:val="pt-BR"/>
        </w:rPr>
        <w:t>r</w:t>
      </w:r>
      <w:r w:rsidR="00F40491" w:rsidRPr="0014716E">
        <w:rPr>
          <w:rFonts w:ascii="Times New Roman" w:hAnsi="Times New Roman" w:cs="Times New Roman"/>
          <w:sz w:val="24"/>
          <w:szCs w:val="24"/>
          <w:lang w:val="pt-BR"/>
        </w:rPr>
        <w:t xml:space="preserve">iedade intelectual, ou seja, bens cujos valores </w:t>
      </w:r>
      <w:r w:rsidR="007A5834" w:rsidRPr="0014716E">
        <w:rPr>
          <w:rFonts w:ascii="Times New Roman" w:hAnsi="Times New Roman" w:cs="Times New Roman"/>
          <w:sz w:val="24"/>
          <w:szCs w:val="24"/>
          <w:lang w:val="pt-BR"/>
        </w:rPr>
        <w:t xml:space="preserve">se relacionam muito menos </w:t>
      </w:r>
      <w:r w:rsidR="00F40491" w:rsidRPr="0014716E">
        <w:rPr>
          <w:rFonts w:ascii="Times New Roman" w:hAnsi="Times New Roman" w:cs="Times New Roman"/>
          <w:sz w:val="24"/>
          <w:szCs w:val="24"/>
          <w:lang w:val="pt-BR"/>
        </w:rPr>
        <w:t xml:space="preserve">aos custos </w:t>
      </w:r>
      <w:r w:rsidR="007A5834" w:rsidRPr="0014716E">
        <w:rPr>
          <w:rFonts w:ascii="Times New Roman" w:hAnsi="Times New Roman" w:cs="Times New Roman"/>
          <w:sz w:val="24"/>
          <w:szCs w:val="24"/>
          <w:lang w:val="pt-BR"/>
        </w:rPr>
        <w:t xml:space="preserve">diretos </w:t>
      </w:r>
      <w:r w:rsidR="00F40491" w:rsidRPr="0014716E">
        <w:rPr>
          <w:rFonts w:ascii="Times New Roman" w:hAnsi="Times New Roman" w:cs="Times New Roman"/>
          <w:sz w:val="24"/>
          <w:szCs w:val="24"/>
          <w:lang w:val="pt-BR"/>
        </w:rPr>
        <w:t xml:space="preserve">de fabricação </w:t>
      </w:r>
      <w:r w:rsidR="007A5834" w:rsidRPr="0014716E">
        <w:rPr>
          <w:rFonts w:ascii="Times New Roman" w:hAnsi="Times New Roman" w:cs="Times New Roman"/>
          <w:sz w:val="24"/>
          <w:szCs w:val="24"/>
          <w:lang w:val="pt-BR"/>
        </w:rPr>
        <w:t xml:space="preserve">e muito </w:t>
      </w:r>
      <w:r w:rsidR="00DF2A15">
        <w:rPr>
          <w:rFonts w:ascii="Times New Roman" w:hAnsi="Times New Roman" w:cs="Times New Roman"/>
          <w:sz w:val="24"/>
          <w:szCs w:val="24"/>
          <w:lang w:val="pt-BR"/>
        </w:rPr>
        <w:t>mais</w:t>
      </w:r>
      <w:r w:rsidR="007A5834" w:rsidRPr="0014716E">
        <w:rPr>
          <w:rFonts w:ascii="Times New Roman" w:hAnsi="Times New Roman" w:cs="Times New Roman"/>
          <w:sz w:val="24"/>
          <w:szCs w:val="24"/>
          <w:lang w:val="pt-BR"/>
        </w:rPr>
        <w:t xml:space="preserve"> </w:t>
      </w:r>
      <w:r w:rsidR="00F40491" w:rsidRPr="0014716E">
        <w:rPr>
          <w:rFonts w:ascii="Times New Roman" w:hAnsi="Times New Roman" w:cs="Times New Roman"/>
          <w:sz w:val="24"/>
          <w:szCs w:val="24"/>
          <w:lang w:val="pt-BR"/>
        </w:rPr>
        <w:t xml:space="preserve">aos custos de pesquisa e desenvolvimento, </w:t>
      </w:r>
      <w:r w:rsidR="007A5834" w:rsidRPr="0014716E">
        <w:rPr>
          <w:rFonts w:ascii="Times New Roman" w:hAnsi="Times New Roman" w:cs="Times New Roman"/>
          <w:sz w:val="24"/>
          <w:szCs w:val="24"/>
          <w:lang w:val="pt-BR"/>
        </w:rPr>
        <w:t>marketing, entre outros</w:t>
      </w:r>
      <w:r w:rsidR="00F40491" w:rsidRPr="0014716E">
        <w:rPr>
          <w:rFonts w:ascii="Times New Roman" w:hAnsi="Times New Roman" w:cs="Times New Roman"/>
          <w:sz w:val="24"/>
          <w:szCs w:val="24"/>
          <w:lang w:val="pt-BR"/>
        </w:rPr>
        <w:t xml:space="preserve"> e que são assegurados por patentes, marcas, direitos autorais, ou outros tipos de direitos de propriedade intelectual. </w:t>
      </w:r>
    </w:p>
    <w:p w14:paraId="65839A3E" w14:textId="11CD9CDA" w:rsidR="007A5834" w:rsidRPr="0014716E" w:rsidRDefault="00F40491" w:rsidP="008B0E7D">
      <w:pPr>
        <w:spacing w:after="0" w:line="360" w:lineRule="auto"/>
        <w:ind w:firstLine="567"/>
        <w:jc w:val="both"/>
        <w:rPr>
          <w:rFonts w:ascii="Times New Roman" w:hAnsi="Times New Roman" w:cs="Times New Roman"/>
          <w:sz w:val="24"/>
          <w:szCs w:val="24"/>
          <w:lang w:val="pt-BR"/>
        </w:rPr>
      </w:pPr>
      <w:r w:rsidRPr="0014716E">
        <w:rPr>
          <w:rFonts w:ascii="Times New Roman" w:hAnsi="Times New Roman" w:cs="Times New Roman"/>
          <w:sz w:val="24"/>
          <w:szCs w:val="24"/>
          <w:lang w:val="pt-BR"/>
        </w:rPr>
        <w:t>Com o objetivo de tornar esta abordagem não muito ampla e exequível</w:t>
      </w:r>
      <w:r w:rsidR="00093B2C">
        <w:rPr>
          <w:rFonts w:ascii="Times New Roman" w:hAnsi="Times New Roman" w:cs="Times New Roman"/>
          <w:sz w:val="24"/>
          <w:szCs w:val="24"/>
          <w:lang w:val="pt-BR"/>
        </w:rPr>
        <w:t xml:space="preserve"> </w:t>
      </w:r>
      <w:r w:rsidR="00B32803">
        <w:rPr>
          <w:rFonts w:ascii="Times New Roman" w:hAnsi="Times New Roman" w:cs="Times New Roman"/>
          <w:sz w:val="24"/>
          <w:szCs w:val="24"/>
          <w:lang w:val="pt-BR"/>
        </w:rPr>
        <w:t xml:space="preserve">no período da pesquisa </w:t>
      </w:r>
      <w:r w:rsidR="00093B2C">
        <w:rPr>
          <w:rFonts w:ascii="Times New Roman" w:hAnsi="Times New Roman" w:cs="Times New Roman"/>
          <w:sz w:val="24"/>
          <w:szCs w:val="24"/>
          <w:lang w:val="pt-BR"/>
        </w:rPr>
        <w:t>e</w:t>
      </w:r>
      <w:r w:rsidR="00093B2C" w:rsidRPr="0014716E">
        <w:rPr>
          <w:rFonts w:ascii="Times New Roman" w:hAnsi="Times New Roman" w:cs="Times New Roman"/>
          <w:sz w:val="24"/>
          <w:szCs w:val="24"/>
          <w:lang w:val="pt-BR"/>
        </w:rPr>
        <w:t xml:space="preserve"> pela facilidade de se </w:t>
      </w:r>
      <w:r w:rsidR="00093B2C">
        <w:rPr>
          <w:rFonts w:ascii="Times New Roman" w:hAnsi="Times New Roman" w:cs="Times New Roman"/>
          <w:sz w:val="24"/>
          <w:szCs w:val="24"/>
          <w:lang w:val="pt-BR"/>
        </w:rPr>
        <w:t xml:space="preserve">construir uma </w:t>
      </w:r>
      <w:r w:rsidR="00093B2C" w:rsidRPr="0014716E">
        <w:rPr>
          <w:rFonts w:ascii="Times New Roman" w:hAnsi="Times New Roman" w:cs="Times New Roman"/>
          <w:sz w:val="24"/>
          <w:szCs w:val="24"/>
          <w:lang w:val="pt-BR"/>
        </w:rPr>
        <w:t>justifica</w:t>
      </w:r>
      <w:r w:rsidR="00093B2C">
        <w:rPr>
          <w:rFonts w:ascii="Times New Roman" w:hAnsi="Times New Roman" w:cs="Times New Roman"/>
          <w:sz w:val="24"/>
          <w:szCs w:val="24"/>
          <w:lang w:val="pt-BR"/>
        </w:rPr>
        <w:t>tiva plausível,</w:t>
      </w:r>
      <w:r w:rsidR="00093B2C" w:rsidRPr="0014716E">
        <w:rPr>
          <w:rFonts w:ascii="Times New Roman" w:hAnsi="Times New Roman" w:cs="Times New Roman"/>
          <w:sz w:val="24"/>
          <w:szCs w:val="24"/>
          <w:lang w:val="pt-BR"/>
        </w:rPr>
        <w:t xml:space="preserve"> </w:t>
      </w:r>
      <w:r w:rsidR="00093B2C">
        <w:rPr>
          <w:rFonts w:ascii="Times New Roman" w:hAnsi="Times New Roman" w:cs="Times New Roman"/>
          <w:sz w:val="24"/>
          <w:szCs w:val="24"/>
          <w:lang w:val="pt-BR"/>
        </w:rPr>
        <w:t xml:space="preserve">utilizamos como </w:t>
      </w:r>
      <w:proofErr w:type="gramStart"/>
      <w:r w:rsidR="007A5834" w:rsidRPr="00093B2C">
        <w:rPr>
          <w:rFonts w:ascii="Times New Roman" w:hAnsi="Times New Roman" w:cs="Times New Roman"/>
          <w:i/>
          <w:sz w:val="24"/>
          <w:szCs w:val="24"/>
          <w:lang w:val="pt-BR"/>
        </w:rPr>
        <w:t>proxy</w:t>
      </w:r>
      <w:proofErr w:type="gramEnd"/>
      <w:r w:rsidR="007A5834" w:rsidRPr="0014716E">
        <w:rPr>
          <w:rFonts w:ascii="Times New Roman" w:hAnsi="Times New Roman" w:cs="Times New Roman"/>
          <w:sz w:val="24"/>
          <w:szCs w:val="24"/>
          <w:lang w:val="pt-BR"/>
        </w:rPr>
        <w:t xml:space="preserve"> para o comércio de </w:t>
      </w:r>
      <w:r w:rsidR="00581D6F">
        <w:rPr>
          <w:rFonts w:ascii="Times New Roman" w:hAnsi="Times New Roman" w:cs="Times New Roman"/>
          <w:sz w:val="24"/>
          <w:szCs w:val="24"/>
          <w:lang w:val="pt-BR"/>
        </w:rPr>
        <w:t>bens</w:t>
      </w:r>
      <w:r w:rsidR="007A5834" w:rsidRPr="0014716E">
        <w:rPr>
          <w:rFonts w:ascii="Times New Roman" w:hAnsi="Times New Roman" w:cs="Times New Roman"/>
          <w:sz w:val="24"/>
          <w:szCs w:val="24"/>
          <w:lang w:val="pt-BR"/>
        </w:rPr>
        <w:t xml:space="preserve"> tangíveis </w:t>
      </w:r>
      <w:r w:rsidR="00093B2C" w:rsidRPr="0014716E">
        <w:rPr>
          <w:rFonts w:ascii="Times New Roman" w:hAnsi="Times New Roman" w:cs="Times New Roman"/>
          <w:sz w:val="24"/>
          <w:szCs w:val="24"/>
          <w:lang w:val="pt-BR"/>
        </w:rPr>
        <w:t xml:space="preserve">apenas os dados relacionados ao comércio de “produtos </w:t>
      </w:r>
      <w:r w:rsidR="00722D73" w:rsidRPr="0014716E">
        <w:rPr>
          <w:rFonts w:ascii="Times New Roman" w:hAnsi="Times New Roman" w:cs="Times New Roman"/>
          <w:sz w:val="24"/>
          <w:szCs w:val="24"/>
          <w:lang w:val="pt-BR"/>
        </w:rPr>
        <w:t>farmacêuticos</w:t>
      </w:r>
      <w:r w:rsidR="00093B2C" w:rsidRPr="0014716E">
        <w:rPr>
          <w:rFonts w:ascii="Times New Roman" w:hAnsi="Times New Roman" w:cs="Times New Roman"/>
          <w:sz w:val="24"/>
          <w:szCs w:val="24"/>
          <w:lang w:val="pt-BR"/>
        </w:rPr>
        <w:t xml:space="preserve">”, grupo número 30 do </w:t>
      </w:r>
      <w:proofErr w:type="spellStart"/>
      <w:r w:rsidR="00093B2C" w:rsidRPr="0014716E">
        <w:rPr>
          <w:rFonts w:ascii="Times New Roman" w:hAnsi="Times New Roman" w:cs="Times New Roman"/>
          <w:i/>
          <w:sz w:val="24"/>
          <w:szCs w:val="24"/>
          <w:lang w:val="pt-BR"/>
        </w:rPr>
        <w:t>Harmonized</w:t>
      </w:r>
      <w:proofErr w:type="spellEnd"/>
      <w:r w:rsidR="00093B2C" w:rsidRPr="0014716E">
        <w:rPr>
          <w:rFonts w:ascii="Times New Roman" w:hAnsi="Times New Roman" w:cs="Times New Roman"/>
          <w:i/>
          <w:sz w:val="24"/>
          <w:szCs w:val="24"/>
          <w:lang w:val="pt-BR"/>
        </w:rPr>
        <w:t xml:space="preserve"> System</w:t>
      </w:r>
      <w:r w:rsidR="00093B2C">
        <w:rPr>
          <w:rFonts w:ascii="Times New Roman" w:hAnsi="Times New Roman" w:cs="Times New Roman"/>
          <w:sz w:val="24"/>
          <w:szCs w:val="24"/>
          <w:lang w:val="pt-BR"/>
        </w:rPr>
        <w:t xml:space="preserve">, </w:t>
      </w:r>
      <w:r w:rsidR="00B32803">
        <w:rPr>
          <w:rFonts w:ascii="Times New Roman" w:hAnsi="Times New Roman" w:cs="Times New Roman"/>
          <w:sz w:val="24"/>
          <w:szCs w:val="24"/>
          <w:lang w:val="pt-BR"/>
        </w:rPr>
        <w:t xml:space="preserve">que é </w:t>
      </w:r>
      <w:r w:rsidR="00093B2C">
        <w:rPr>
          <w:rFonts w:ascii="Times New Roman" w:hAnsi="Times New Roman" w:cs="Times New Roman"/>
          <w:sz w:val="24"/>
          <w:szCs w:val="24"/>
          <w:lang w:val="pt-BR"/>
        </w:rPr>
        <w:t>um</w:t>
      </w:r>
      <w:r w:rsidR="00093B2C" w:rsidRPr="00093B2C">
        <w:rPr>
          <w:rFonts w:ascii="Times New Roman" w:hAnsi="Times New Roman" w:cs="Times New Roman"/>
          <w:sz w:val="24"/>
          <w:szCs w:val="24"/>
          <w:lang w:val="pt-BR"/>
        </w:rPr>
        <w:t xml:space="preserve"> </w:t>
      </w:r>
      <w:r w:rsidR="00093B2C" w:rsidRPr="0014716E">
        <w:rPr>
          <w:rFonts w:ascii="Times New Roman" w:hAnsi="Times New Roman" w:cs="Times New Roman"/>
          <w:sz w:val="24"/>
          <w:szCs w:val="24"/>
          <w:lang w:val="pt-BR"/>
        </w:rPr>
        <w:t>entre os 99 tipos de bens tangíveis</w:t>
      </w:r>
      <w:r w:rsidR="00093B2C">
        <w:rPr>
          <w:rFonts w:ascii="Times New Roman" w:hAnsi="Times New Roman" w:cs="Times New Roman"/>
          <w:sz w:val="24"/>
          <w:szCs w:val="24"/>
          <w:lang w:val="pt-BR"/>
        </w:rPr>
        <w:t xml:space="preserve"> disponíveis nessa base. </w:t>
      </w:r>
    </w:p>
    <w:p w14:paraId="1EFBC73B" w14:textId="2B401CB0" w:rsidR="0016597A" w:rsidRPr="0014716E" w:rsidRDefault="007A5834" w:rsidP="008B0E7D">
      <w:pPr>
        <w:spacing w:after="0" w:line="360" w:lineRule="auto"/>
        <w:ind w:firstLine="567"/>
        <w:jc w:val="both"/>
        <w:rPr>
          <w:rFonts w:ascii="Times New Roman" w:hAnsi="Times New Roman" w:cs="Times New Roman"/>
          <w:sz w:val="24"/>
          <w:szCs w:val="24"/>
          <w:lang w:val="pt-BR"/>
        </w:rPr>
      </w:pPr>
      <w:r w:rsidRPr="0014716E">
        <w:rPr>
          <w:rFonts w:ascii="Times New Roman" w:hAnsi="Times New Roman" w:cs="Times New Roman"/>
          <w:sz w:val="24"/>
          <w:szCs w:val="24"/>
          <w:lang w:val="pt-BR"/>
        </w:rPr>
        <w:t>A justificativa desta escolha também foi fruto de uma ampla pesquisa</w:t>
      </w:r>
      <w:r w:rsidR="00DF2A15">
        <w:rPr>
          <w:rFonts w:ascii="Times New Roman" w:hAnsi="Times New Roman" w:cs="Times New Roman"/>
          <w:sz w:val="24"/>
          <w:szCs w:val="24"/>
          <w:lang w:val="pt-BR"/>
        </w:rPr>
        <w:t xml:space="preserve"> e consta como parte do</w:t>
      </w:r>
      <w:r w:rsidR="00722D73">
        <w:rPr>
          <w:rFonts w:ascii="Times New Roman" w:hAnsi="Times New Roman" w:cs="Times New Roman"/>
          <w:sz w:val="24"/>
          <w:szCs w:val="24"/>
          <w:lang w:val="pt-BR"/>
        </w:rPr>
        <w:t xml:space="preserve"> primeiro</w:t>
      </w:r>
      <w:r w:rsidR="00DF2A15">
        <w:rPr>
          <w:rFonts w:ascii="Times New Roman" w:hAnsi="Times New Roman" w:cs="Times New Roman"/>
          <w:sz w:val="24"/>
          <w:szCs w:val="24"/>
          <w:lang w:val="pt-BR"/>
        </w:rPr>
        <w:t xml:space="preserve"> </w:t>
      </w:r>
      <w:bookmarkStart w:id="2" w:name="_Hlk528060018"/>
      <w:proofErr w:type="spellStart"/>
      <w:r w:rsidR="00DF2A15" w:rsidRPr="00093B2C">
        <w:rPr>
          <w:rFonts w:ascii="Times New Roman" w:hAnsi="Times New Roman" w:cs="Times New Roman"/>
          <w:i/>
          <w:sz w:val="24"/>
          <w:szCs w:val="24"/>
          <w:lang w:val="pt-BR"/>
        </w:rPr>
        <w:t>working</w:t>
      </w:r>
      <w:proofErr w:type="spellEnd"/>
      <w:r w:rsidR="00DF2A15" w:rsidRPr="00093B2C">
        <w:rPr>
          <w:rFonts w:ascii="Times New Roman" w:hAnsi="Times New Roman" w:cs="Times New Roman"/>
          <w:i/>
          <w:sz w:val="24"/>
          <w:szCs w:val="24"/>
          <w:lang w:val="pt-BR"/>
        </w:rPr>
        <w:t xml:space="preserve"> </w:t>
      </w:r>
      <w:proofErr w:type="spellStart"/>
      <w:r w:rsidR="00DF2A15" w:rsidRPr="00093B2C">
        <w:rPr>
          <w:rFonts w:ascii="Times New Roman" w:hAnsi="Times New Roman" w:cs="Times New Roman"/>
          <w:i/>
          <w:sz w:val="24"/>
          <w:szCs w:val="24"/>
          <w:lang w:val="pt-BR"/>
        </w:rPr>
        <w:t>paper</w:t>
      </w:r>
      <w:proofErr w:type="spellEnd"/>
      <w:r w:rsidR="00B32803">
        <w:rPr>
          <w:rStyle w:val="Refdenotaderodap"/>
          <w:rFonts w:ascii="Times New Roman" w:hAnsi="Times New Roman" w:cs="Times New Roman"/>
          <w:i/>
          <w:sz w:val="24"/>
          <w:szCs w:val="24"/>
          <w:lang w:val="pt-BR"/>
        </w:rPr>
        <w:footnoteReference w:id="5"/>
      </w:r>
      <w:r w:rsidR="00DF2A15">
        <w:rPr>
          <w:rFonts w:ascii="Times New Roman" w:hAnsi="Times New Roman" w:cs="Times New Roman"/>
          <w:sz w:val="24"/>
          <w:szCs w:val="24"/>
          <w:lang w:val="pt-BR"/>
        </w:rPr>
        <w:t xml:space="preserve"> desenvolvido ao final deste período de pesquisa</w:t>
      </w:r>
      <w:r w:rsidR="00C2207B">
        <w:rPr>
          <w:rFonts w:ascii="Times New Roman" w:hAnsi="Times New Roman" w:cs="Times New Roman"/>
          <w:sz w:val="24"/>
          <w:szCs w:val="24"/>
          <w:lang w:val="pt-BR"/>
        </w:rPr>
        <w:t xml:space="preserve"> </w:t>
      </w:r>
      <w:bookmarkEnd w:id="2"/>
      <w:r w:rsidR="00C2207B">
        <w:rPr>
          <w:rFonts w:ascii="Times New Roman" w:hAnsi="Times New Roman" w:cs="Times New Roman"/>
          <w:sz w:val="24"/>
          <w:szCs w:val="24"/>
          <w:lang w:val="pt-BR"/>
        </w:rPr>
        <w:t>(</w:t>
      </w:r>
      <w:r w:rsidR="00C2207B" w:rsidRPr="00C2207B">
        <w:rPr>
          <w:rFonts w:ascii="Times New Roman" w:hAnsi="Times New Roman" w:cs="Times New Roman"/>
          <w:b/>
          <w:sz w:val="24"/>
          <w:szCs w:val="24"/>
          <w:lang w:val="pt-BR"/>
        </w:rPr>
        <w:t xml:space="preserve">anexo </w:t>
      </w:r>
      <w:proofErr w:type="gramStart"/>
      <w:r w:rsidR="00C2207B" w:rsidRPr="00C2207B">
        <w:rPr>
          <w:rFonts w:ascii="Times New Roman" w:hAnsi="Times New Roman" w:cs="Times New Roman"/>
          <w:b/>
          <w:sz w:val="24"/>
          <w:szCs w:val="24"/>
          <w:lang w:val="pt-BR"/>
        </w:rPr>
        <w:t>2</w:t>
      </w:r>
      <w:proofErr w:type="gramEnd"/>
      <w:r w:rsidR="00C2207B">
        <w:rPr>
          <w:rFonts w:ascii="Times New Roman" w:hAnsi="Times New Roman" w:cs="Times New Roman"/>
          <w:sz w:val="24"/>
          <w:szCs w:val="24"/>
          <w:lang w:val="pt-BR"/>
        </w:rPr>
        <w:t>)</w:t>
      </w:r>
      <w:r w:rsidRPr="0014716E">
        <w:rPr>
          <w:rFonts w:ascii="Times New Roman" w:hAnsi="Times New Roman" w:cs="Times New Roman"/>
          <w:sz w:val="24"/>
          <w:szCs w:val="24"/>
          <w:lang w:val="pt-BR"/>
        </w:rPr>
        <w:t xml:space="preserve">. De forma resumida, a maior parte do comércio de produtos farmacêuticos </w:t>
      </w:r>
      <w:r w:rsidR="00093B2C">
        <w:rPr>
          <w:rFonts w:ascii="Times New Roman" w:hAnsi="Times New Roman" w:cs="Times New Roman"/>
          <w:sz w:val="24"/>
          <w:szCs w:val="24"/>
          <w:lang w:val="pt-BR"/>
        </w:rPr>
        <w:t>(</w:t>
      </w:r>
      <w:proofErr w:type="spellStart"/>
      <w:r w:rsidRPr="0014716E">
        <w:rPr>
          <w:rFonts w:ascii="Times New Roman" w:hAnsi="Times New Roman" w:cs="Times New Roman"/>
          <w:i/>
          <w:sz w:val="24"/>
          <w:szCs w:val="24"/>
          <w:lang w:val="pt-BR"/>
        </w:rPr>
        <w:t>pharmaceutical</w:t>
      </w:r>
      <w:proofErr w:type="spellEnd"/>
      <w:r w:rsidRPr="0014716E">
        <w:rPr>
          <w:rFonts w:ascii="Times New Roman" w:hAnsi="Times New Roman" w:cs="Times New Roman"/>
          <w:i/>
          <w:sz w:val="24"/>
          <w:szCs w:val="24"/>
          <w:lang w:val="pt-BR"/>
        </w:rPr>
        <w:t xml:space="preserve"> </w:t>
      </w:r>
      <w:proofErr w:type="spellStart"/>
      <w:r w:rsidRPr="0014716E">
        <w:rPr>
          <w:rFonts w:ascii="Times New Roman" w:hAnsi="Times New Roman" w:cs="Times New Roman"/>
          <w:i/>
          <w:sz w:val="24"/>
          <w:szCs w:val="24"/>
          <w:lang w:val="pt-BR"/>
        </w:rPr>
        <w:t>products</w:t>
      </w:r>
      <w:proofErr w:type="spellEnd"/>
      <w:r w:rsidR="00093B2C">
        <w:rPr>
          <w:rFonts w:ascii="Times New Roman" w:hAnsi="Times New Roman" w:cs="Times New Roman"/>
          <w:sz w:val="24"/>
          <w:szCs w:val="24"/>
          <w:lang w:val="pt-BR"/>
        </w:rPr>
        <w:t>)</w:t>
      </w:r>
      <w:r w:rsidRPr="0014716E">
        <w:rPr>
          <w:rFonts w:ascii="Times New Roman" w:hAnsi="Times New Roman" w:cs="Times New Roman"/>
          <w:i/>
          <w:sz w:val="24"/>
          <w:szCs w:val="24"/>
          <w:lang w:val="pt-BR"/>
        </w:rPr>
        <w:t xml:space="preserve"> </w:t>
      </w:r>
      <w:r w:rsidRPr="0014716E">
        <w:rPr>
          <w:rFonts w:ascii="Times New Roman" w:hAnsi="Times New Roman" w:cs="Times New Roman"/>
          <w:sz w:val="24"/>
          <w:szCs w:val="24"/>
          <w:lang w:val="pt-BR"/>
        </w:rPr>
        <w:t>consiste em medicamentos de marca (</w:t>
      </w:r>
      <w:proofErr w:type="spellStart"/>
      <w:r w:rsidRPr="0014716E">
        <w:rPr>
          <w:rFonts w:ascii="Times New Roman" w:hAnsi="Times New Roman" w:cs="Times New Roman"/>
          <w:i/>
          <w:sz w:val="24"/>
          <w:szCs w:val="24"/>
          <w:lang w:val="pt-BR"/>
        </w:rPr>
        <w:t>branded</w:t>
      </w:r>
      <w:proofErr w:type="spellEnd"/>
      <w:r w:rsidRPr="0014716E">
        <w:rPr>
          <w:rFonts w:ascii="Times New Roman" w:hAnsi="Times New Roman" w:cs="Times New Roman"/>
          <w:i/>
          <w:sz w:val="24"/>
          <w:szCs w:val="24"/>
          <w:lang w:val="pt-BR"/>
        </w:rPr>
        <w:t xml:space="preserve"> </w:t>
      </w:r>
      <w:proofErr w:type="spellStart"/>
      <w:r w:rsidRPr="0014716E">
        <w:rPr>
          <w:rFonts w:ascii="Times New Roman" w:hAnsi="Times New Roman" w:cs="Times New Roman"/>
          <w:i/>
          <w:sz w:val="24"/>
          <w:szCs w:val="24"/>
          <w:lang w:val="pt-BR"/>
        </w:rPr>
        <w:t>dugs</w:t>
      </w:r>
      <w:proofErr w:type="spellEnd"/>
      <w:r w:rsidRPr="0014716E">
        <w:rPr>
          <w:rFonts w:ascii="Times New Roman" w:hAnsi="Times New Roman" w:cs="Times New Roman"/>
          <w:sz w:val="24"/>
          <w:szCs w:val="24"/>
          <w:lang w:val="pt-BR"/>
        </w:rPr>
        <w:t>), já que apenas 11% da receita da venda de drogas prescritas no mercado mundial (mercados internos e externos) consistem em medicamentos genéricos.</w:t>
      </w:r>
      <w:r w:rsidR="004F5401" w:rsidRPr="0014716E">
        <w:rPr>
          <w:rStyle w:val="Refdenotaderodap"/>
          <w:rFonts w:ascii="Times New Roman" w:hAnsi="Times New Roman" w:cs="Times New Roman"/>
          <w:sz w:val="24"/>
          <w:szCs w:val="24"/>
          <w:lang w:val="en-US"/>
        </w:rPr>
        <w:footnoteReference w:id="6"/>
      </w:r>
      <w:r w:rsidRPr="0014716E">
        <w:rPr>
          <w:rFonts w:ascii="Times New Roman" w:hAnsi="Times New Roman" w:cs="Times New Roman"/>
          <w:sz w:val="24"/>
          <w:szCs w:val="24"/>
          <w:lang w:val="pt-BR"/>
        </w:rPr>
        <w:t xml:space="preserve"> Outra evidencia da influência das patentes no valor dos fármacos é dada pelo artigo de </w:t>
      </w:r>
      <w:proofErr w:type="spellStart"/>
      <w:r w:rsidR="004F5401" w:rsidRPr="0014716E">
        <w:rPr>
          <w:rFonts w:ascii="Times New Roman" w:hAnsi="Times New Roman" w:cs="Times New Roman"/>
          <w:sz w:val="24"/>
          <w:szCs w:val="24"/>
          <w:lang w:val="pt-BR"/>
        </w:rPr>
        <w:t>Basu</w:t>
      </w:r>
      <w:proofErr w:type="spellEnd"/>
      <w:r w:rsidR="004F5401" w:rsidRPr="0014716E">
        <w:rPr>
          <w:rFonts w:ascii="Times New Roman" w:hAnsi="Times New Roman" w:cs="Times New Roman"/>
          <w:sz w:val="24"/>
          <w:szCs w:val="24"/>
          <w:lang w:val="pt-BR"/>
        </w:rPr>
        <w:t xml:space="preserve"> </w:t>
      </w:r>
      <w:proofErr w:type="gramStart"/>
      <w:r w:rsidR="004F5401" w:rsidRPr="0014716E">
        <w:rPr>
          <w:rFonts w:ascii="Times New Roman" w:hAnsi="Times New Roman" w:cs="Times New Roman"/>
          <w:sz w:val="24"/>
          <w:szCs w:val="24"/>
          <w:lang w:val="pt-BR"/>
        </w:rPr>
        <w:t>et</w:t>
      </w:r>
      <w:proofErr w:type="gramEnd"/>
      <w:r w:rsidR="004F5401" w:rsidRPr="0014716E">
        <w:rPr>
          <w:rFonts w:ascii="Times New Roman" w:hAnsi="Times New Roman" w:cs="Times New Roman"/>
          <w:sz w:val="24"/>
          <w:szCs w:val="24"/>
          <w:lang w:val="pt-BR"/>
        </w:rPr>
        <w:t xml:space="preserve"> al. (2008)</w:t>
      </w:r>
      <w:r w:rsidRPr="0014716E">
        <w:rPr>
          <w:rFonts w:ascii="Times New Roman" w:hAnsi="Times New Roman" w:cs="Times New Roman"/>
          <w:sz w:val="24"/>
          <w:szCs w:val="24"/>
          <w:lang w:val="pt-BR"/>
        </w:rPr>
        <w:t xml:space="preserve">, esta pesquisa mostra que as empresas que produzem medicamentos genéricos </w:t>
      </w:r>
      <w:r w:rsidR="0016597A" w:rsidRPr="0014716E">
        <w:rPr>
          <w:rFonts w:ascii="Times New Roman" w:hAnsi="Times New Roman" w:cs="Times New Roman"/>
          <w:sz w:val="24"/>
          <w:szCs w:val="24"/>
          <w:lang w:val="pt-BR"/>
        </w:rPr>
        <w:t>livres de patentes gastam mais do seu capital para manufaturar os remédios, menos em pesquisa em desenvolvimento e obtém receitas menores</w:t>
      </w:r>
      <w:r w:rsidR="00EC194B">
        <w:rPr>
          <w:rFonts w:ascii="Times New Roman" w:hAnsi="Times New Roman" w:cs="Times New Roman"/>
          <w:sz w:val="24"/>
          <w:szCs w:val="24"/>
          <w:lang w:val="pt-BR"/>
        </w:rPr>
        <w:t>,</w:t>
      </w:r>
      <w:r w:rsidR="0016597A" w:rsidRPr="0014716E">
        <w:rPr>
          <w:rFonts w:ascii="Times New Roman" w:hAnsi="Times New Roman" w:cs="Times New Roman"/>
          <w:sz w:val="24"/>
          <w:szCs w:val="24"/>
          <w:lang w:val="pt-BR"/>
        </w:rPr>
        <w:t xml:space="preserve"> em média, que suas congêneres que produzem medicamentos de marca ou </w:t>
      </w:r>
      <w:r w:rsidR="00EC194B">
        <w:rPr>
          <w:rFonts w:ascii="Times New Roman" w:hAnsi="Times New Roman" w:cs="Times New Roman"/>
          <w:sz w:val="24"/>
          <w:szCs w:val="24"/>
          <w:lang w:val="pt-BR"/>
        </w:rPr>
        <w:t xml:space="preserve">medicamentos </w:t>
      </w:r>
      <w:r w:rsidR="00EC194B">
        <w:rPr>
          <w:rFonts w:ascii="Times New Roman" w:hAnsi="Times New Roman" w:cs="Times New Roman"/>
          <w:sz w:val="24"/>
          <w:szCs w:val="24"/>
          <w:lang w:val="pt-BR"/>
        </w:rPr>
        <w:lastRenderedPageBreak/>
        <w:t>chamados “</w:t>
      </w:r>
      <w:r w:rsidR="0016597A" w:rsidRPr="0014716E">
        <w:rPr>
          <w:rFonts w:ascii="Times New Roman" w:hAnsi="Times New Roman" w:cs="Times New Roman"/>
          <w:sz w:val="24"/>
          <w:szCs w:val="24"/>
          <w:lang w:val="pt-BR"/>
        </w:rPr>
        <w:t>biotecnológicos</w:t>
      </w:r>
      <w:r w:rsidR="00EC194B">
        <w:rPr>
          <w:rFonts w:ascii="Times New Roman" w:hAnsi="Times New Roman" w:cs="Times New Roman"/>
          <w:sz w:val="24"/>
          <w:szCs w:val="24"/>
          <w:lang w:val="pt-BR"/>
        </w:rPr>
        <w:t>”</w:t>
      </w:r>
      <w:r w:rsidR="0016597A" w:rsidRPr="0014716E">
        <w:rPr>
          <w:rFonts w:ascii="Times New Roman" w:hAnsi="Times New Roman" w:cs="Times New Roman"/>
          <w:sz w:val="24"/>
          <w:szCs w:val="24"/>
          <w:lang w:val="pt-BR"/>
        </w:rPr>
        <w:t xml:space="preserve">. </w:t>
      </w:r>
      <w:r w:rsidR="00DF2A15">
        <w:rPr>
          <w:rFonts w:ascii="Times New Roman" w:hAnsi="Times New Roman" w:cs="Times New Roman"/>
          <w:sz w:val="24"/>
          <w:szCs w:val="24"/>
          <w:lang w:val="pt-BR"/>
        </w:rPr>
        <w:t>A última</w:t>
      </w:r>
      <w:r w:rsidR="0016597A" w:rsidRPr="0014716E">
        <w:rPr>
          <w:rFonts w:ascii="Times New Roman" w:hAnsi="Times New Roman" w:cs="Times New Roman"/>
          <w:sz w:val="24"/>
          <w:szCs w:val="24"/>
          <w:lang w:val="pt-BR"/>
        </w:rPr>
        <w:t xml:space="preserve"> evidência </w:t>
      </w:r>
      <w:r w:rsidR="00DF2A15">
        <w:rPr>
          <w:rFonts w:ascii="Times New Roman" w:hAnsi="Times New Roman" w:cs="Times New Roman"/>
          <w:sz w:val="24"/>
          <w:szCs w:val="24"/>
          <w:lang w:val="pt-BR"/>
        </w:rPr>
        <w:t xml:space="preserve">que elencamos para verificar se havia ou não </w:t>
      </w:r>
      <w:r w:rsidR="0016597A" w:rsidRPr="0014716E">
        <w:rPr>
          <w:rFonts w:ascii="Times New Roman" w:hAnsi="Times New Roman" w:cs="Times New Roman"/>
          <w:sz w:val="24"/>
          <w:szCs w:val="24"/>
          <w:lang w:val="pt-BR"/>
        </w:rPr>
        <w:t>infl</w:t>
      </w:r>
      <w:r w:rsidR="00DF2A15">
        <w:rPr>
          <w:rFonts w:ascii="Times New Roman" w:hAnsi="Times New Roman" w:cs="Times New Roman"/>
          <w:sz w:val="24"/>
          <w:szCs w:val="24"/>
          <w:lang w:val="pt-BR"/>
        </w:rPr>
        <w:t>u</w:t>
      </w:r>
      <w:r w:rsidR="0016597A" w:rsidRPr="0014716E">
        <w:rPr>
          <w:rFonts w:ascii="Times New Roman" w:hAnsi="Times New Roman" w:cs="Times New Roman"/>
          <w:sz w:val="24"/>
          <w:szCs w:val="24"/>
          <w:lang w:val="pt-BR"/>
        </w:rPr>
        <w:t xml:space="preserve">ência dos DPI nos valores comercializados no setor </w:t>
      </w:r>
      <w:r w:rsidR="00DF2A15">
        <w:rPr>
          <w:rFonts w:ascii="Times New Roman" w:hAnsi="Times New Roman" w:cs="Times New Roman"/>
          <w:sz w:val="24"/>
          <w:szCs w:val="24"/>
          <w:lang w:val="pt-BR"/>
        </w:rPr>
        <w:t xml:space="preserve">foram os </w:t>
      </w:r>
      <w:r w:rsidR="0016597A" w:rsidRPr="0014716E">
        <w:rPr>
          <w:rFonts w:ascii="Times New Roman" w:hAnsi="Times New Roman" w:cs="Times New Roman"/>
          <w:sz w:val="24"/>
          <w:szCs w:val="24"/>
          <w:lang w:val="pt-BR"/>
        </w:rPr>
        <w:t xml:space="preserve">casos de preços </w:t>
      </w:r>
      <w:r w:rsidR="00DF2A15">
        <w:rPr>
          <w:rFonts w:ascii="Times New Roman" w:hAnsi="Times New Roman" w:cs="Times New Roman"/>
          <w:sz w:val="24"/>
          <w:szCs w:val="24"/>
          <w:lang w:val="pt-BR"/>
        </w:rPr>
        <w:t xml:space="preserve">praticados </w:t>
      </w:r>
      <w:r w:rsidR="0016597A" w:rsidRPr="0014716E">
        <w:rPr>
          <w:rFonts w:ascii="Times New Roman" w:hAnsi="Times New Roman" w:cs="Times New Roman"/>
          <w:sz w:val="24"/>
          <w:szCs w:val="24"/>
          <w:lang w:val="pt-BR"/>
        </w:rPr>
        <w:t xml:space="preserve">para novas descobertas patenteadas. </w:t>
      </w:r>
      <w:r w:rsidR="00262213" w:rsidRPr="0014716E">
        <w:rPr>
          <w:rFonts w:ascii="Times New Roman" w:hAnsi="Times New Roman" w:cs="Times New Roman"/>
          <w:sz w:val="24"/>
          <w:szCs w:val="24"/>
          <w:lang w:val="pt-BR"/>
        </w:rPr>
        <w:t xml:space="preserve">Um exemplo é o caso das drogas recentemente descobertas para tratar </w:t>
      </w:r>
      <w:r w:rsidR="00EC194B">
        <w:rPr>
          <w:rFonts w:ascii="Times New Roman" w:hAnsi="Times New Roman" w:cs="Times New Roman"/>
          <w:sz w:val="24"/>
          <w:szCs w:val="24"/>
          <w:lang w:val="pt-BR"/>
        </w:rPr>
        <w:t xml:space="preserve">a </w:t>
      </w:r>
      <w:r w:rsidR="00262213" w:rsidRPr="0014716E">
        <w:rPr>
          <w:rFonts w:ascii="Times New Roman" w:hAnsi="Times New Roman" w:cs="Times New Roman"/>
          <w:sz w:val="24"/>
          <w:szCs w:val="24"/>
          <w:lang w:val="pt-BR"/>
        </w:rPr>
        <w:t xml:space="preserve">hepatite C. No trabalho de Hill </w:t>
      </w:r>
      <w:proofErr w:type="gramStart"/>
      <w:r w:rsidR="00262213" w:rsidRPr="0014716E">
        <w:rPr>
          <w:rFonts w:ascii="Times New Roman" w:hAnsi="Times New Roman" w:cs="Times New Roman"/>
          <w:sz w:val="24"/>
          <w:szCs w:val="24"/>
          <w:lang w:val="pt-BR"/>
        </w:rPr>
        <w:t>et</w:t>
      </w:r>
      <w:proofErr w:type="gramEnd"/>
      <w:r w:rsidR="00262213" w:rsidRPr="0014716E">
        <w:rPr>
          <w:rFonts w:ascii="Times New Roman" w:hAnsi="Times New Roman" w:cs="Times New Roman"/>
          <w:sz w:val="24"/>
          <w:szCs w:val="24"/>
          <w:lang w:val="pt-BR"/>
        </w:rPr>
        <w:t xml:space="preserve"> al. (2014, p. 933), os custos d</w:t>
      </w:r>
      <w:r w:rsidR="00EC194B">
        <w:rPr>
          <w:rFonts w:ascii="Times New Roman" w:hAnsi="Times New Roman" w:cs="Times New Roman"/>
          <w:sz w:val="24"/>
          <w:szCs w:val="24"/>
          <w:lang w:val="pt-BR"/>
        </w:rPr>
        <w:t>a</w:t>
      </w:r>
      <w:r w:rsidR="00262213" w:rsidRPr="0014716E">
        <w:rPr>
          <w:rFonts w:ascii="Times New Roman" w:hAnsi="Times New Roman" w:cs="Times New Roman"/>
          <w:sz w:val="24"/>
          <w:szCs w:val="24"/>
          <w:lang w:val="pt-BR"/>
        </w:rPr>
        <w:t xml:space="preserve"> manufatura </w:t>
      </w:r>
      <w:r w:rsidR="00EC194B">
        <w:rPr>
          <w:rFonts w:ascii="Times New Roman" w:hAnsi="Times New Roman" w:cs="Times New Roman"/>
          <w:sz w:val="24"/>
          <w:szCs w:val="24"/>
          <w:lang w:val="pt-BR"/>
        </w:rPr>
        <w:t>de</w:t>
      </w:r>
      <w:r w:rsidR="00262213" w:rsidRPr="0014716E">
        <w:rPr>
          <w:rFonts w:ascii="Times New Roman" w:hAnsi="Times New Roman" w:cs="Times New Roman"/>
          <w:sz w:val="24"/>
          <w:szCs w:val="24"/>
          <w:lang w:val="pt-BR"/>
        </w:rPr>
        <w:t xml:space="preserve">ssas drogas foram estimados entre </w:t>
      </w:r>
      <w:r w:rsidR="0016597A" w:rsidRPr="0014716E">
        <w:rPr>
          <w:rFonts w:ascii="Times New Roman" w:hAnsi="Times New Roman" w:cs="Times New Roman"/>
          <w:sz w:val="24"/>
          <w:szCs w:val="24"/>
          <w:lang w:val="pt-BR"/>
        </w:rPr>
        <w:t xml:space="preserve">US$ 78 </w:t>
      </w:r>
      <w:r w:rsidR="00262213" w:rsidRPr="0014716E">
        <w:rPr>
          <w:rFonts w:ascii="Times New Roman" w:hAnsi="Times New Roman" w:cs="Times New Roman"/>
          <w:sz w:val="24"/>
          <w:szCs w:val="24"/>
          <w:lang w:val="pt-BR"/>
        </w:rPr>
        <w:t>a</w:t>
      </w:r>
      <w:r w:rsidR="0016597A" w:rsidRPr="0014716E">
        <w:rPr>
          <w:rFonts w:ascii="Times New Roman" w:hAnsi="Times New Roman" w:cs="Times New Roman"/>
          <w:sz w:val="24"/>
          <w:szCs w:val="24"/>
          <w:lang w:val="pt-BR"/>
        </w:rPr>
        <w:t xml:space="preserve"> </w:t>
      </w:r>
      <w:r w:rsidR="00EC194B">
        <w:rPr>
          <w:rFonts w:ascii="Times New Roman" w:hAnsi="Times New Roman" w:cs="Times New Roman"/>
          <w:sz w:val="24"/>
          <w:szCs w:val="24"/>
          <w:lang w:val="pt-BR"/>
        </w:rPr>
        <w:t>US</w:t>
      </w:r>
      <w:r w:rsidR="0016597A" w:rsidRPr="0014716E">
        <w:rPr>
          <w:rFonts w:ascii="Times New Roman" w:hAnsi="Times New Roman" w:cs="Times New Roman"/>
          <w:sz w:val="24"/>
          <w:szCs w:val="24"/>
          <w:lang w:val="pt-BR"/>
        </w:rPr>
        <w:t>$</w:t>
      </w:r>
      <w:r w:rsidR="00EC194B">
        <w:rPr>
          <w:rFonts w:ascii="Times New Roman" w:hAnsi="Times New Roman" w:cs="Times New Roman"/>
          <w:sz w:val="24"/>
          <w:szCs w:val="24"/>
          <w:lang w:val="pt-BR"/>
        </w:rPr>
        <w:t xml:space="preserve"> </w:t>
      </w:r>
      <w:r w:rsidR="0016597A" w:rsidRPr="0014716E">
        <w:rPr>
          <w:rFonts w:ascii="Times New Roman" w:hAnsi="Times New Roman" w:cs="Times New Roman"/>
          <w:sz w:val="24"/>
          <w:szCs w:val="24"/>
          <w:lang w:val="pt-BR"/>
        </w:rPr>
        <w:t xml:space="preserve">454 </w:t>
      </w:r>
      <w:r w:rsidR="00262213" w:rsidRPr="0014716E">
        <w:rPr>
          <w:rFonts w:ascii="Times New Roman" w:hAnsi="Times New Roman" w:cs="Times New Roman"/>
          <w:sz w:val="24"/>
          <w:szCs w:val="24"/>
          <w:lang w:val="pt-BR"/>
        </w:rPr>
        <w:t>em</w:t>
      </w:r>
      <w:r w:rsidR="0016597A" w:rsidRPr="0014716E">
        <w:rPr>
          <w:rFonts w:ascii="Times New Roman" w:hAnsi="Times New Roman" w:cs="Times New Roman"/>
          <w:sz w:val="24"/>
          <w:szCs w:val="24"/>
          <w:lang w:val="pt-BR"/>
        </w:rPr>
        <w:t xml:space="preserve"> 2014</w:t>
      </w:r>
      <w:r w:rsidR="0014716E" w:rsidRPr="0014716E">
        <w:rPr>
          <w:rFonts w:ascii="Times New Roman" w:hAnsi="Times New Roman" w:cs="Times New Roman"/>
          <w:sz w:val="24"/>
          <w:szCs w:val="24"/>
          <w:lang w:val="pt-BR"/>
        </w:rPr>
        <w:t xml:space="preserve"> para todo o tratamento</w:t>
      </w:r>
      <w:r w:rsidR="0016597A" w:rsidRPr="0014716E">
        <w:rPr>
          <w:rFonts w:ascii="Times New Roman" w:hAnsi="Times New Roman" w:cs="Times New Roman"/>
          <w:sz w:val="24"/>
          <w:szCs w:val="24"/>
          <w:lang w:val="pt-BR"/>
        </w:rPr>
        <w:t xml:space="preserve">. </w:t>
      </w:r>
      <w:r w:rsidR="00262213" w:rsidRPr="0014716E">
        <w:rPr>
          <w:rFonts w:ascii="Times New Roman" w:hAnsi="Times New Roman" w:cs="Times New Roman"/>
          <w:sz w:val="24"/>
          <w:szCs w:val="24"/>
          <w:lang w:val="pt-BR"/>
        </w:rPr>
        <w:t xml:space="preserve">Ao mesmo tempo, o trabalho de </w:t>
      </w:r>
      <w:proofErr w:type="spellStart"/>
      <w:r w:rsidR="0016597A" w:rsidRPr="0014716E">
        <w:rPr>
          <w:rFonts w:ascii="Times New Roman" w:hAnsi="Times New Roman" w:cs="Times New Roman"/>
          <w:sz w:val="24"/>
          <w:szCs w:val="24"/>
          <w:lang w:val="pt-BR"/>
        </w:rPr>
        <w:t>Andrieux</w:t>
      </w:r>
      <w:proofErr w:type="spellEnd"/>
      <w:r w:rsidR="0016597A" w:rsidRPr="0014716E">
        <w:rPr>
          <w:rFonts w:ascii="Times New Roman" w:hAnsi="Times New Roman" w:cs="Times New Roman"/>
          <w:sz w:val="24"/>
          <w:szCs w:val="24"/>
          <w:lang w:val="pt-BR"/>
        </w:rPr>
        <w:t xml:space="preserve">-Meyer </w:t>
      </w:r>
      <w:proofErr w:type="gramStart"/>
      <w:r w:rsidR="0016597A" w:rsidRPr="0014716E">
        <w:rPr>
          <w:rFonts w:ascii="Times New Roman" w:hAnsi="Times New Roman" w:cs="Times New Roman"/>
          <w:sz w:val="24"/>
          <w:szCs w:val="24"/>
          <w:lang w:val="pt-BR"/>
        </w:rPr>
        <w:t>et</w:t>
      </w:r>
      <w:proofErr w:type="gramEnd"/>
      <w:r w:rsidR="0016597A" w:rsidRPr="0014716E">
        <w:rPr>
          <w:rFonts w:ascii="Times New Roman" w:hAnsi="Times New Roman" w:cs="Times New Roman"/>
          <w:sz w:val="24"/>
          <w:szCs w:val="24"/>
          <w:lang w:val="pt-BR"/>
        </w:rPr>
        <w:t xml:space="preserve"> al. (2015, p. 677) </w:t>
      </w:r>
      <w:r w:rsidR="00262213" w:rsidRPr="0014716E">
        <w:rPr>
          <w:rFonts w:ascii="Times New Roman" w:hAnsi="Times New Roman" w:cs="Times New Roman"/>
          <w:sz w:val="24"/>
          <w:szCs w:val="24"/>
          <w:lang w:val="pt-BR"/>
        </w:rPr>
        <w:t>mostrou que o preço do</w:t>
      </w:r>
      <w:r w:rsidR="0014716E" w:rsidRPr="0014716E">
        <w:rPr>
          <w:rFonts w:ascii="Times New Roman" w:hAnsi="Times New Roman" w:cs="Times New Roman"/>
          <w:sz w:val="24"/>
          <w:szCs w:val="24"/>
          <w:lang w:val="pt-BR"/>
        </w:rPr>
        <w:t>s medicamentos necessários para o</w:t>
      </w:r>
      <w:r w:rsidR="00262213" w:rsidRPr="0014716E">
        <w:rPr>
          <w:rFonts w:ascii="Times New Roman" w:hAnsi="Times New Roman" w:cs="Times New Roman"/>
          <w:sz w:val="24"/>
          <w:szCs w:val="24"/>
          <w:lang w:val="pt-BR"/>
        </w:rPr>
        <w:t xml:space="preserve"> tratamento variava entre </w:t>
      </w:r>
      <w:r w:rsidR="0016597A" w:rsidRPr="0014716E">
        <w:rPr>
          <w:rFonts w:ascii="Times New Roman" w:hAnsi="Times New Roman" w:cs="Times New Roman"/>
          <w:sz w:val="24"/>
          <w:szCs w:val="24"/>
          <w:lang w:val="pt-BR"/>
        </w:rPr>
        <w:t xml:space="preserve">US$1,350 </w:t>
      </w:r>
      <w:r w:rsidR="00262213" w:rsidRPr="0014716E">
        <w:rPr>
          <w:rFonts w:ascii="Times New Roman" w:hAnsi="Times New Roman" w:cs="Times New Roman"/>
          <w:sz w:val="24"/>
          <w:szCs w:val="24"/>
          <w:lang w:val="pt-BR"/>
        </w:rPr>
        <w:t xml:space="preserve">no Egito a </w:t>
      </w:r>
      <w:r w:rsidR="0016597A" w:rsidRPr="0014716E">
        <w:rPr>
          <w:rFonts w:ascii="Times New Roman" w:hAnsi="Times New Roman" w:cs="Times New Roman"/>
          <w:sz w:val="24"/>
          <w:szCs w:val="24"/>
          <w:lang w:val="pt-BR"/>
        </w:rPr>
        <w:t xml:space="preserve">US$10,947 </w:t>
      </w:r>
      <w:r w:rsidR="00262213" w:rsidRPr="0014716E">
        <w:rPr>
          <w:rFonts w:ascii="Times New Roman" w:hAnsi="Times New Roman" w:cs="Times New Roman"/>
          <w:sz w:val="24"/>
          <w:szCs w:val="24"/>
          <w:lang w:val="pt-BR"/>
        </w:rPr>
        <w:t xml:space="preserve">no Brasil, chegando a </w:t>
      </w:r>
      <w:r w:rsidR="0016597A" w:rsidRPr="0014716E">
        <w:rPr>
          <w:rFonts w:ascii="Times New Roman" w:hAnsi="Times New Roman" w:cs="Times New Roman"/>
          <w:sz w:val="24"/>
          <w:szCs w:val="24"/>
          <w:lang w:val="pt-BR"/>
        </w:rPr>
        <w:t xml:space="preserve">US$150,000 </w:t>
      </w:r>
      <w:r w:rsidR="00262213" w:rsidRPr="0014716E">
        <w:rPr>
          <w:rFonts w:ascii="Times New Roman" w:hAnsi="Times New Roman" w:cs="Times New Roman"/>
          <w:sz w:val="24"/>
          <w:szCs w:val="24"/>
          <w:lang w:val="pt-BR"/>
        </w:rPr>
        <w:t>na Alemanha</w:t>
      </w:r>
      <w:r w:rsidR="0016597A" w:rsidRPr="0014716E">
        <w:rPr>
          <w:rFonts w:ascii="Times New Roman" w:hAnsi="Times New Roman" w:cs="Times New Roman"/>
          <w:sz w:val="24"/>
          <w:szCs w:val="24"/>
          <w:lang w:val="pt-BR"/>
        </w:rPr>
        <w:t xml:space="preserve">. </w:t>
      </w:r>
      <w:r w:rsidR="0014716E" w:rsidRPr="0014716E">
        <w:rPr>
          <w:rFonts w:ascii="Times New Roman" w:hAnsi="Times New Roman" w:cs="Times New Roman"/>
          <w:sz w:val="24"/>
          <w:szCs w:val="24"/>
          <w:lang w:val="pt-BR"/>
        </w:rPr>
        <w:t>Se os dois trabalhos estiverem corretos, os DPI garantem uma margem de retorno entre</w:t>
      </w:r>
      <w:r w:rsidR="0016597A" w:rsidRPr="0014716E">
        <w:rPr>
          <w:rFonts w:ascii="Times New Roman" w:hAnsi="Times New Roman" w:cs="Times New Roman"/>
          <w:sz w:val="24"/>
          <w:szCs w:val="24"/>
          <w:lang w:val="pt-BR"/>
        </w:rPr>
        <w:t xml:space="preserve"> 66.37% </w:t>
      </w:r>
      <w:r w:rsidR="0014716E" w:rsidRPr="0014716E">
        <w:rPr>
          <w:rFonts w:ascii="Times New Roman" w:hAnsi="Times New Roman" w:cs="Times New Roman"/>
          <w:sz w:val="24"/>
          <w:szCs w:val="24"/>
          <w:lang w:val="pt-BR"/>
        </w:rPr>
        <w:t>a</w:t>
      </w:r>
      <w:r w:rsidR="0016597A" w:rsidRPr="0014716E">
        <w:rPr>
          <w:rFonts w:ascii="Times New Roman" w:hAnsi="Times New Roman" w:cs="Times New Roman"/>
          <w:sz w:val="24"/>
          <w:szCs w:val="24"/>
          <w:lang w:val="pt-BR"/>
        </w:rPr>
        <w:t xml:space="preserve"> 99.95%</w:t>
      </w:r>
      <w:r w:rsidR="0014716E" w:rsidRPr="0014716E">
        <w:rPr>
          <w:rFonts w:ascii="Times New Roman" w:hAnsi="Times New Roman" w:cs="Times New Roman"/>
          <w:sz w:val="24"/>
          <w:szCs w:val="24"/>
          <w:lang w:val="pt-BR"/>
        </w:rPr>
        <w:t xml:space="preserve"> dos custos</w:t>
      </w:r>
      <w:r w:rsidR="00EC194B">
        <w:rPr>
          <w:rFonts w:ascii="Times New Roman" w:hAnsi="Times New Roman" w:cs="Times New Roman"/>
          <w:sz w:val="24"/>
          <w:szCs w:val="24"/>
          <w:lang w:val="pt-BR"/>
        </w:rPr>
        <w:t xml:space="preserve"> de produção de cada medicamento, garantida pelo monopólio obtido através dos </w:t>
      </w:r>
      <w:proofErr w:type="gramStart"/>
      <w:r w:rsidR="00EC194B">
        <w:rPr>
          <w:rFonts w:ascii="Times New Roman" w:hAnsi="Times New Roman" w:cs="Times New Roman"/>
          <w:sz w:val="24"/>
          <w:szCs w:val="24"/>
          <w:lang w:val="pt-BR"/>
        </w:rPr>
        <w:t xml:space="preserve">DPI </w:t>
      </w:r>
      <w:r w:rsidR="0016597A" w:rsidRPr="0014716E">
        <w:rPr>
          <w:rFonts w:ascii="Times New Roman" w:hAnsi="Times New Roman" w:cs="Times New Roman"/>
          <w:sz w:val="24"/>
          <w:szCs w:val="24"/>
          <w:lang w:val="pt-BR"/>
        </w:rPr>
        <w:t>.</w:t>
      </w:r>
      <w:proofErr w:type="gramEnd"/>
    </w:p>
    <w:p w14:paraId="48109F0E" w14:textId="1C955D8A" w:rsidR="00701A60" w:rsidRDefault="0014716E" w:rsidP="008B0E7D">
      <w:pPr>
        <w:spacing w:after="0" w:line="360" w:lineRule="auto"/>
        <w:ind w:firstLine="567"/>
        <w:jc w:val="both"/>
        <w:rPr>
          <w:rFonts w:ascii="Times New Roman" w:hAnsi="Times New Roman" w:cs="Times New Roman"/>
          <w:sz w:val="24"/>
          <w:szCs w:val="24"/>
          <w:lang w:val="pt-BR"/>
        </w:rPr>
      </w:pPr>
      <w:r w:rsidRPr="0014716E">
        <w:rPr>
          <w:rFonts w:ascii="Times New Roman" w:hAnsi="Times New Roman" w:cs="Times New Roman"/>
          <w:sz w:val="24"/>
          <w:szCs w:val="24"/>
          <w:lang w:val="pt-BR"/>
        </w:rPr>
        <w:t>A</w:t>
      </w:r>
      <w:r w:rsidR="0016597A" w:rsidRPr="0014716E">
        <w:rPr>
          <w:rFonts w:ascii="Times New Roman" w:hAnsi="Times New Roman" w:cs="Times New Roman"/>
          <w:sz w:val="24"/>
          <w:szCs w:val="24"/>
          <w:lang w:val="pt-BR"/>
        </w:rPr>
        <w:t xml:space="preserve">s </w:t>
      </w:r>
      <w:r w:rsidR="004F5401" w:rsidRPr="0014716E">
        <w:rPr>
          <w:rFonts w:ascii="Times New Roman" w:hAnsi="Times New Roman" w:cs="Times New Roman"/>
          <w:sz w:val="24"/>
          <w:szCs w:val="24"/>
          <w:lang w:val="pt-BR"/>
        </w:rPr>
        <w:t>discrep</w:t>
      </w:r>
      <w:r w:rsidR="0016597A" w:rsidRPr="0014716E">
        <w:rPr>
          <w:rFonts w:ascii="Times New Roman" w:hAnsi="Times New Roman" w:cs="Times New Roman"/>
          <w:sz w:val="24"/>
          <w:szCs w:val="24"/>
          <w:lang w:val="pt-BR"/>
        </w:rPr>
        <w:t>âncias nos custos</w:t>
      </w:r>
      <w:r w:rsidRPr="0014716E">
        <w:rPr>
          <w:rFonts w:ascii="Times New Roman" w:hAnsi="Times New Roman" w:cs="Times New Roman"/>
          <w:sz w:val="24"/>
          <w:szCs w:val="24"/>
          <w:lang w:val="pt-BR"/>
        </w:rPr>
        <w:t xml:space="preserve">, </w:t>
      </w:r>
      <w:r w:rsidR="0016597A" w:rsidRPr="0014716E">
        <w:rPr>
          <w:rFonts w:ascii="Times New Roman" w:hAnsi="Times New Roman" w:cs="Times New Roman"/>
          <w:sz w:val="24"/>
          <w:szCs w:val="24"/>
          <w:lang w:val="pt-BR"/>
        </w:rPr>
        <w:t xml:space="preserve">investimentos e taxas de lucro </w:t>
      </w:r>
      <w:r w:rsidRPr="0014716E">
        <w:rPr>
          <w:rFonts w:ascii="Times New Roman" w:hAnsi="Times New Roman" w:cs="Times New Roman"/>
          <w:sz w:val="24"/>
          <w:szCs w:val="24"/>
          <w:lang w:val="pt-BR"/>
        </w:rPr>
        <w:t xml:space="preserve">no setor de fármacos </w:t>
      </w:r>
      <w:r w:rsidR="0016597A" w:rsidRPr="0014716E">
        <w:rPr>
          <w:rFonts w:ascii="Times New Roman" w:hAnsi="Times New Roman" w:cs="Times New Roman"/>
          <w:sz w:val="24"/>
          <w:szCs w:val="24"/>
          <w:lang w:val="pt-BR"/>
        </w:rPr>
        <w:t>mostram que os DPI, ao assegurar uma condição de monopólio ao longo do tempo, pode</w:t>
      </w:r>
      <w:r w:rsidRPr="0014716E">
        <w:rPr>
          <w:rFonts w:ascii="Times New Roman" w:hAnsi="Times New Roman" w:cs="Times New Roman"/>
          <w:sz w:val="24"/>
          <w:szCs w:val="24"/>
          <w:lang w:val="pt-BR"/>
        </w:rPr>
        <w:t>m</w:t>
      </w:r>
      <w:r w:rsidR="0016597A" w:rsidRPr="0014716E">
        <w:rPr>
          <w:rFonts w:ascii="Times New Roman" w:hAnsi="Times New Roman" w:cs="Times New Roman"/>
          <w:sz w:val="24"/>
          <w:szCs w:val="24"/>
          <w:lang w:val="pt-BR"/>
        </w:rPr>
        <w:t xml:space="preserve"> garantir uma renda extra </w:t>
      </w:r>
      <w:r w:rsidRPr="0014716E">
        <w:rPr>
          <w:rFonts w:ascii="Times New Roman" w:hAnsi="Times New Roman" w:cs="Times New Roman"/>
          <w:sz w:val="24"/>
          <w:szCs w:val="24"/>
          <w:lang w:val="pt-BR"/>
        </w:rPr>
        <w:t xml:space="preserve">a </w:t>
      </w:r>
      <w:r w:rsidR="0016597A" w:rsidRPr="0014716E">
        <w:rPr>
          <w:rFonts w:ascii="Times New Roman" w:hAnsi="Times New Roman" w:cs="Times New Roman"/>
          <w:sz w:val="24"/>
          <w:szCs w:val="24"/>
          <w:lang w:val="pt-BR"/>
        </w:rPr>
        <w:t xml:space="preserve">quem detém as patentes (no caso dos fármacos). </w:t>
      </w:r>
      <w:r w:rsidRPr="00DF2A15">
        <w:rPr>
          <w:rFonts w:ascii="Times New Roman" w:hAnsi="Times New Roman" w:cs="Times New Roman"/>
          <w:sz w:val="24"/>
          <w:szCs w:val="24"/>
          <w:lang w:val="pt-BR"/>
        </w:rPr>
        <w:t>A</w:t>
      </w:r>
      <w:r w:rsidR="00DF2A15" w:rsidRPr="00DF2A15">
        <w:rPr>
          <w:rFonts w:ascii="Times New Roman" w:hAnsi="Times New Roman" w:cs="Times New Roman"/>
          <w:sz w:val="24"/>
          <w:szCs w:val="24"/>
          <w:lang w:val="pt-BR"/>
        </w:rPr>
        <w:t>s enormes discrep</w:t>
      </w:r>
      <w:r w:rsidR="00DF2A15">
        <w:rPr>
          <w:rFonts w:ascii="Times New Roman" w:hAnsi="Times New Roman" w:cs="Times New Roman"/>
          <w:sz w:val="24"/>
          <w:szCs w:val="24"/>
          <w:lang w:val="pt-BR"/>
        </w:rPr>
        <w:t xml:space="preserve">âncias nos preços no caso das drogas usadas no tratamento da Hepatite C nos convenceram que o setor é um bom representante </w:t>
      </w:r>
      <w:r w:rsidR="00701A60">
        <w:rPr>
          <w:rFonts w:ascii="Times New Roman" w:hAnsi="Times New Roman" w:cs="Times New Roman"/>
          <w:sz w:val="24"/>
          <w:szCs w:val="24"/>
          <w:lang w:val="pt-BR"/>
        </w:rPr>
        <w:t>de bens tangíveis que possuem valores fortemente influenciados p</w:t>
      </w:r>
      <w:r w:rsidR="00EC194B">
        <w:rPr>
          <w:rFonts w:ascii="Times New Roman" w:hAnsi="Times New Roman" w:cs="Times New Roman"/>
          <w:sz w:val="24"/>
          <w:szCs w:val="24"/>
          <w:lang w:val="pt-BR"/>
        </w:rPr>
        <w:t>e</w:t>
      </w:r>
      <w:r w:rsidR="00701A60">
        <w:rPr>
          <w:rFonts w:ascii="Times New Roman" w:hAnsi="Times New Roman" w:cs="Times New Roman"/>
          <w:sz w:val="24"/>
          <w:szCs w:val="24"/>
          <w:lang w:val="pt-BR"/>
        </w:rPr>
        <w:t>los DPI e que são comerci</w:t>
      </w:r>
      <w:r w:rsidR="00EC194B">
        <w:rPr>
          <w:rFonts w:ascii="Times New Roman" w:hAnsi="Times New Roman" w:cs="Times New Roman"/>
          <w:sz w:val="24"/>
          <w:szCs w:val="24"/>
          <w:lang w:val="pt-BR"/>
        </w:rPr>
        <w:t>a</w:t>
      </w:r>
      <w:r w:rsidR="00701A60">
        <w:rPr>
          <w:rFonts w:ascii="Times New Roman" w:hAnsi="Times New Roman" w:cs="Times New Roman"/>
          <w:sz w:val="24"/>
          <w:szCs w:val="24"/>
          <w:lang w:val="pt-BR"/>
        </w:rPr>
        <w:t xml:space="preserve">lizados no mundo todo. </w:t>
      </w:r>
    </w:p>
    <w:p w14:paraId="22CC7570" w14:textId="77777777" w:rsidR="00701A60" w:rsidRDefault="00701A60" w:rsidP="008B0E7D">
      <w:pPr>
        <w:spacing w:after="0" w:line="360" w:lineRule="auto"/>
        <w:jc w:val="both"/>
        <w:rPr>
          <w:rFonts w:ascii="Times New Roman" w:hAnsi="Times New Roman" w:cs="Times New Roman"/>
          <w:sz w:val="24"/>
          <w:szCs w:val="24"/>
          <w:lang w:val="pt-BR"/>
        </w:rPr>
      </w:pPr>
    </w:p>
    <w:p w14:paraId="141883B5" w14:textId="09FBDB69" w:rsidR="00D6249B" w:rsidRPr="00C2207B" w:rsidRDefault="00F16D95" w:rsidP="008B0E7D">
      <w:pPr>
        <w:spacing w:after="0" w:line="360" w:lineRule="auto"/>
        <w:jc w:val="both"/>
        <w:rPr>
          <w:rFonts w:ascii="Times New Roman" w:hAnsi="Times New Roman" w:cs="Times New Roman"/>
          <w:b/>
          <w:i/>
          <w:sz w:val="24"/>
          <w:szCs w:val="24"/>
          <w:lang w:val="pt-BR"/>
        </w:rPr>
      </w:pPr>
      <w:r w:rsidRPr="00C2207B">
        <w:rPr>
          <w:rFonts w:ascii="Times New Roman" w:hAnsi="Times New Roman" w:cs="Times New Roman"/>
          <w:b/>
          <w:i/>
          <w:sz w:val="24"/>
          <w:szCs w:val="24"/>
          <w:lang w:val="pt-BR"/>
        </w:rPr>
        <w:t>Construir um banco de dados com os dados disponíveis</w:t>
      </w:r>
      <w:r w:rsidR="00D6249B" w:rsidRPr="00C2207B">
        <w:rPr>
          <w:rFonts w:ascii="Times New Roman" w:hAnsi="Times New Roman" w:cs="Times New Roman"/>
          <w:b/>
          <w:i/>
          <w:sz w:val="24"/>
          <w:szCs w:val="24"/>
          <w:lang w:val="pt-BR"/>
        </w:rPr>
        <w:t xml:space="preserve"> / Buscar os dados sobre origem e destino das cobranças relativas </w:t>
      </w:r>
      <w:proofErr w:type="gramStart"/>
      <w:r w:rsidR="00D6249B" w:rsidRPr="00C2207B">
        <w:rPr>
          <w:rFonts w:ascii="Times New Roman" w:hAnsi="Times New Roman" w:cs="Times New Roman"/>
          <w:b/>
          <w:i/>
          <w:sz w:val="24"/>
          <w:szCs w:val="24"/>
          <w:lang w:val="pt-BR"/>
        </w:rPr>
        <w:t>a</w:t>
      </w:r>
      <w:proofErr w:type="gramEnd"/>
      <w:r w:rsidR="00D6249B" w:rsidRPr="00C2207B">
        <w:rPr>
          <w:rFonts w:ascii="Times New Roman" w:hAnsi="Times New Roman" w:cs="Times New Roman"/>
          <w:b/>
          <w:i/>
          <w:sz w:val="24"/>
          <w:szCs w:val="24"/>
          <w:lang w:val="pt-BR"/>
        </w:rPr>
        <w:t xml:space="preserve"> PI / Construir um novo conjunto de dados contendo </w:t>
      </w:r>
      <w:r w:rsidR="00722D73" w:rsidRPr="00C2207B">
        <w:rPr>
          <w:rFonts w:ascii="Times New Roman" w:hAnsi="Times New Roman" w:cs="Times New Roman"/>
          <w:b/>
          <w:i/>
          <w:sz w:val="24"/>
          <w:szCs w:val="24"/>
          <w:lang w:val="pt-BR"/>
        </w:rPr>
        <w:t>os</w:t>
      </w:r>
      <w:r w:rsidR="00D6249B" w:rsidRPr="00C2207B">
        <w:rPr>
          <w:rFonts w:ascii="Times New Roman" w:hAnsi="Times New Roman" w:cs="Times New Roman"/>
          <w:b/>
          <w:i/>
          <w:sz w:val="24"/>
          <w:szCs w:val="24"/>
          <w:lang w:val="pt-BR"/>
        </w:rPr>
        <w:t xml:space="preserve"> principais fluxos entre países e regiões</w:t>
      </w:r>
    </w:p>
    <w:p w14:paraId="77F9BBA2" w14:textId="15F4A8AE" w:rsidR="00701A60" w:rsidRDefault="00FC0FC1" w:rsidP="008B0E7D">
      <w:pPr>
        <w:spacing w:after="0" w:line="360" w:lineRule="auto"/>
        <w:ind w:firstLine="720"/>
        <w:jc w:val="both"/>
        <w:rPr>
          <w:rFonts w:ascii="Times New Roman" w:hAnsi="Times New Roman" w:cs="Times New Roman"/>
          <w:sz w:val="24"/>
          <w:szCs w:val="24"/>
          <w:lang w:val="pt-BR"/>
        </w:rPr>
      </w:pPr>
      <w:r w:rsidRPr="00701A60">
        <w:rPr>
          <w:rFonts w:ascii="Times New Roman" w:hAnsi="Times New Roman" w:cs="Times New Roman"/>
          <w:sz w:val="24"/>
          <w:szCs w:val="24"/>
          <w:lang w:val="pt-BR"/>
        </w:rPr>
        <w:t>A partir da</w:t>
      </w:r>
      <w:r w:rsidR="00701A60">
        <w:rPr>
          <w:rFonts w:ascii="Times New Roman" w:hAnsi="Times New Roman" w:cs="Times New Roman"/>
          <w:sz w:val="24"/>
          <w:szCs w:val="24"/>
          <w:lang w:val="pt-BR"/>
        </w:rPr>
        <w:t xml:space="preserve"> </w:t>
      </w:r>
      <w:r w:rsidR="00C2207B">
        <w:rPr>
          <w:rFonts w:ascii="Times New Roman" w:hAnsi="Times New Roman" w:cs="Times New Roman"/>
          <w:sz w:val="24"/>
          <w:szCs w:val="24"/>
          <w:lang w:val="pt-BR"/>
        </w:rPr>
        <w:t>identificação das contas e</w:t>
      </w:r>
      <w:r w:rsidR="00701A60">
        <w:rPr>
          <w:rFonts w:ascii="Times New Roman" w:hAnsi="Times New Roman" w:cs="Times New Roman"/>
          <w:sz w:val="24"/>
          <w:szCs w:val="24"/>
          <w:lang w:val="pt-BR"/>
        </w:rPr>
        <w:t xml:space="preserve"> do</w:t>
      </w:r>
      <w:r w:rsidRPr="00701A60">
        <w:rPr>
          <w:rFonts w:ascii="Times New Roman" w:hAnsi="Times New Roman" w:cs="Times New Roman"/>
          <w:sz w:val="24"/>
          <w:szCs w:val="24"/>
          <w:lang w:val="pt-BR"/>
        </w:rPr>
        <w:t xml:space="preserve">s dados </w:t>
      </w:r>
      <w:r w:rsidR="00701A60">
        <w:rPr>
          <w:rFonts w:ascii="Times New Roman" w:hAnsi="Times New Roman" w:cs="Times New Roman"/>
          <w:sz w:val="24"/>
          <w:szCs w:val="24"/>
          <w:lang w:val="pt-BR"/>
        </w:rPr>
        <w:t xml:space="preserve">relevantes para esta pesquisa, </w:t>
      </w:r>
      <w:r w:rsidR="009073B2">
        <w:rPr>
          <w:rFonts w:ascii="Times New Roman" w:hAnsi="Times New Roman" w:cs="Times New Roman"/>
          <w:sz w:val="24"/>
          <w:szCs w:val="24"/>
          <w:lang w:val="pt-BR"/>
        </w:rPr>
        <w:t xml:space="preserve">da construção da amostra de países mais relevantes para a pesquisa, e de outros desdobramentos inesperados, </w:t>
      </w:r>
      <w:r w:rsidR="00701A60">
        <w:rPr>
          <w:rFonts w:ascii="Times New Roman" w:hAnsi="Times New Roman" w:cs="Times New Roman"/>
          <w:sz w:val="24"/>
          <w:szCs w:val="24"/>
          <w:lang w:val="pt-BR"/>
        </w:rPr>
        <w:t>consolidamos</w:t>
      </w:r>
      <w:r w:rsidR="009073B2">
        <w:rPr>
          <w:rFonts w:ascii="Times New Roman" w:hAnsi="Times New Roman" w:cs="Times New Roman"/>
          <w:sz w:val="24"/>
          <w:szCs w:val="24"/>
          <w:lang w:val="pt-BR"/>
        </w:rPr>
        <w:t>,</w:t>
      </w:r>
      <w:r w:rsidR="00701A60">
        <w:rPr>
          <w:rFonts w:ascii="Times New Roman" w:hAnsi="Times New Roman" w:cs="Times New Roman"/>
          <w:sz w:val="24"/>
          <w:szCs w:val="24"/>
          <w:lang w:val="pt-BR"/>
        </w:rPr>
        <w:t xml:space="preserve"> apenas nos últimos dois meses, três grandes bancos de dados</w:t>
      </w:r>
      <w:r w:rsidR="00404811">
        <w:rPr>
          <w:rFonts w:ascii="Times New Roman" w:hAnsi="Times New Roman" w:cs="Times New Roman"/>
          <w:sz w:val="24"/>
          <w:szCs w:val="24"/>
          <w:lang w:val="pt-BR"/>
        </w:rPr>
        <w:t xml:space="preserve"> com </w:t>
      </w:r>
      <w:r w:rsidR="00FB1AEB">
        <w:rPr>
          <w:rFonts w:ascii="Times New Roman" w:hAnsi="Times New Roman" w:cs="Times New Roman"/>
          <w:sz w:val="24"/>
          <w:szCs w:val="24"/>
          <w:lang w:val="pt-BR"/>
        </w:rPr>
        <w:t xml:space="preserve">propósitos </w:t>
      </w:r>
      <w:r w:rsidR="00404811">
        <w:rPr>
          <w:rFonts w:ascii="Times New Roman" w:hAnsi="Times New Roman" w:cs="Times New Roman"/>
          <w:sz w:val="24"/>
          <w:szCs w:val="24"/>
          <w:lang w:val="pt-BR"/>
        </w:rPr>
        <w:t>específic</w:t>
      </w:r>
      <w:r w:rsidR="00FB1AEB">
        <w:rPr>
          <w:rFonts w:ascii="Times New Roman" w:hAnsi="Times New Roman" w:cs="Times New Roman"/>
          <w:sz w:val="24"/>
          <w:szCs w:val="24"/>
          <w:lang w:val="pt-BR"/>
        </w:rPr>
        <w:t>o</w:t>
      </w:r>
      <w:r w:rsidR="00404811">
        <w:rPr>
          <w:rFonts w:ascii="Times New Roman" w:hAnsi="Times New Roman" w:cs="Times New Roman"/>
          <w:sz w:val="24"/>
          <w:szCs w:val="24"/>
          <w:lang w:val="pt-BR"/>
        </w:rPr>
        <w:t xml:space="preserve">s. Mais dados estão sendo agregados </w:t>
      </w:r>
      <w:proofErr w:type="gramStart"/>
      <w:r w:rsidR="00404811">
        <w:rPr>
          <w:rFonts w:ascii="Times New Roman" w:hAnsi="Times New Roman" w:cs="Times New Roman"/>
          <w:sz w:val="24"/>
          <w:szCs w:val="24"/>
          <w:lang w:val="pt-BR"/>
        </w:rPr>
        <w:t>à</w:t>
      </w:r>
      <w:proofErr w:type="gramEnd"/>
      <w:r w:rsidR="00404811">
        <w:rPr>
          <w:rFonts w:ascii="Times New Roman" w:hAnsi="Times New Roman" w:cs="Times New Roman"/>
          <w:sz w:val="24"/>
          <w:szCs w:val="24"/>
          <w:lang w:val="pt-BR"/>
        </w:rPr>
        <w:t xml:space="preserve"> esses bancos e servirão de base para </w:t>
      </w:r>
      <w:r w:rsidR="00942A30">
        <w:rPr>
          <w:rFonts w:ascii="Times New Roman" w:hAnsi="Times New Roman" w:cs="Times New Roman"/>
          <w:sz w:val="24"/>
          <w:szCs w:val="24"/>
          <w:lang w:val="pt-BR"/>
        </w:rPr>
        <w:t xml:space="preserve">serem manipulados </w:t>
      </w:r>
      <w:r w:rsidR="00404811">
        <w:rPr>
          <w:rFonts w:ascii="Times New Roman" w:hAnsi="Times New Roman" w:cs="Times New Roman"/>
          <w:sz w:val="24"/>
          <w:szCs w:val="24"/>
          <w:lang w:val="pt-BR"/>
        </w:rPr>
        <w:t>através do software R</w:t>
      </w:r>
      <w:r w:rsidR="00942A30">
        <w:rPr>
          <w:rStyle w:val="Refdenotaderodap"/>
          <w:rFonts w:ascii="Times New Roman" w:hAnsi="Times New Roman" w:cs="Times New Roman"/>
          <w:sz w:val="24"/>
          <w:szCs w:val="24"/>
          <w:lang w:val="pt-BR"/>
        </w:rPr>
        <w:footnoteReference w:id="7"/>
      </w:r>
      <w:r w:rsidR="00404811">
        <w:rPr>
          <w:rFonts w:ascii="Times New Roman" w:hAnsi="Times New Roman" w:cs="Times New Roman"/>
          <w:sz w:val="24"/>
          <w:szCs w:val="24"/>
          <w:lang w:val="pt-BR"/>
        </w:rPr>
        <w:t>.</w:t>
      </w:r>
    </w:p>
    <w:p w14:paraId="2C922CAB" w14:textId="42DA1706" w:rsidR="00701A60" w:rsidRDefault="00701A60" w:rsidP="008B0E7D">
      <w:pPr>
        <w:spacing w:after="0" w:line="360" w:lineRule="auto"/>
        <w:ind w:firstLine="720"/>
        <w:jc w:val="both"/>
        <w:rPr>
          <w:rFonts w:ascii="Times New Roman" w:hAnsi="Times New Roman" w:cs="Times New Roman"/>
          <w:sz w:val="24"/>
          <w:szCs w:val="24"/>
          <w:lang w:val="pt-BR"/>
        </w:rPr>
      </w:pPr>
      <w:bookmarkStart w:id="3" w:name="_Hlk528060227"/>
      <w:r w:rsidRPr="00EC194B">
        <w:rPr>
          <w:rFonts w:ascii="Times New Roman" w:hAnsi="Times New Roman" w:cs="Times New Roman"/>
          <w:sz w:val="24"/>
          <w:szCs w:val="24"/>
          <w:lang w:val="pt-BR"/>
        </w:rPr>
        <w:t xml:space="preserve">O </w:t>
      </w:r>
      <w:r w:rsidRPr="00C2207B">
        <w:rPr>
          <w:rFonts w:ascii="Times New Roman" w:hAnsi="Times New Roman" w:cs="Times New Roman"/>
          <w:sz w:val="24"/>
          <w:szCs w:val="24"/>
          <w:lang w:val="pt-BR"/>
        </w:rPr>
        <w:t>primeiro</w:t>
      </w:r>
      <w:r w:rsidRPr="00EC194B">
        <w:rPr>
          <w:rFonts w:ascii="Times New Roman" w:hAnsi="Times New Roman" w:cs="Times New Roman"/>
          <w:sz w:val="24"/>
          <w:szCs w:val="24"/>
          <w:lang w:val="pt-BR"/>
        </w:rPr>
        <w:t xml:space="preserve"> banco de dados </w:t>
      </w:r>
      <w:r w:rsidR="00C2207B">
        <w:rPr>
          <w:rFonts w:ascii="Times New Roman" w:hAnsi="Times New Roman" w:cs="Times New Roman"/>
          <w:sz w:val="24"/>
          <w:szCs w:val="24"/>
          <w:lang w:val="pt-BR"/>
        </w:rPr>
        <w:t>(</w:t>
      </w:r>
      <w:r w:rsidR="00C2207B" w:rsidRPr="00C2207B">
        <w:rPr>
          <w:rFonts w:ascii="Times New Roman" w:hAnsi="Times New Roman" w:cs="Times New Roman"/>
          <w:b/>
          <w:sz w:val="24"/>
          <w:szCs w:val="24"/>
          <w:lang w:val="pt-BR"/>
        </w:rPr>
        <w:t xml:space="preserve">anexo </w:t>
      </w:r>
      <w:proofErr w:type="gramStart"/>
      <w:r w:rsidR="00C2207B" w:rsidRPr="00C2207B">
        <w:rPr>
          <w:rFonts w:ascii="Times New Roman" w:hAnsi="Times New Roman" w:cs="Times New Roman"/>
          <w:b/>
          <w:sz w:val="24"/>
          <w:szCs w:val="24"/>
          <w:lang w:val="pt-BR"/>
        </w:rPr>
        <w:t>3</w:t>
      </w:r>
      <w:proofErr w:type="gramEnd"/>
      <w:r w:rsidR="00C2207B">
        <w:rPr>
          <w:rFonts w:ascii="Times New Roman" w:hAnsi="Times New Roman" w:cs="Times New Roman"/>
          <w:sz w:val="24"/>
          <w:szCs w:val="24"/>
          <w:lang w:val="pt-BR"/>
        </w:rPr>
        <w:t xml:space="preserve">) </w:t>
      </w:r>
      <w:r>
        <w:rPr>
          <w:rFonts w:ascii="Times New Roman" w:hAnsi="Times New Roman" w:cs="Times New Roman"/>
          <w:sz w:val="24"/>
          <w:szCs w:val="24"/>
          <w:lang w:val="pt-BR"/>
        </w:rPr>
        <w:t>mostra tod</w:t>
      </w:r>
      <w:r w:rsidR="009073B2">
        <w:rPr>
          <w:rFonts w:ascii="Times New Roman" w:hAnsi="Times New Roman" w:cs="Times New Roman"/>
          <w:sz w:val="24"/>
          <w:szCs w:val="24"/>
          <w:lang w:val="pt-BR"/>
        </w:rPr>
        <w:t xml:space="preserve">as as informações </w:t>
      </w:r>
      <w:r>
        <w:rPr>
          <w:rFonts w:ascii="Times New Roman" w:hAnsi="Times New Roman" w:cs="Times New Roman"/>
          <w:sz w:val="24"/>
          <w:szCs w:val="24"/>
          <w:lang w:val="pt-BR"/>
        </w:rPr>
        <w:t>necessári</w:t>
      </w:r>
      <w:r w:rsidR="009073B2">
        <w:rPr>
          <w:rFonts w:ascii="Times New Roman" w:hAnsi="Times New Roman" w:cs="Times New Roman"/>
          <w:sz w:val="24"/>
          <w:szCs w:val="24"/>
          <w:lang w:val="pt-BR"/>
        </w:rPr>
        <w:t>a</w:t>
      </w:r>
      <w:r>
        <w:rPr>
          <w:rFonts w:ascii="Times New Roman" w:hAnsi="Times New Roman" w:cs="Times New Roman"/>
          <w:sz w:val="24"/>
          <w:szCs w:val="24"/>
          <w:lang w:val="pt-BR"/>
        </w:rPr>
        <w:t xml:space="preserve">s para a construção do primeiro </w:t>
      </w:r>
      <w:proofErr w:type="spellStart"/>
      <w:r w:rsidR="00B72309" w:rsidRPr="00B72309">
        <w:rPr>
          <w:rFonts w:ascii="Times New Roman" w:hAnsi="Times New Roman" w:cs="Times New Roman"/>
          <w:i/>
          <w:sz w:val="24"/>
          <w:szCs w:val="24"/>
          <w:lang w:val="pt-BR"/>
        </w:rPr>
        <w:t>working</w:t>
      </w:r>
      <w:proofErr w:type="spellEnd"/>
      <w:r w:rsidR="00B72309" w:rsidRPr="00B72309">
        <w:rPr>
          <w:rFonts w:ascii="Times New Roman" w:hAnsi="Times New Roman" w:cs="Times New Roman"/>
          <w:i/>
          <w:sz w:val="24"/>
          <w:szCs w:val="24"/>
          <w:lang w:val="pt-BR"/>
        </w:rPr>
        <w:t xml:space="preserve"> </w:t>
      </w:r>
      <w:proofErr w:type="spellStart"/>
      <w:r w:rsidR="00B72309" w:rsidRPr="00B72309">
        <w:rPr>
          <w:rFonts w:ascii="Times New Roman" w:hAnsi="Times New Roman" w:cs="Times New Roman"/>
          <w:i/>
          <w:sz w:val="24"/>
          <w:szCs w:val="24"/>
          <w:lang w:val="pt-BR"/>
        </w:rPr>
        <w:t>paper</w:t>
      </w:r>
      <w:proofErr w:type="spellEnd"/>
      <w:r w:rsidR="00FB1AEB">
        <w:rPr>
          <w:rFonts w:ascii="Times New Roman" w:hAnsi="Times New Roman" w:cs="Times New Roman"/>
          <w:sz w:val="24"/>
          <w:szCs w:val="24"/>
          <w:lang w:val="pt-BR"/>
        </w:rPr>
        <w:t xml:space="preserve"> (</w:t>
      </w:r>
      <w:r w:rsidR="00EE3446">
        <w:rPr>
          <w:rFonts w:ascii="Times New Roman" w:hAnsi="Times New Roman" w:cs="Times New Roman"/>
          <w:sz w:val="24"/>
          <w:szCs w:val="24"/>
          <w:lang w:val="pt-BR"/>
        </w:rPr>
        <w:t xml:space="preserve">o que é </w:t>
      </w:r>
      <w:r w:rsidR="00FB1AEB">
        <w:rPr>
          <w:rFonts w:ascii="Times New Roman" w:hAnsi="Times New Roman" w:cs="Times New Roman"/>
          <w:sz w:val="24"/>
          <w:szCs w:val="24"/>
          <w:lang w:val="pt-BR"/>
        </w:rPr>
        <w:t>fundamental para a submissão do artigo, pois permite a replicação dos resultados obtidos)</w:t>
      </w:r>
      <w:r>
        <w:rPr>
          <w:rFonts w:ascii="Times New Roman" w:hAnsi="Times New Roman" w:cs="Times New Roman"/>
          <w:sz w:val="24"/>
          <w:szCs w:val="24"/>
          <w:lang w:val="pt-BR"/>
        </w:rPr>
        <w:t xml:space="preserve">. </w:t>
      </w:r>
      <w:r w:rsidR="0094359D">
        <w:rPr>
          <w:rFonts w:ascii="Times New Roman" w:hAnsi="Times New Roman" w:cs="Times New Roman"/>
          <w:sz w:val="24"/>
          <w:szCs w:val="24"/>
          <w:lang w:val="pt-BR"/>
        </w:rPr>
        <w:t xml:space="preserve">Foi construído </w:t>
      </w:r>
      <w:proofErr w:type="gramStart"/>
      <w:r w:rsidR="0094359D">
        <w:rPr>
          <w:rFonts w:ascii="Times New Roman" w:hAnsi="Times New Roman" w:cs="Times New Roman"/>
          <w:sz w:val="24"/>
          <w:szCs w:val="24"/>
          <w:lang w:val="pt-BR"/>
        </w:rPr>
        <w:t>à</w:t>
      </w:r>
      <w:proofErr w:type="gramEnd"/>
      <w:r w:rsidR="0094359D">
        <w:rPr>
          <w:rFonts w:ascii="Times New Roman" w:hAnsi="Times New Roman" w:cs="Times New Roman"/>
          <w:sz w:val="24"/>
          <w:szCs w:val="24"/>
          <w:lang w:val="pt-BR"/>
        </w:rPr>
        <w:t xml:space="preserve"> partir de diversas fontes e foi consolidado em </w:t>
      </w:r>
      <w:r w:rsidR="00FB1AEB">
        <w:rPr>
          <w:rFonts w:ascii="Times New Roman" w:hAnsi="Times New Roman" w:cs="Times New Roman"/>
          <w:sz w:val="24"/>
          <w:szCs w:val="24"/>
          <w:lang w:val="pt-BR"/>
        </w:rPr>
        <w:t xml:space="preserve">uma planilha que contém </w:t>
      </w:r>
      <w:r w:rsidR="00EC194B">
        <w:rPr>
          <w:rFonts w:ascii="Times New Roman" w:hAnsi="Times New Roman" w:cs="Times New Roman"/>
          <w:sz w:val="24"/>
          <w:szCs w:val="24"/>
          <w:lang w:val="pt-BR"/>
        </w:rPr>
        <w:t>7438</w:t>
      </w:r>
      <w:r w:rsidR="009073B2">
        <w:rPr>
          <w:rFonts w:ascii="Times New Roman" w:hAnsi="Times New Roman" w:cs="Times New Roman"/>
          <w:sz w:val="24"/>
          <w:szCs w:val="24"/>
          <w:lang w:val="pt-BR"/>
        </w:rPr>
        <w:t xml:space="preserve"> mil linhas e 1</w:t>
      </w:r>
      <w:r w:rsidR="00EC194B">
        <w:rPr>
          <w:rFonts w:ascii="Times New Roman" w:hAnsi="Times New Roman" w:cs="Times New Roman"/>
          <w:sz w:val="24"/>
          <w:szCs w:val="24"/>
          <w:lang w:val="pt-BR"/>
        </w:rPr>
        <w:t>3</w:t>
      </w:r>
      <w:r w:rsidR="009073B2">
        <w:rPr>
          <w:rFonts w:ascii="Times New Roman" w:hAnsi="Times New Roman" w:cs="Times New Roman"/>
          <w:sz w:val="24"/>
          <w:szCs w:val="24"/>
          <w:lang w:val="pt-BR"/>
        </w:rPr>
        <w:t xml:space="preserve"> colunas</w:t>
      </w:r>
      <w:r w:rsidR="00FB1AEB">
        <w:rPr>
          <w:rFonts w:ascii="Times New Roman" w:hAnsi="Times New Roman" w:cs="Times New Roman"/>
          <w:sz w:val="24"/>
          <w:szCs w:val="24"/>
          <w:lang w:val="pt-BR"/>
        </w:rPr>
        <w:t xml:space="preserve">. </w:t>
      </w:r>
      <w:proofErr w:type="gramStart"/>
      <w:r w:rsidR="00FB1AEB">
        <w:rPr>
          <w:rFonts w:ascii="Times New Roman" w:hAnsi="Times New Roman" w:cs="Times New Roman"/>
          <w:sz w:val="24"/>
          <w:szCs w:val="24"/>
          <w:lang w:val="pt-BR"/>
        </w:rPr>
        <w:t>C</w:t>
      </w:r>
      <w:r w:rsidR="009073B2">
        <w:rPr>
          <w:rFonts w:ascii="Times New Roman" w:hAnsi="Times New Roman" w:cs="Times New Roman"/>
          <w:sz w:val="24"/>
          <w:szCs w:val="24"/>
          <w:lang w:val="pt-BR"/>
        </w:rPr>
        <w:t>ontém dados</w:t>
      </w:r>
      <w:proofErr w:type="gramEnd"/>
      <w:r w:rsidR="009073B2">
        <w:rPr>
          <w:rFonts w:ascii="Times New Roman" w:hAnsi="Times New Roman" w:cs="Times New Roman"/>
          <w:sz w:val="24"/>
          <w:szCs w:val="24"/>
          <w:lang w:val="pt-BR"/>
        </w:rPr>
        <w:t xml:space="preserve"> </w:t>
      </w:r>
      <w:r w:rsidR="006722D2">
        <w:rPr>
          <w:rFonts w:ascii="Times New Roman" w:hAnsi="Times New Roman" w:cs="Times New Roman"/>
          <w:sz w:val="24"/>
          <w:szCs w:val="24"/>
          <w:lang w:val="pt-BR"/>
        </w:rPr>
        <w:t xml:space="preserve">para </w:t>
      </w:r>
      <w:r w:rsidR="00CD6BE7">
        <w:rPr>
          <w:rFonts w:ascii="Times New Roman" w:hAnsi="Times New Roman" w:cs="Times New Roman"/>
          <w:sz w:val="24"/>
          <w:szCs w:val="24"/>
          <w:lang w:val="pt-BR"/>
        </w:rPr>
        <w:lastRenderedPageBreak/>
        <w:t xml:space="preserve">aproximadamente </w:t>
      </w:r>
      <w:r w:rsidR="006722D2">
        <w:rPr>
          <w:rFonts w:ascii="Times New Roman" w:hAnsi="Times New Roman" w:cs="Times New Roman"/>
          <w:sz w:val="24"/>
          <w:szCs w:val="24"/>
          <w:lang w:val="pt-BR"/>
        </w:rPr>
        <w:t>206 países, para todo o período utilizado na pesquisa (entre 19</w:t>
      </w:r>
      <w:r w:rsidR="00CD6BE7">
        <w:rPr>
          <w:rFonts w:ascii="Times New Roman" w:hAnsi="Times New Roman" w:cs="Times New Roman"/>
          <w:sz w:val="24"/>
          <w:szCs w:val="24"/>
          <w:lang w:val="pt-BR"/>
        </w:rPr>
        <w:t>80</w:t>
      </w:r>
      <w:r w:rsidR="006722D2">
        <w:rPr>
          <w:rFonts w:ascii="Times New Roman" w:hAnsi="Times New Roman" w:cs="Times New Roman"/>
          <w:sz w:val="24"/>
          <w:szCs w:val="24"/>
          <w:lang w:val="pt-BR"/>
        </w:rPr>
        <w:t xml:space="preserve"> e 2016), relativ</w:t>
      </w:r>
      <w:r w:rsidR="009073B2">
        <w:rPr>
          <w:rFonts w:ascii="Times New Roman" w:hAnsi="Times New Roman" w:cs="Times New Roman"/>
          <w:sz w:val="24"/>
          <w:szCs w:val="24"/>
          <w:lang w:val="pt-BR"/>
        </w:rPr>
        <w:t>o</w:t>
      </w:r>
      <w:r w:rsidR="00907505">
        <w:rPr>
          <w:rFonts w:ascii="Times New Roman" w:hAnsi="Times New Roman" w:cs="Times New Roman"/>
          <w:sz w:val="24"/>
          <w:szCs w:val="24"/>
          <w:lang w:val="pt-BR"/>
        </w:rPr>
        <w:t>s</w:t>
      </w:r>
      <w:r w:rsidR="006722D2">
        <w:rPr>
          <w:rFonts w:ascii="Times New Roman" w:hAnsi="Times New Roman" w:cs="Times New Roman"/>
          <w:sz w:val="24"/>
          <w:szCs w:val="24"/>
          <w:lang w:val="pt-BR"/>
        </w:rPr>
        <w:t>:</w:t>
      </w:r>
    </w:p>
    <w:bookmarkEnd w:id="3"/>
    <w:p w14:paraId="6F1D82C8" w14:textId="223B9F15" w:rsidR="00F4094D" w:rsidRPr="00506301" w:rsidRDefault="00C2207B" w:rsidP="008B0E7D">
      <w:pPr>
        <w:pStyle w:val="PargrafodaLista"/>
        <w:numPr>
          <w:ilvl w:val="0"/>
          <w:numId w:val="12"/>
        </w:numPr>
        <w:spacing w:after="0" w:line="360" w:lineRule="auto"/>
        <w:ind w:left="0"/>
        <w:jc w:val="both"/>
        <w:rPr>
          <w:rFonts w:ascii="Times New Roman" w:hAnsi="Times New Roman" w:cs="Times New Roman"/>
          <w:sz w:val="24"/>
          <w:szCs w:val="24"/>
          <w:lang w:val="pt-BR"/>
        </w:rPr>
      </w:pPr>
      <w:proofErr w:type="gramStart"/>
      <w:r w:rsidRPr="00506301">
        <w:rPr>
          <w:rFonts w:ascii="Times New Roman" w:hAnsi="Times New Roman" w:cs="Times New Roman"/>
          <w:sz w:val="24"/>
          <w:szCs w:val="24"/>
          <w:lang w:val="pt-BR"/>
        </w:rPr>
        <w:t>à</w:t>
      </w:r>
      <w:proofErr w:type="gramEnd"/>
      <w:r w:rsidRPr="00506301">
        <w:rPr>
          <w:rFonts w:ascii="Times New Roman" w:hAnsi="Times New Roman" w:cs="Times New Roman"/>
          <w:sz w:val="24"/>
          <w:szCs w:val="24"/>
          <w:lang w:val="pt-BR"/>
        </w:rPr>
        <w:t xml:space="preserve"> </w:t>
      </w:r>
      <w:r w:rsidR="00E86D14" w:rsidRPr="00506301">
        <w:rPr>
          <w:rFonts w:ascii="Times New Roman" w:hAnsi="Times New Roman" w:cs="Times New Roman"/>
          <w:sz w:val="24"/>
          <w:szCs w:val="24"/>
          <w:lang w:val="pt-BR"/>
        </w:rPr>
        <w:t xml:space="preserve">importação (débito) e exportação (crédito) </w:t>
      </w:r>
      <w:r w:rsidR="006176A9" w:rsidRPr="00506301">
        <w:rPr>
          <w:rFonts w:ascii="Times New Roman" w:hAnsi="Times New Roman" w:cs="Times New Roman"/>
          <w:sz w:val="24"/>
          <w:szCs w:val="24"/>
          <w:lang w:val="pt-BR"/>
        </w:rPr>
        <w:t>registradas n</w:t>
      </w:r>
      <w:r w:rsidR="00E86D14" w:rsidRPr="00506301">
        <w:rPr>
          <w:rFonts w:ascii="Times New Roman" w:hAnsi="Times New Roman" w:cs="Times New Roman"/>
          <w:sz w:val="24"/>
          <w:szCs w:val="24"/>
          <w:lang w:val="pt-BR"/>
        </w:rPr>
        <w:t>o</w:t>
      </w:r>
      <w:r w:rsidR="00701A60" w:rsidRPr="00506301">
        <w:rPr>
          <w:rFonts w:ascii="Times New Roman" w:hAnsi="Times New Roman" w:cs="Times New Roman"/>
          <w:sz w:val="24"/>
          <w:szCs w:val="24"/>
          <w:lang w:val="pt-BR"/>
        </w:rPr>
        <w:t xml:space="preserve"> componente “serviços de propriedade intelectual”</w:t>
      </w:r>
      <w:r w:rsidR="006722D2" w:rsidRPr="00506301">
        <w:rPr>
          <w:rFonts w:ascii="Times New Roman" w:hAnsi="Times New Roman" w:cs="Times New Roman"/>
          <w:sz w:val="24"/>
          <w:szCs w:val="24"/>
          <w:lang w:val="pt-BR"/>
        </w:rPr>
        <w:t xml:space="preserve"> </w:t>
      </w:r>
      <w:r w:rsidR="006176A9" w:rsidRPr="00506301">
        <w:rPr>
          <w:rFonts w:ascii="Times New Roman" w:hAnsi="Times New Roman" w:cs="Times New Roman"/>
          <w:sz w:val="24"/>
          <w:szCs w:val="24"/>
          <w:lang w:val="pt-BR"/>
        </w:rPr>
        <w:t>que é parte da</w:t>
      </w:r>
      <w:r w:rsidR="006722D2" w:rsidRPr="00506301">
        <w:rPr>
          <w:rFonts w:ascii="Times New Roman" w:hAnsi="Times New Roman" w:cs="Times New Roman"/>
          <w:sz w:val="24"/>
          <w:szCs w:val="24"/>
          <w:lang w:val="pt-BR"/>
        </w:rPr>
        <w:t xml:space="preserve"> balan</w:t>
      </w:r>
      <w:r w:rsidR="006176A9" w:rsidRPr="00506301">
        <w:rPr>
          <w:rFonts w:ascii="Times New Roman" w:hAnsi="Times New Roman" w:cs="Times New Roman"/>
          <w:sz w:val="24"/>
          <w:szCs w:val="24"/>
          <w:lang w:val="pt-BR"/>
        </w:rPr>
        <w:t>ça</w:t>
      </w:r>
      <w:r w:rsidR="006722D2" w:rsidRPr="00506301">
        <w:rPr>
          <w:rFonts w:ascii="Times New Roman" w:hAnsi="Times New Roman" w:cs="Times New Roman"/>
          <w:sz w:val="24"/>
          <w:szCs w:val="24"/>
          <w:lang w:val="pt-BR"/>
        </w:rPr>
        <w:t xml:space="preserve"> de serviços;</w:t>
      </w:r>
    </w:p>
    <w:p w14:paraId="573A5814" w14:textId="51387E19" w:rsidR="006722D2" w:rsidRPr="00506301" w:rsidRDefault="006722D2" w:rsidP="008B0E7D">
      <w:pPr>
        <w:pStyle w:val="PargrafodaLista"/>
        <w:numPr>
          <w:ilvl w:val="0"/>
          <w:numId w:val="12"/>
        </w:numPr>
        <w:spacing w:after="0" w:line="360" w:lineRule="auto"/>
        <w:ind w:left="0"/>
        <w:jc w:val="both"/>
        <w:rPr>
          <w:rFonts w:ascii="Times New Roman" w:hAnsi="Times New Roman" w:cs="Times New Roman"/>
          <w:sz w:val="24"/>
          <w:szCs w:val="24"/>
          <w:lang w:val="pt-BR"/>
        </w:rPr>
      </w:pPr>
      <w:proofErr w:type="gramStart"/>
      <w:r w:rsidRPr="00506301">
        <w:rPr>
          <w:rFonts w:ascii="Times New Roman" w:hAnsi="Times New Roman" w:cs="Times New Roman"/>
          <w:sz w:val="24"/>
          <w:szCs w:val="24"/>
          <w:lang w:val="pt-BR"/>
        </w:rPr>
        <w:t>à</w:t>
      </w:r>
      <w:proofErr w:type="gramEnd"/>
      <w:r w:rsidRPr="00506301">
        <w:rPr>
          <w:rFonts w:ascii="Times New Roman" w:hAnsi="Times New Roman" w:cs="Times New Roman"/>
          <w:sz w:val="24"/>
          <w:szCs w:val="24"/>
          <w:lang w:val="pt-BR"/>
        </w:rPr>
        <w:t xml:space="preserve"> </w:t>
      </w:r>
      <w:r w:rsidR="00F16D95" w:rsidRPr="00506301">
        <w:rPr>
          <w:rFonts w:ascii="Times New Roman" w:hAnsi="Times New Roman" w:cs="Times New Roman"/>
          <w:sz w:val="24"/>
          <w:szCs w:val="24"/>
          <w:lang w:val="pt-BR"/>
        </w:rPr>
        <w:t xml:space="preserve">importação e exportação </w:t>
      </w:r>
      <w:r w:rsidR="006176A9" w:rsidRPr="00506301">
        <w:rPr>
          <w:rFonts w:ascii="Times New Roman" w:hAnsi="Times New Roman" w:cs="Times New Roman"/>
          <w:sz w:val="24"/>
          <w:szCs w:val="24"/>
          <w:lang w:val="pt-BR"/>
        </w:rPr>
        <w:t xml:space="preserve">registradas como </w:t>
      </w:r>
      <w:r w:rsidR="00F16D95" w:rsidRPr="00506301">
        <w:rPr>
          <w:rFonts w:ascii="Times New Roman" w:hAnsi="Times New Roman" w:cs="Times New Roman"/>
          <w:sz w:val="24"/>
          <w:szCs w:val="24"/>
          <w:lang w:val="pt-BR"/>
        </w:rPr>
        <w:t>produtos farmacêuticos</w:t>
      </w:r>
      <w:r w:rsidRPr="00506301">
        <w:rPr>
          <w:rFonts w:ascii="Times New Roman" w:hAnsi="Times New Roman" w:cs="Times New Roman"/>
          <w:sz w:val="24"/>
          <w:szCs w:val="24"/>
          <w:lang w:val="pt-BR"/>
        </w:rPr>
        <w:t xml:space="preserve"> (</w:t>
      </w:r>
      <w:r w:rsidR="006176A9" w:rsidRPr="00506301">
        <w:rPr>
          <w:rFonts w:ascii="Times New Roman" w:hAnsi="Times New Roman" w:cs="Times New Roman"/>
          <w:sz w:val="24"/>
          <w:szCs w:val="24"/>
          <w:lang w:val="pt-BR"/>
        </w:rPr>
        <w:t>excluímos</w:t>
      </w:r>
      <w:r w:rsidRPr="00506301">
        <w:rPr>
          <w:rFonts w:ascii="Times New Roman" w:hAnsi="Times New Roman" w:cs="Times New Roman"/>
          <w:sz w:val="24"/>
          <w:szCs w:val="24"/>
          <w:lang w:val="pt-BR"/>
        </w:rPr>
        <w:t xml:space="preserve"> os dados relativos às </w:t>
      </w:r>
      <w:proofErr w:type="spellStart"/>
      <w:r w:rsidRPr="00506301">
        <w:rPr>
          <w:rFonts w:ascii="Times New Roman" w:hAnsi="Times New Roman" w:cs="Times New Roman"/>
          <w:sz w:val="24"/>
          <w:szCs w:val="24"/>
          <w:lang w:val="pt-BR"/>
        </w:rPr>
        <w:t>re-exportações</w:t>
      </w:r>
      <w:proofErr w:type="spellEnd"/>
      <w:r w:rsidRPr="00506301">
        <w:rPr>
          <w:rFonts w:ascii="Times New Roman" w:hAnsi="Times New Roman" w:cs="Times New Roman"/>
          <w:sz w:val="24"/>
          <w:szCs w:val="24"/>
          <w:lang w:val="pt-BR"/>
        </w:rPr>
        <w:t xml:space="preserve"> e </w:t>
      </w:r>
      <w:proofErr w:type="spellStart"/>
      <w:r w:rsidRPr="00506301">
        <w:rPr>
          <w:rFonts w:ascii="Times New Roman" w:hAnsi="Times New Roman" w:cs="Times New Roman"/>
          <w:sz w:val="24"/>
          <w:szCs w:val="24"/>
          <w:lang w:val="pt-BR"/>
        </w:rPr>
        <w:t>re-importações</w:t>
      </w:r>
      <w:proofErr w:type="spellEnd"/>
      <w:r w:rsidRPr="00506301">
        <w:rPr>
          <w:rFonts w:ascii="Times New Roman" w:hAnsi="Times New Roman" w:cs="Times New Roman"/>
          <w:sz w:val="24"/>
          <w:szCs w:val="24"/>
          <w:lang w:val="pt-BR"/>
        </w:rPr>
        <w:t xml:space="preserve"> destes produtos</w:t>
      </w:r>
      <w:r w:rsidR="006176A9" w:rsidRPr="00506301">
        <w:rPr>
          <w:rFonts w:ascii="Times New Roman" w:hAnsi="Times New Roman" w:cs="Times New Roman"/>
          <w:sz w:val="24"/>
          <w:szCs w:val="24"/>
          <w:lang w:val="pt-BR"/>
        </w:rPr>
        <w:t xml:space="preserve"> pelos países</w:t>
      </w:r>
      <w:r w:rsidRPr="006722D2">
        <w:rPr>
          <w:vertAlign w:val="superscript"/>
          <w:lang w:val="pt-BR"/>
        </w:rPr>
        <w:footnoteReference w:id="8"/>
      </w:r>
      <w:r w:rsidRPr="00506301">
        <w:rPr>
          <w:rFonts w:ascii="Times New Roman" w:hAnsi="Times New Roman" w:cs="Times New Roman"/>
          <w:sz w:val="24"/>
          <w:szCs w:val="24"/>
          <w:lang w:val="pt-BR"/>
        </w:rPr>
        <w:t>)</w:t>
      </w:r>
      <w:r w:rsidR="00907505" w:rsidRPr="00506301">
        <w:rPr>
          <w:rFonts w:ascii="Times New Roman" w:hAnsi="Times New Roman" w:cs="Times New Roman"/>
          <w:sz w:val="24"/>
          <w:szCs w:val="24"/>
          <w:lang w:val="pt-BR"/>
        </w:rPr>
        <w:t>;</w:t>
      </w:r>
    </w:p>
    <w:p w14:paraId="78312F9D" w14:textId="663BF1F8" w:rsidR="00907505" w:rsidRPr="00506301" w:rsidRDefault="00907505" w:rsidP="008B0E7D">
      <w:pPr>
        <w:pStyle w:val="PargrafodaLista"/>
        <w:numPr>
          <w:ilvl w:val="0"/>
          <w:numId w:val="12"/>
        </w:numPr>
        <w:spacing w:after="0" w:line="360" w:lineRule="auto"/>
        <w:ind w:left="0"/>
        <w:jc w:val="both"/>
        <w:rPr>
          <w:rFonts w:ascii="Times New Roman" w:hAnsi="Times New Roman" w:cs="Times New Roman"/>
          <w:sz w:val="24"/>
          <w:szCs w:val="24"/>
          <w:lang w:val="pt-BR"/>
        </w:rPr>
      </w:pPr>
      <w:proofErr w:type="gramStart"/>
      <w:r w:rsidRPr="00506301">
        <w:rPr>
          <w:rFonts w:ascii="Times New Roman" w:hAnsi="Times New Roman" w:cs="Times New Roman"/>
          <w:sz w:val="24"/>
          <w:szCs w:val="24"/>
          <w:lang w:val="pt-BR"/>
        </w:rPr>
        <w:t>aos</w:t>
      </w:r>
      <w:proofErr w:type="gramEnd"/>
      <w:r w:rsidRPr="00506301">
        <w:rPr>
          <w:rFonts w:ascii="Times New Roman" w:hAnsi="Times New Roman" w:cs="Times New Roman"/>
          <w:sz w:val="24"/>
          <w:szCs w:val="24"/>
          <w:lang w:val="pt-BR"/>
        </w:rPr>
        <w:t xml:space="preserve"> </w:t>
      </w:r>
      <w:r w:rsidR="006176A9" w:rsidRPr="00506301">
        <w:rPr>
          <w:rFonts w:ascii="Times New Roman" w:hAnsi="Times New Roman" w:cs="Times New Roman"/>
          <w:sz w:val="24"/>
          <w:szCs w:val="24"/>
          <w:lang w:val="pt-BR"/>
        </w:rPr>
        <w:t xml:space="preserve">totais de </w:t>
      </w:r>
      <w:r w:rsidRPr="00506301">
        <w:rPr>
          <w:rFonts w:ascii="Times New Roman" w:hAnsi="Times New Roman" w:cs="Times New Roman"/>
          <w:sz w:val="24"/>
          <w:szCs w:val="24"/>
          <w:lang w:val="pt-BR"/>
        </w:rPr>
        <w:t>créditos e débitos re</w:t>
      </w:r>
      <w:r w:rsidR="006176A9" w:rsidRPr="00506301">
        <w:rPr>
          <w:rFonts w:ascii="Times New Roman" w:hAnsi="Times New Roman" w:cs="Times New Roman"/>
          <w:sz w:val="24"/>
          <w:szCs w:val="24"/>
          <w:lang w:val="pt-BR"/>
        </w:rPr>
        <w:t xml:space="preserve">gistrados em todas as </w:t>
      </w:r>
      <w:r w:rsidRPr="00506301">
        <w:rPr>
          <w:rFonts w:ascii="Times New Roman" w:hAnsi="Times New Roman" w:cs="Times New Roman"/>
          <w:sz w:val="24"/>
          <w:szCs w:val="24"/>
          <w:lang w:val="pt-BR"/>
        </w:rPr>
        <w:t>balança</w:t>
      </w:r>
      <w:r w:rsidR="006176A9" w:rsidRPr="00506301">
        <w:rPr>
          <w:rFonts w:ascii="Times New Roman" w:hAnsi="Times New Roman" w:cs="Times New Roman"/>
          <w:sz w:val="24"/>
          <w:szCs w:val="24"/>
          <w:lang w:val="pt-BR"/>
        </w:rPr>
        <w:t>s</w:t>
      </w:r>
      <w:r w:rsidRPr="00506301">
        <w:rPr>
          <w:rFonts w:ascii="Times New Roman" w:hAnsi="Times New Roman" w:cs="Times New Roman"/>
          <w:sz w:val="24"/>
          <w:szCs w:val="24"/>
          <w:lang w:val="pt-BR"/>
        </w:rPr>
        <w:t xml:space="preserve"> de serviços;</w:t>
      </w:r>
    </w:p>
    <w:p w14:paraId="443775DD" w14:textId="40FB4DC5" w:rsidR="00907505" w:rsidRPr="00506301" w:rsidRDefault="00907505" w:rsidP="008B0E7D">
      <w:pPr>
        <w:pStyle w:val="PargrafodaLista"/>
        <w:numPr>
          <w:ilvl w:val="0"/>
          <w:numId w:val="12"/>
        </w:numPr>
        <w:spacing w:after="0" w:line="360" w:lineRule="auto"/>
        <w:ind w:left="0"/>
        <w:jc w:val="both"/>
        <w:rPr>
          <w:rFonts w:ascii="Times New Roman" w:hAnsi="Times New Roman" w:cs="Times New Roman"/>
          <w:sz w:val="24"/>
          <w:szCs w:val="24"/>
          <w:lang w:val="pt-BR"/>
        </w:rPr>
      </w:pPr>
      <w:proofErr w:type="gramStart"/>
      <w:r w:rsidRPr="00506301">
        <w:rPr>
          <w:rFonts w:ascii="Times New Roman" w:hAnsi="Times New Roman" w:cs="Times New Roman"/>
          <w:sz w:val="24"/>
          <w:szCs w:val="24"/>
          <w:lang w:val="pt-BR"/>
        </w:rPr>
        <w:t>aos</w:t>
      </w:r>
      <w:proofErr w:type="gramEnd"/>
      <w:r w:rsidRPr="00506301">
        <w:rPr>
          <w:rFonts w:ascii="Times New Roman" w:hAnsi="Times New Roman" w:cs="Times New Roman"/>
          <w:sz w:val="24"/>
          <w:szCs w:val="24"/>
          <w:lang w:val="pt-BR"/>
        </w:rPr>
        <w:t xml:space="preserve"> </w:t>
      </w:r>
      <w:r w:rsidR="006176A9" w:rsidRPr="00506301">
        <w:rPr>
          <w:rFonts w:ascii="Times New Roman" w:hAnsi="Times New Roman" w:cs="Times New Roman"/>
          <w:sz w:val="24"/>
          <w:szCs w:val="24"/>
          <w:lang w:val="pt-BR"/>
        </w:rPr>
        <w:t xml:space="preserve">totais de </w:t>
      </w:r>
      <w:r w:rsidRPr="00506301">
        <w:rPr>
          <w:rFonts w:ascii="Times New Roman" w:hAnsi="Times New Roman" w:cs="Times New Roman"/>
          <w:sz w:val="24"/>
          <w:szCs w:val="24"/>
          <w:lang w:val="pt-BR"/>
        </w:rPr>
        <w:t xml:space="preserve">créditos e débitos </w:t>
      </w:r>
      <w:r w:rsidR="006176A9" w:rsidRPr="00506301">
        <w:rPr>
          <w:rFonts w:ascii="Times New Roman" w:hAnsi="Times New Roman" w:cs="Times New Roman"/>
          <w:sz w:val="24"/>
          <w:szCs w:val="24"/>
          <w:lang w:val="pt-BR"/>
        </w:rPr>
        <w:t xml:space="preserve">registrados nas </w:t>
      </w:r>
      <w:r w:rsidRPr="00506301">
        <w:rPr>
          <w:rFonts w:ascii="Times New Roman" w:hAnsi="Times New Roman" w:cs="Times New Roman"/>
          <w:sz w:val="24"/>
          <w:szCs w:val="24"/>
          <w:lang w:val="pt-BR"/>
        </w:rPr>
        <w:t>balança</w:t>
      </w:r>
      <w:r w:rsidR="006176A9" w:rsidRPr="00506301">
        <w:rPr>
          <w:rFonts w:ascii="Times New Roman" w:hAnsi="Times New Roman" w:cs="Times New Roman"/>
          <w:sz w:val="24"/>
          <w:szCs w:val="24"/>
          <w:lang w:val="pt-BR"/>
        </w:rPr>
        <w:t>s</w:t>
      </w:r>
      <w:r w:rsidRPr="00506301">
        <w:rPr>
          <w:rFonts w:ascii="Times New Roman" w:hAnsi="Times New Roman" w:cs="Times New Roman"/>
          <w:sz w:val="24"/>
          <w:szCs w:val="24"/>
          <w:lang w:val="pt-BR"/>
        </w:rPr>
        <w:t xml:space="preserve"> comercia</w:t>
      </w:r>
      <w:r w:rsidR="006176A9" w:rsidRPr="00506301">
        <w:rPr>
          <w:rFonts w:ascii="Times New Roman" w:hAnsi="Times New Roman" w:cs="Times New Roman"/>
          <w:sz w:val="24"/>
          <w:szCs w:val="24"/>
          <w:lang w:val="pt-BR"/>
        </w:rPr>
        <w:t>is</w:t>
      </w:r>
      <w:r w:rsidRPr="00506301">
        <w:rPr>
          <w:rFonts w:ascii="Times New Roman" w:hAnsi="Times New Roman" w:cs="Times New Roman"/>
          <w:sz w:val="24"/>
          <w:szCs w:val="24"/>
          <w:lang w:val="pt-BR"/>
        </w:rPr>
        <w:t xml:space="preserve"> (bens tangíveis);</w:t>
      </w:r>
    </w:p>
    <w:p w14:paraId="07F8E6FF" w14:textId="40C6C1DB" w:rsidR="006722D2" w:rsidRPr="00506301" w:rsidRDefault="006722D2" w:rsidP="008B0E7D">
      <w:pPr>
        <w:pStyle w:val="PargrafodaLista"/>
        <w:numPr>
          <w:ilvl w:val="0"/>
          <w:numId w:val="12"/>
        </w:numPr>
        <w:spacing w:after="0" w:line="360" w:lineRule="auto"/>
        <w:ind w:left="0"/>
        <w:jc w:val="both"/>
        <w:rPr>
          <w:rFonts w:ascii="Times New Roman" w:hAnsi="Times New Roman" w:cs="Times New Roman"/>
          <w:sz w:val="24"/>
          <w:szCs w:val="24"/>
          <w:lang w:val="pt-BR"/>
        </w:rPr>
      </w:pPr>
      <w:proofErr w:type="gramStart"/>
      <w:r w:rsidRPr="00506301">
        <w:rPr>
          <w:rFonts w:ascii="Times New Roman" w:hAnsi="Times New Roman" w:cs="Times New Roman"/>
          <w:sz w:val="24"/>
          <w:szCs w:val="24"/>
          <w:lang w:val="pt-BR"/>
        </w:rPr>
        <w:t>ao</w:t>
      </w:r>
      <w:r w:rsidR="006176A9" w:rsidRPr="00506301">
        <w:rPr>
          <w:rFonts w:ascii="Times New Roman" w:hAnsi="Times New Roman" w:cs="Times New Roman"/>
          <w:sz w:val="24"/>
          <w:szCs w:val="24"/>
          <w:lang w:val="pt-BR"/>
        </w:rPr>
        <w:t>s</w:t>
      </w:r>
      <w:proofErr w:type="gramEnd"/>
      <w:r w:rsidR="006176A9" w:rsidRPr="00506301">
        <w:rPr>
          <w:rFonts w:ascii="Times New Roman" w:hAnsi="Times New Roman" w:cs="Times New Roman"/>
          <w:sz w:val="24"/>
          <w:szCs w:val="24"/>
          <w:lang w:val="pt-BR"/>
        </w:rPr>
        <w:t xml:space="preserve"> valores dos</w:t>
      </w:r>
      <w:r w:rsidRPr="00506301">
        <w:rPr>
          <w:rFonts w:ascii="Times New Roman" w:hAnsi="Times New Roman" w:cs="Times New Roman"/>
          <w:sz w:val="24"/>
          <w:szCs w:val="24"/>
          <w:lang w:val="pt-BR"/>
        </w:rPr>
        <w:t xml:space="preserve"> Produto Interno Bruto dos países</w:t>
      </w:r>
      <w:r w:rsidR="00907505" w:rsidRPr="00506301">
        <w:rPr>
          <w:rFonts w:ascii="Times New Roman" w:hAnsi="Times New Roman" w:cs="Times New Roman"/>
          <w:sz w:val="24"/>
          <w:szCs w:val="24"/>
          <w:lang w:val="pt-BR"/>
        </w:rPr>
        <w:t>;</w:t>
      </w:r>
    </w:p>
    <w:p w14:paraId="33EE0AE2" w14:textId="571BDFB2" w:rsidR="006722D2" w:rsidRPr="00506301" w:rsidRDefault="006722D2" w:rsidP="008B0E7D">
      <w:pPr>
        <w:pStyle w:val="PargrafodaLista"/>
        <w:numPr>
          <w:ilvl w:val="0"/>
          <w:numId w:val="12"/>
        </w:numPr>
        <w:spacing w:after="0" w:line="360" w:lineRule="auto"/>
        <w:ind w:left="0"/>
        <w:jc w:val="both"/>
        <w:rPr>
          <w:rFonts w:ascii="Times New Roman" w:hAnsi="Times New Roman" w:cs="Times New Roman"/>
          <w:sz w:val="24"/>
          <w:szCs w:val="24"/>
          <w:lang w:val="pt-BR"/>
        </w:rPr>
      </w:pPr>
      <w:proofErr w:type="gramStart"/>
      <w:r w:rsidRPr="00506301">
        <w:rPr>
          <w:rFonts w:ascii="Times New Roman" w:hAnsi="Times New Roman" w:cs="Times New Roman"/>
          <w:sz w:val="24"/>
          <w:szCs w:val="24"/>
          <w:lang w:val="pt-BR"/>
        </w:rPr>
        <w:t>ao</w:t>
      </w:r>
      <w:r w:rsidR="00907505" w:rsidRPr="00506301">
        <w:rPr>
          <w:rFonts w:ascii="Times New Roman" w:hAnsi="Times New Roman" w:cs="Times New Roman"/>
          <w:sz w:val="24"/>
          <w:szCs w:val="24"/>
          <w:lang w:val="pt-BR"/>
        </w:rPr>
        <w:t>s</w:t>
      </w:r>
      <w:proofErr w:type="gramEnd"/>
      <w:r w:rsidRPr="00506301">
        <w:rPr>
          <w:rFonts w:ascii="Times New Roman" w:hAnsi="Times New Roman" w:cs="Times New Roman"/>
          <w:sz w:val="24"/>
          <w:szCs w:val="24"/>
          <w:lang w:val="pt-BR"/>
        </w:rPr>
        <w:t xml:space="preserve"> índice</w:t>
      </w:r>
      <w:r w:rsidR="00907505" w:rsidRPr="00506301">
        <w:rPr>
          <w:rFonts w:ascii="Times New Roman" w:hAnsi="Times New Roman" w:cs="Times New Roman"/>
          <w:sz w:val="24"/>
          <w:szCs w:val="24"/>
          <w:lang w:val="pt-BR"/>
        </w:rPr>
        <w:t>s</w:t>
      </w:r>
      <w:r w:rsidRPr="00506301">
        <w:rPr>
          <w:rFonts w:ascii="Times New Roman" w:hAnsi="Times New Roman" w:cs="Times New Roman"/>
          <w:sz w:val="24"/>
          <w:szCs w:val="24"/>
          <w:lang w:val="pt-BR"/>
        </w:rPr>
        <w:t xml:space="preserve"> de valor</w:t>
      </w:r>
      <w:r w:rsidR="00907505" w:rsidRPr="00506301">
        <w:rPr>
          <w:rFonts w:ascii="Times New Roman" w:hAnsi="Times New Roman" w:cs="Times New Roman"/>
          <w:sz w:val="24"/>
          <w:szCs w:val="24"/>
          <w:lang w:val="pt-BR"/>
        </w:rPr>
        <w:t>es d</w:t>
      </w:r>
      <w:r w:rsidRPr="00506301">
        <w:rPr>
          <w:rFonts w:ascii="Times New Roman" w:hAnsi="Times New Roman" w:cs="Times New Roman"/>
          <w:sz w:val="24"/>
          <w:szCs w:val="24"/>
          <w:lang w:val="pt-BR"/>
        </w:rPr>
        <w:t>e importação</w:t>
      </w:r>
      <w:r w:rsidR="00907505" w:rsidRPr="00506301">
        <w:rPr>
          <w:rFonts w:ascii="Times New Roman" w:hAnsi="Times New Roman" w:cs="Times New Roman"/>
          <w:sz w:val="24"/>
          <w:szCs w:val="24"/>
          <w:lang w:val="pt-BR"/>
        </w:rPr>
        <w:t xml:space="preserve"> e exportação (para deflacionar os dados</w:t>
      </w:r>
      <w:r w:rsidR="006176A9" w:rsidRPr="00506301">
        <w:rPr>
          <w:rFonts w:ascii="Times New Roman" w:hAnsi="Times New Roman" w:cs="Times New Roman"/>
          <w:sz w:val="24"/>
          <w:szCs w:val="24"/>
          <w:lang w:val="pt-BR"/>
        </w:rPr>
        <w:t xml:space="preserve"> de exportação e importação de cada país</w:t>
      </w:r>
      <w:r w:rsidR="00907505" w:rsidRPr="00506301">
        <w:rPr>
          <w:rFonts w:ascii="Times New Roman" w:hAnsi="Times New Roman" w:cs="Times New Roman"/>
          <w:sz w:val="24"/>
          <w:szCs w:val="24"/>
          <w:lang w:val="pt-BR"/>
        </w:rPr>
        <w:t>);</w:t>
      </w:r>
    </w:p>
    <w:p w14:paraId="12B69D14" w14:textId="0023A9F9" w:rsidR="006722D2" w:rsidRDefault="00CD6BE7" w:rsidP="008B0E7D">
      <w:pPr>
        <w:spacing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Além disso, como parte do mesmo banco, produzimos uma </w:t>
      </w:r>
      <w:bookmarkStart w:id="4" w:name="_Hlk528060259"/>
      <w:r>
        <w:rPr>
          <w:rFonts w:ascii="Times New Roman" w:hAnsi="Times New Roman" w:cs="Times New Roman"/>
          <w:sz w:val="24"/>
          <w:szCs w:val="24"/>
          <w:lang w:val="pt-BR"/>
        </w:rPr>
        <w:t xml:space="preserve">planilha </w:t>
      </w:r>
      <w:r w:rsidR="00506301">
        <w:rPr>
          <w:rFonts w:ascii="Times New Roman" w:hAnsi="Times New Roman" w:cs="Times New Roman"/>
          <w:sz w:val="24"/>
          <w:szCs w:val="24"/>
          <w:lang w:val="pt-BR"/>
        </w:rPr>
        <w:t>(</w:t>
      </w:r>
      <w:r w:rsidR="00506301" w:rsidRPr="00506301">
        <w:rPr>
          <w:rFonts w:ascii="Times New Roman" w:hAnsi="Times New Roman" w:cs="Times New Roman"/>
          <w:b/>
          <w:sz w:val="24"/>
          <w:szCs w:val="24"/>
          <w:lang w:val="pt-BR"/>
        </w:rPr>
        <w:t xml:space="preserve">anexo </w:t>
      </w:r>
      <w:proofErr w:type="gramStart"/>
      <w:r w:rsidR="00506301" w:rsidRPr="00506301">
        <w:rPr>
          <w:rFonts w:ascii="Times New Roman" w:hAnsi="Times New Roman" w:cs="Times New Roman"/>
          <w:b/>
          <w:sz w:val="24"/>
          <w:szCs w:val="24"/>
          <w:lang w:val="pt-BR"/>
        </w:rPr>
        <w:t>4</w:t>
      </w:r>
      <w:proofErr w:type="gramEnd"/>
      <w:r w:rsidR="00506301">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relativa </w:t>
      </w:r>
      <w:r w:rsidR="009073B2">
        <w:rPr>
          <w:rFonts w:ascii="Times New Roman" w:hAnsi="Times New Roman" w:cs="Times New Roman"/>
          <w:sz w:val="24"/>
          <w:szCs w:val="24"/>
          <w:lang w:val="pt-BR"/>
        </w:rPr>
        <w:t>à</w:t>
      </w:r>
      <w:r w:rsidR="00907505">
        <w:rPr>
          <w:rFonts w:ascii="Times New Roman" w:hAnsi="Times New Roman" w:cs="Times New Roman"/>
          <w:sz w:val="24"/>
          <w:szCs w:val="24"/>
          <w:lang w:val="pt-BR"/>
        </w:rPr>
        <w:t xml:space="preserve"> classificação </w:t>
      </w:r>
      <w:r w:rsidR="006722D2" w:rsidRPr="00701A60">
        <w:rPr>
          <w:rFonts w:ascii="Times New Roman" w:hAnsi="Times New Roman" w:cs="Times New Roman"/>
          <w:sz w:val="24"/>
          <w:szCs w:val="24"/>
          <w:lang w:val="pt-BR"/>
        </w:rPr>
        <w:t xml:space="preserve">de todos os países por nível de desenvolvimento (de acordo com a classificação das Nações Unidas), nível de renda (de acordo com a classificação do Banco Mundial), região e sub-região geográficas (de acordo com a classificação do Banco Mundial). </w:t>
      </w:r>
    </w:p>
    <w:p w14:paraId="3A03F30A" w14:textId="7098E8BE" w:rsidR="00CD6BE7" w:rsidRDefault="00907505" w:rsidP="008B0E7D">
      <w:pPr>
        <w:spacing w:after="0" w:line="360" w:lineRule="auto"/>
        <w:ind w:firstLine="720"/>
        <w:jc w:val="both"/>
        <w:rPr>
          <w:rFonts w:ascii="Times New Roman" w:hAnsi="Times New Roman" w:cs="Times New Roman"/>
          <w:sz w:val="24"/>
          <w:szCs w:val="24"/>
          <w:lang w:val="pt-BR"/>
        </w:rPr>
      </w:pPr>
      <w:bookmarkStart w:id="5" w:name="_Hlk528060294"/>
      <w:bookmarkEnd w:id="4"/>
      <w:r w:rsidRPr="00CD6BE7">
        <w:rPr>
          <w:rFonts w:ascii="Times New Roman" w:hAnsi="Times New Roman" w:cs="Times New Roman"/>
          <w:sz w:val="24"/>
          <w:szCs w:val="24"/>
          <w:lang w:val="pt-BR"/>
        </w:rPr>
        <w:t xml:space="preserve">O </w:t>
      </w:r>
      <w:r w:rsidRPr="00506301">
        <w:rPr>
          <w:rFonts w:ascii="Times New Roman" w:hAnsi="Times New Roman" w:cs="Times New Roman"/>
          <w:sz w:val="24"/>
          <w:szCs w:val="24"/>
          <w:lang w:val="pt-BR"/>
        </w:rPr>
        <w:t>segund</w:t>
      </w:r>
      <w:r w:rsidR="00E17E10" w:rsidRPr="00506301">
        <w:rPr>
          <w:rFonts w:ascii="Times New Roman" w:hAnsi="Times New Roman" w:cs="Times New Roman"/>
          <w:sz w:val="24"/>
          <w:szCs w:val="24"/>
          <w:lang w:val="pt-BR"/>
        </w:rPr>
        <w:t>o</w:t>
      </w:r>
      <w:r w:rsidRPr="00CD6BE7">
        <w:rPr>
          <w:rFonts w:ascii="Times New Roman" w:hAnsi="Times New Roman" w:cs="Times New Roman"/>
          <w:sz w:val="24"/>
          <w:szCs w:val="24"/>
          <w:lang w:val="pt-BR"/>
        </w:rPr>
        <w:t xml:space="preserve"> banco de dados consolidado </w:t>
      </w:r>
      <w:r w:rsidR="00506301">
        <w:rPr>
          <w:rFonts w:ascii="Times New Roman" w:hAnsi="Times New Roman" w:cs="Times New Roman"/>
          <w:sz w:val="24"/>
          <w:szCs w:val="24"/>
          <w:lang w:val="pt-BR"/>
        </w:rPr>
        <w:t>(</w:t>
      </w:r>
      <w:r w:rsidR="00506301" w:rsidRPr="00506301">
        <w:rPr>
          <w:rFonts w:ascii="Times New Roman" w:hAnsi="Times New Roman" w:cs="Times New Roman"/>
          <w:b/>
          <w:sz w:val="24"/>
          <w:szCs w:val="24"/>
          <w:lang w:val="pt-BR"/>
        </w:rPr>
        <w:t>anexo</w:t>
      </w:r>
      <w:r w:rsidR="000008C3">
        <w:rPr>
          <w:rFonts w:ascii="Times New Roman" w:hAnsi="Times New Roman" w:cs="Times New Roman"/>
          <w:b/>
          <w:sz w:val="24"/>
          <w:szCs w:val="24"/>
          <w:lang w:val="pt-BR"/>
        </w:rPr>
        <w:t>s</w:t>
      </w:r>
      <w:r w:rsidR="00506301" w:rsidRPr="00506301">
        <w:rPr>
          <w:rFonts w:ascii="Times New Roman" w:hAnsi="Times New Roman" w:cs="Times New Roman"/>
          <w:b/>
          <w:sz w:val="24"/>
          <w:szCs w:val="24"/>
          <w:lang w:val="pt-BR"/>
        </w:rPr>
        <w:t xml:space="preserve"> </w:t>
      </w:r>
      <w:proofErr w:type="gramStart"/>
      <w:r w:rsidR="00506301" w:rsidRPr="00506301">
        <w:rPr>
          <w:rFonts w:ascii="Times New Roman" w:hAnsi="Times New Roman" w:cs="Times New Roman"/>
          <w:b/>
          <w:sz w:val="24"/>
          <w:szCs w:val="24"/>
          <w:lang w:val="pt-BR"/>
        </w:rPr>
        <w:t>5</w:t>
      </w:r>
      <w:proofErr w:type="gramEnd"/>
      <w:r w:rsidR="00506301">
        <w:rPr>
          <w:rFonts w:ascii="Times New Roman" w:hAnsi="Times New Roman" w:cs="Times New Roman"/>
          <w:sz w:val="24"/>
          <w:szCs w:val="24"/>
          <w:lang w:val="pt-BR"/>
        </w:rPr>
        <w:t xml:space="preserve">) </w:t>
      </w:r>
      <w:r>
        <w:rPr>
          <w:rFonts w:ascii="Times New Roman" w:hAnsi="Times New Roman" w:cs="Times New Roman"/>
          <w:sz w:val="24"/>
          <w:szCs w:val="24"/>
          <w:lang w:val="pt-BR"/>
        </w:rPr>
        <w:t>mostra</w:t>
      </w:r>
      <w:r w:rsidR="00E17E10">
        <w:rPr>
          <w:rFonts w:ascii="Times New Roman" w:hAnsi="Times New Roman" w:cs="Times New Roman"/>
          <w:sz w:val="24"/>
          <w:szCs w:val="24"/>
          <w:lang w:val="pt-BR"/>
        </w:rPr>
        <w:t xml:space="preserve"> os fluxos bilaterais </w:t>
      </w:r>
      <w:r w:rsidR="00094288">
        <w:rPr>
          <w:rFonts w:ascii="Times New Roman" w:hAnsi="Times New Roman" w:cs="Times New Roman"/>
          <w:sz w:val="24"/>
          <w:szCs w:val="24"/>
          <w:lang w:val="pt-BR"/>
        </w:rPr>
        <w:t>d</w:t>
      </w:r>
      <w:r w:rsidR="00E97054">
        <w:rPr>
          <w:rFonts w:ascii="Times New Roman" w:hAnsi="Times New Roman" w:cs="Times New Roman"/>
          <w:sz w:val="24"/>
          <w:szCs w:val="24"/>
          <w:lang w:val="pt-BR"/>
        </w:rPr>
        <w:t xml:space="preserve">a importação e exportação de produtos farmacêuticos </w:t>
      </w:r>
      <w:r w:rsidR="00094288">
        <w:rPr>
          <w:rFonts w:ascii="Times New Roman" w:hAnsi="Times New Roman" w:cs="Times New Roman"/>
          <w:sz w:val="24"/>
          <w:szCs w:val="24"/>
          <w:lang w:val="pt-BR"/>
        </w:rPr>
        <w:t xml:space="preserve">entre os trinta países selecionados na amostra de países mais relevantes </w:t>
      </w:r>
      <w:bookmarkEnd w:id="5"/>
      <w:r w:rsidR="00094288">
        <w:rPr>
          <w:rFonts w:ascii="Times New Roman" w:hAnsi="Times New Roman" w:cs="Times New Roman"/>
          <w:sz w:val="24"/>
          <w:szCs w:val="24"/>
          <w:lang w:val="pt-BR"/>
        </w:rPr>
        <w:t>(ver critérios na seção</w:t>
      </w:r>
      <w:r w:rsidR="00D9310C">
        <w:rPr>
          <w:rFonts w:ascii="Times New Roman" w:hAnsi="Times New Roman" w:cs="Times New Roman"/>
          <w:sz w:val="24"/>
          <w:szCs w:val="24"/>
          <w:lang w:val="pt-BR"/>
        </w:rPr>
        <w:t xml:space="preserve"> abaixo</w:t>
      </w:r>
      <w:r w:rsidR="00094288">
        <w:rPr>
          <w:rFonts w:ascii="Times New Roman" w:hAnsi="Times New Roman" w:cs="Times New Roman"/>
          <w:sz w:val="24"/>
          <w:szCs w:val="24"/>
          <w:lang w:val="pt-BR"/>
        </w:rPr>
        <w:t xml:space="preserve"> </w:t>
      </w:r>
      <w:r w:rsidR="00094288" w:rsidRPr="00E8345B">
        <w:rPr>
          <w:rFonts w:ascii="Times New Roman" w:hAnsi="Times New Roman" w:cs="Times New Roman"/>
          <w:i/>
          <w:sz w:val="24"/>
          <w:szCs w:val="24"/>
          <w:lang w:val="pt-BR"/>
        </w:rPr>
        <w:t>construir a metodologia para selecionar os países mais relevantes</w:t>
      </w:r>
      <w:r w:rsidR="00094288">
        <w:rPr>
          <w:rFonts w:ascii="Times New Roman" w:hAnsi="Times New Roman" w:cs="Times New Roman"/>
          <w:sz w:val="24"/>
          <w:szCs w:val="24"/>
          <w:lang w:val="pt-BR"/>
        </w:rPr>
        <w:t xml:space="preserve">). Como </w:t>
      </w:r>
      <w:r w:rsidR="00695AAA">
        <w:rPr>
          <w:rFonts w:ascii="Times New Roman" w:hAnsi="Times New Roman" w:cs="Times New Roman"/>
          <w:sz w:val="24"/>
          <w:szCs w:val="24"/>
          <w:lang w:val="pt-BR"/>
        </w:rPr>
        <w:t>existem</w:t>
      </w:r>
      <w:r w:rsidR="00094288">
        <w:rPr>
          <w:rFonts w:ascii="Times New Roman" w:hAnsi="Times New Roman" w:cs="Times New Roman"/>
          <w:sz w:val="24"/>
          <w:szCs w:val="24"/>
          <w:lang w:val="pt-BR"/>
        </w:rPr>
        <w:t xml:space="preserve"> grandes discrepâncias entre os registros bilaterais de fluxos </w:t>
      </w:r>
      <w:r w:rsidR="00695AAA">
        <w:rPr>
          <w:rFonts w:ascii="Times New Roman" w:hAnsi="Times New Roman" w:cs="Times New Roman"/>
          <w:sz w:val="24"/>
          <w:szCs w:val="24"/>
          <w:lang w:val="pt-BR"/>
        </w:rPr>
        <w:t xml:space="preserve">de comércio de </w:t>
      </w:r>
      <w:r w:rsidR="00F366F1">
        <w:rPr>
          <w:rFonts w:ascii="Times New Roman" w:hAnsi="Times New Roman" w:cs="Times New Roman"/>
          <w:sz w:val="24"/>
          <w:szCs w:val="24"/>
          <w:lang w:val="pt-BR"/>
        </w:rPr>
        <w:t xml:space="preserve">bens e </w:t>
      </w:r>
      <w:r w:rsidR="00695AAA">
        <w:rPr>
          <w:rFonts w:ascii="Times New Roman" w:hAnsi="Times New Roman" w:cs="Times New Roman"/>
          <w:sz w:val="24"/>
          <w:szCs w:val="24"/>
          <w:lang w:val="pt-BR"/>
        </w:rPr>
        <w:t>serviços por cada parte envolvida (</w:t>
      </w:r>
      <w:proofErr w:type="spellStart"/>
      <w:r w:rsidR="00695AAA">
        <w:rPr>
          <w:rFonts w:ascii="Times New Roman" w:hAnsi="Times New Roman" w:cs="Times New Roman"/>
          <w:sz w:val="24"/>
          <w:szCs w:val="24"/>
          <w:lang w:val="pt-BR"/>
        </w:rPr>
        <w:t>Markhonko</w:t>
      </w:r>
      <w:proofErr w:type="spellEnd"/>
      <w:r w:rsidR="00695AAA">
        <w:rPr>
          <w:rFonts w:ascii="Times New Roman" w:hAnsi="Times New Roman" w:cs="Times New Roman"/>
          <w:sz w:val="24"/>
          <w:szCs w:val="24"/>
          <w:lang w:val="pt-BR"/>
        </w:rPr>
        <w:t xml:space="preserve">, 2014; </w:t>
      </w:r>
      <w:r w:rsidR="003F15EF">
        <w:rPr>
          <w:rFonts w:ascii="Times New Roman" w:hAnsi="Times New Roman" w:cs="Times New Roman"/>
          <w:sz w:val="24"/>
          <w:szCs w:val="24"/>
          <w:lang w:val="pt-BR"/>
        </w:rPr>
        <w:t xml:space="preserve">UN </w:t>
      </w:r>
      <w:proofErr w:type="spellStart"/>
      <w:r w:rsidR="00695AAA">
        <w:rPr>
          <w:rFonts w:ascii="Times New Roman" w:hAnsi="Times New Roman" w:cs="Times New Roman"/>
          <w:sz w:val="24"/>
          <w:szCs w:val="24"/>
          <w:lang w:val="pt-BR"/>
        </w:rPr>
        <w:t>S</w:t>
      </w:r>
      <w:r w:rsidR="003F15EF">
        <w:rPr>
          <w:rFonts w:ascii="Times New Roman" w:hAnsi="Times New Roman" w:cs="Times New Roman"/>
          <w:sz w:val="24"/>
          <w:szCs w:val="24"/>
          <w:lang w:val="pt-BR"/>
        </w:rPr>
        <w:t>tatistical</w:t>
      </w:r>
      <w:proofErr w:type="spellEnd"/>
      <w:r w:rsidR="003F15EF">
        <w:rPr>
          <w:rFonts w:ascii="Times New Roman" w:hAnsi="Times New Roman" w:cs="Times New Roman"/>
          <w:sz w:val="24"/>
          <w:szCs w:val="24"/>
          <w:lang w:val="pt-BR"/>
        </w:rPr>
        <w:t xml:space="preserve"> </w:t>
      </w:r>
      <w:proofErr w:type="spellStart"/>
      <w:r w:rsidR="00695AAA">
        <w:rPr>
          <w:rFonts w:ascii="Times New Roman" w:hAnsi="Times New Roman" w:cs="Times New Roman"/>
          <w:sz w:val="24"/>
          <w:szCs w:val="24"/>
          <w:lang w:val="pt-BR"/>
        </w:rPr>
        <w:t>C</w:t>
      </w:r>
      <w:r w:rsidR="003F15EF">
        <w:rPr>
          <w:rFonts w:ascii="Times New Roman" w:hAnsi="Times New Roman" w:cs="Times New Roman"/>
          <w:sz w:val="24"/>
          <w:szCs w:val="24"/>
          <w:lang w:val="pt-BR"/>
        </w:rPr>
        <w:t>omission</w:t>
      </w:r>
      <w:proofErr w:type="spellEnd"/>
      <w:r w:rsidR="00695AAA">
        <w:rPr>
          <w:rFonts w:ascii="Times New Roman" w:hAnsi="Times New Roman" w:cs="Times New Roman"/>
          <w:sz w:val="24"/>
          <w:szCs w:val="24"/>
          <w:lang w:val="pt-BR"/>
        </w:rPr>
        <w:t xml:space="preserve">, 2013), optamos por construir </w:t>
      </w:r>
      <w:r w:rsidR="00FB1AEB">
        <w:rPr>
          <w:rFonts w:ascii="Times New Roman" w:hAnsi="Times New Roman" w:cs="Times New Roman"/>
          <w:sz w:val="24"/>
          <w:szCs w:val="24"/>
          <w:lang w:val="pt-BR"/>
        </w:rPr>
        <w:t xml:space="preserve">planilhas, </w:t>
      </w:r>
      <w:proofErr w:type="gramStart"/>
      <w:r w:rsidR="00FB1AEB">
        <w:rPr>
          <w:rFonts w:ascii="Times New Roman" w:hAnsi="Times New Roman" w:cs="Times New Roman"/>
          <w:sz w:val="24"/>
          <w:szCs w:val="24"/>
          <w:lang w:val="pt-BR"/>
        </w:rPr>
        <w:t>à</w:t>
      </w:r>
      <w:proofErr w:type="gramEnd"/>
      <w:r w:rsidR="00FB1AEB">
        <w:rPr>
          <w:rFonts w:ascii="Times New Roman" w:hAnsi="Times New Roman" w:cs="Times New Roman"/>
          <w:sz w:val="24"/>
          <w:szCs w:val="24"/>
          <w:lang w:val="pt-BR"/>
        </w:rPr>
        <w:t xml:space="preserve"> partir desse banco,</w:t>
      </w:r>
      <w:r w:rsidR="00695AAA">
        <w:rPr>
          <w:rFonts w:ascii="Times New Roman" w:hAnsi="Times New Roman" w:cs="Times New Roman"/>
          <w:sz w:val="24"/>
          <w:szCs w:val="24"/>
          <w:lang w:val="pt-BR"/>
        </w:rPr>
        <w:t xml:space="preserve"> tanto do ponto de vista do registro de quem exporta </w:t>
      </w:r>
      <w:r w:rsidR="00F366F1">
        <w:rPr>
          <w:rFonts w:ascii="Times New Roman" w:hAnsi="Times New Roman" w:cs="Times New Roman"/>
          <w:sz w:val="24"/>
          <w:szCs w:val="24"/>
          <w:lang w:val="pt-BR"/>
        </w:rPr>
        <w:t xml:space="preserve">(e lança como crédito) </w:t>
      </w:r>
      <w:r w:rsidR="00695AAA">
        <w:rPr>
          <w:rFonts w:ascii="Times New Roman" w:hAnsi="Times New Roman" w:cs="Times New Roman"/>
          <w:sz w:val="24"/>
          <w:szCs w:val="24"/>
          <w:lang w:val="pt-BR"/>
        </w:rPr>
        <w:t xml:space="preserve">como do ponto de vista de quem importa </w:t>
      </w:r>
      <w:r w:rsidR="00F366F1">
        <w:rPr>
          <w:rFonts w:ascii="Times New Roman" w:hAnsi="Times New Roman" w:cs="Times New Roman"/>
          <w:sz w:val="24"/>
          <w:szCs w:val="24"/>
          <w:lang w:val="pt-BR"/>
        </w:rPr>
        <w:t xml:space="preserve">(e lança como débito) </w:t>
      </w:r>
      <w:r w:rsidR="00695AAA">
        <w:rPr>
          <w:rFonts w:ascii="Times New Roman" w:hAnsi="Times New Roman" w:cs="Times New Roman"/>
          <w:sz w:val="24"/>
          <w:szCs w:val="24"/>
          <w:lang w:val="pt-BR"/>
        </w:rPr>
        <w:t>o mesmo bem ou serviço (o que teoricamente seria o mesmo fluxo).</w:t>
      </w:r>
      <w:r w:rsidR="00F366F1">
        <w:rPr>
          <w:rFonts w:ascii="Times New Roman" w:hAnsi="Times New Roman" w:cs="Times New Roman"/>
          <w:sz w:val="24"/>
          <w:szCs w:val="24"/>
          <w:lang w:val="pt-BR"/>
        </w:rPr>
        <w:t xml:space="preserve"> </w:t>
      </w:r>
    </w:p>
    <w:p w14:paraId="78346CFC" w14:textId="5C53E785" w:rsidR="00FB1AEB" w:rsidRDefault="00F366F1" w:rsidP="008B0E7D">
      <w:pPr>
        <w:spacing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Como já foi justificado conseguimos obter os fluxos bilaterais para toda a amostra </w:t>
      </w:r>
      <w:r w:rsidR="003F15EF">
        <w:rPr>
          <w:rFonts w:ascii="Times New Roman" w:hAnsi="Times New Roman" w:cs="Times New Roman"/>
          <w:sz w:val="24"/>
          <w:szCs w:val="24"/>
          <w:lang w:val="pt-BR"/>
        </w:rPr>
        <w:t xml:space="preserve">de países </w:t>
      </w:r>
      <w:r>
        <w:rPr>
          <w:rFonts w:ascii="Times New Roman" w:hAnsi="Times New Roman" w:cs="Times New Roman"/>
          <w:sz w:val="24"/>
          <w:szCs w:val="24"/>
          <w:lang w:val="pt-BR"/>
        </w:rPr>
        <w:t>apenas para os dados relativos ao comércio de produtos farmacêuticos. As outras quatro contas de serviços relacionad</w:t>
      </w:r>
      <w:r w:rsidR="003C6BC2">
        <w:rPr>
          <w:rFonts w:ascii="Times New Roman" w:hAnsi="Times New Roman" w:cs="Times New Roman"/>
          <w:sz w:val="24"/>
          <w:szCs w:val="24"/>
          <w:lang w:val="pt-BR"/>
        </w:rPr>
        <w:t>a</w:t>
      </w:r>
      <w:r>
        <w:rPr>
          <w:rFonts w:ascii="Times New Roman" w:hAnsi="Times New Roman" w:cs="Times New Roman"/>
          <w:sz w:val="24"/>
          <w:szCs w:val="24"/>
          <w:lang w:val="pt-BR"/>
        </w:rPr>
        <w:t>s à PI</w:t>
      </w:r>
      <w:r w:rsidR="003C6BC2">
        <w:rPr>
          <w:rStyle w:val="Refdenotaderodap"/>
          <w:rFonts w:ascii="Times New Roman" w:hAnsi="Times New Roman" w:cs="Times New Roman"/>
          <w:sz w:val="24"/>
          <w:szCs w:val="24"/>
          <w:lang w:val="pt-BR"/>
        </w:rPr>
        <w:footnoteReference w:id="9"/>
      </w:r>
      <w:r>
        <w:rPr>
          <w:rFonts w:ascii="Times New Roman" w:hAnsi="Times New Roman" w:cs="Times New Roman"/>
          <w:sz w:val="24"/>
          <w:szCs w:val="24"/>
          <w:lang w:val="pt-BR"/>
        </w:rPr>
        <w:t xml:space="preserve"> possuem dados </w:t>
      </w:r>
      <w:r w:rsidR="003F15EF">
        <w:rPr>
          <w:rFonts w:ascii="Times New Roman" w:hAnsi="Times New Roman" w:cs="Times New Roman"/>
          <w:sz w:val="24"/>
          <w:szCs w:val="24"/>
          <w:lang w:val="pt-BR"/>
        </w:rPr>
        <w:t xml:space="preserve">desagregados </w:t>
      </w:r>
      <w:r>
        <w:rPr>
          <w:rFonts w:ascii="Times New Roman" w:hAnsi="Times New Roman" w:cs="Times New Roman"/>
          <w:sz w:val="24"/>
          <w:szCs w:val="24"/>
          <w:lang w:val="pt-BR"/>
        </w:rPr>
        <w:t xml:space="preserve">para </w:t>
      </w:r>
      <w:r w:rsidR="003F15EF">
        <w:rPr>
          <w:rFonts w:ascii="Times New Roman" w:hAnsi="Times New Roman" w:cs="Times New Roman"/>
          <w:sz w:val="24"/>
          <w:szCs w:val="24"/>
          <w:lang w:val="pt-BR"/>
        </w:rPr>
        <w:t xml:space="preserve">o comércio bilateral de </w:t>
      </w:r>
      <w:r>
        <w:rPr>
          <w:rFonts w:ascii="Times New Roman" w:hAnsi="Times New Roman" w:cs="Times New Roman"/>
          <w:sz w:val="24"/>
          <w:szCs w:val="24"/>
          <w:lang w:val="pt-BR"/>
        </w:rPr>
        <w:t>alguns poucos países</w:t>
      </w:r>
      <w:r w:rsidR="003F15EF">
        <w:rPr>
          <w:rFonts w:ascii="Times New Roman" w:hAnsi="Times New Roman" w:cs="Times New Roman"/>
          <w:sz w:val="24"/>
          <w:szCs w:val="24"/>
          <w:lang w:val="pt-BR"/>
        </w:rPr>
        <w:t xml:space="preserve"> e para poucos anos</w:t>
      </w:r>
      <w:r>
        <w:rPr>
          <w:rFonts w:ascii="Times New Roman" w:hAnsi="Times New Roman" w:cs="Times New Roman"/>
          <w:sz w:val="24"/>
          <w:szCs w:val="24"/>
          <w:lang w:val="pt-BR"/>
        </w:rPr>
        <w:t xml:space="preserve">. A tarefa de completar estes dados </w:t>
      </w:r>
      <w:r>
        <w:rPr>
          <w:rFonts w:ascii="Times New Roman" w:hAnsi="Times New Roman" w:cs="Times New Roman"/>
          <w:sz w:val="24"/>
          <w:szCs w:val="24"/>
          <w:lang w:val="pt-BR"/>
        </w:rPr>
        <w:lastRenderedPageBreak/>
        <w:t xml:space="preserve">deverá ser realizada </w:t>
      </w:r>
      <w:r w:rsidR="006A5E70">
        <w:rPr>
          <w:rFonts w:ascii="Times New Roman" w:hAnsi="Times New Roman" w:cs="Times New Roman"/>
          <w:sz w:val="24"/>
          <w:szCs w:val="24"/>
          <w:lang w:val="pt-BR"/>
        </w:rPr>
        <w:t>em período</w:t>
      </w:r>
      <w:r>
        <w:rPr>
          <w:rFonts w:ascii="Times New Roman" w:hAnsi="Times New Roman" w:cs="Times New Roman"/>
          <w:sz w:val="24"/>
          <w:szCs w:val="24"/>
          <w:lang w:val="pt-BR"/>
        </w:rPr>
        <w:t xml:space="preserve"> posterior. </w:t>
      </w:r>
      <w:proofErr w:type="gramStart"/>
      <w:r w:rsidR="00E97054">
        <w:rPr>
          <w:rFonts w:ascii="Times New Roman" w:hAnsi="Times New Roman" w:cs="Times New Roman"/>
          <w:sz w:val="24"/>
          <w:szCs w:val="24"/>
          <w:lang w:val="pt-BR"/>
        </w:rPr>
        <w:t>P</w:t>
      </w:r>
      <w:r w:rsidR="00CD6BE7">
        <w:rPr>
          <w:rFonts w:ascii="Times New Roman" w:hAnsi="Times New Roman" w:cs="Times New Roman"/>
          <w:sz w:val="24"/>
          <w:szCs w:val="24"/>
          <w:lang w:val="pt-BR"/>
        </w:rPr>
        <w:t>roduziu-se</w:t>
      </w:r>
      <w:proofErr w:type="gramEnd"/>
      <w:r w:rsidR="00CD6BE7">
        <w:rPr>
          <w:rFonts w:ascii="Times New Roman" w:hAnsi="Times New Roman" w:cs="Times New Roman"/>
          <w:sz w:val="24"/>
          <w:szCs w:val="24"/>
          <w:lang w:val="pt-BR"/>
        </w:rPr>
        <w:t xml:space="preserve"> os dados bilaterais apenas para a conta de comércio de tangíveis de “produtos farmacêuticos” para todos os 30 países da amostra, entre os anos de 2001 a 2016. </w:t>
      </w:r>
      <w:r w:rsidR="00FB1AEB">
        <w:rPr>
          <w:rFonts w:ascii="Times New Roman" w:hAnsi="Times New Roman" w:cs="Times New Roman"/>
          <w:sz w:val="24"/>
          <w:szCs w:val="24"/>
          <w:lang w:val="pt-BR"/>
        </w:rPr>
        <w:t>A construção deste conjunto de dados só foi possível manipulando as tabelas originais através do software R (</w:t>
      </w:r>
      <w:r w:rsidR="00CD6BE7">
        <w:rPr>
          <w:rFonts w:ascii="Times New Roman" w:hAnsi="Times New Roman" w:cs="Times New Roman"/>
          <w:sz w:val="24"/>
          <w:szCs w:val="24"/>
          <w:lang w:val="pt-BR"/>
        </w:rPr>
        <w:t xml:space="preserve">e criando </w:t>
      </w:r>
      <w:r w:rsidR="00FB1AEB">
        <w:rPr>
          <w:rFonts w:ascii="Times New Roman" w:hAnsi="Times New Roman" w:cs="Times New Roman"/>
          <w:sz w:val="24"/>
          <w:szCs w:val="24"/>
          <w:lang w:val="pt-BR"/>
        </w:rPr>
        <w:t>códigos e</w:t>
      </w:r>
      <w:r w:rsidR="00CD6BE7">
        <w:rPr>
          <w:rFonts w:ascii="Times New Roman" w:hAnsi="Times New Roman" w:cs="Times New Roman"/>
          <w:sz w:val="24"/>
          <w:szCs w:val="24"/>
          <w:lang w:val="pt-BR"/>
        </w:rPr>
        <w:t>specíficos</w:t>
      </w:r>
      <w:r w:rsidR="003F15EF">
        <w:rPr>
          <w:rFonts w:ascii="Times New Roman" w:hAnsi="Times New Roman" w:cs="Times New Roman"/>
          <w:sz w:val="24"/>
          <w:szCs w:val="24"/>
          <w:lang w:val="pt-BR"/>
        </w:rPr>
        <w:t>)</w:t>
      </w:r>
      <w:r w:rsidR="00CD6BE7">
        <w:rPr>
          <w:rFonts w:ascii="Times New Roman" w:hAnsi="Times New Roman" w:cs="Times New Roman"/>
          <w:sz w:val="24"/>
          <w:szCs w:val="24"/>
          <w:lang w:val="pt-BR"/>
        </w:rPr>
        <w:t xml:space="preserve">, o que é também </w:t>
      </w:r>
      <w:r w:rsidR="003F15EF">
        <w:rPr>
          <w:rFonts w:ascii="Times New Roman" w:hAnsi="Times New Roman" w:cs="Times New Roman"/>
          <w:sz w:val="24"/>
          <w:szCs w:val="24"/>
          <w:lang w:val="pt-BR"/>
        </w:rPr>
        <w:t xml:space="preserve">um </w:t>
      </w:r>
      <w:r w:rsidR="00CD6BE7">
        <w:rPr>
          <w:rFonts w:ascii="Times New Roman" w:hAnsi="Times New Roman" w:cs="Times New Roman"/>
          <w:sz w:val="24"/>
          <w:szCs w:val="24"/>
          <w:lang w:val="pt-BR"/>
        </w:rPr>
        <w:t>resultado e um aprendizado importante desta pesquisa</w:t>
      </w:r>
      <w:r w:rsidR="003F15EF">
        <w:rPr>
          <w:rFonts w:ascii="Times New Roman" w:hAnsi="Times New Roman" w:cs="Times New Roman"/>
          <w:sz w:val="24"/>
          <w:szCs w:val="24"/>
          <w:lang w:val="pt-BR"/>
        </w:rPr>
        <w:t xml:space="preserve"> (</w:t>
      </w:r>
      <w:r w:rsidR="006217DA">
        <w:rPr>
          <w:rFonts w:ascii="Times New Roman" w:hAnsi="Times New Roman" w:cs="Times New Roman"/>
          <w:sz w:val="24"/>
          <w:szCs w:val="24"/>
          <w:lang w:val="pt-BR"/>
        </w:rPr>
        <w:t>uma amostra com</w:t>
      </w:r>
      <w:r w:rsidR="003F15EF">
        <w:rPr>
          <w:rFonts w:ascii="Times New Roman" w:hAnsi="Times New Roman" w:cs="Times New Roman"/>
          <w:sz w:val="24"/>
          <w:szCs w:val="24"/>
          <w:lang w:val="pt-BR"/>
        </w:rPr>
        <w:t xml:space="preserve"> </w:t>
      </w:r>
      <w:bookmarkStart w:id="6" w:name="_Hlk528061125"/>
      <w:r w:rsidR="003F15EF">
        <w:rPr>
          <w:rFonts w:ascii="Times New Roman" w:hAnsi="Times New Roman" w:cs="Times New Roman"/>
          <w:sz w:val="24"/>
          <w:szCs w:val="24"/>
          <w:lang w:val="pt-BR"/>
        </w:rPr>
        <w:t>os códigos construídos para a obtenção e manipulação de dados desta pesquis</w:t>
      </w:r>
      <w:bookmarkEnd w:id="6"/>
      <w:r w:rsidR="003F15EF">
        <w:rPr>
          <w:rFonts w:ascii="Times New Roman" w:hAnsi="Times New Roman" w:cs="Times New Roman"/>
          <w:sz w:val="24"/>
          <w:szCs w:val="24"/>
          <w:lang w:val="pt-BR"/>
        </w:rPr>
        <w:t xml:space="preserve">a se encontram </w:t>
      </w:r>
      <w:r w:rsidR="00E97054">
        <w:rPr>
          <w:rFonts w:ascii="Times New Roman" w:hAnsi="Times New Roman" w:cs="Times New Roman"/>
          <w:sz w:val="24"/>
          <w:szCs w:val="24"/>
          <w:lang w:val="pt-BR"/>
        </w:rPr>
        <w:t xml:space="preserve">no </w:t>
      </w:r>
      <w:r w:rsidR="00E97054" w:rsidRPr="00E97054">
        <w:rPr>
          <w:rFonts w:ascii="Times New Roman" w:hAnsi="Times New Roman" w:cs="Times New Roman"/>
          <w:b/>
          <w:sz w:val="24"/>
          <w:szCs w:val="24"/>
          <w:lang w:val="pt-BR"/>
        </w:rPr>
        <w:t xml:space="preserve">anexo </w:t>
      </w:r>
      <w:proofErr w:type="gramStart"/>
      <w:r w:rsidR="00E97054" w:rsidRPr="00E97054">
        <w:rPr>
          <w:rFonts w:ascii="Times New Roman" w:hAnsi="Times New Roman" w:cs="Times New Roman"/>
          <w:b/>
          <w:sz w:val="24"/>
          <w:szCs w:val="24"/>
          <w:lang w:val="pt-BR"/>
        </w:rPr>
        <w:t>7</w:t>
      </w:r>
      <w:proofErr w:type="gramEnd"/>
      <w:r w:rsidR="006217DA" w:rsidRPr="000008C3">
        <w:rPr>
          <w:rFonts w:ascii="Times New Roman" w:hAnsi="Times New Roman" w:cs="Times New Roman"/>
          <w:sz w:val="24"/>
          <w:szCs w:val="24"/>
          <w:lang w:val="pt-BR"/>
        </w:rPr>
        <w:t>)</w:t>
      </w:r>
      <w:r w:rsidR="00CD6BE7">
        <w:rPr>
          <w:rFonts w:ascii="Times New Roman" w:hAnsi="Times New Roman" w:cs="Times New Roman"/>
          <w:sz w:val="24"/>
          <w:szCs w:val="24"/>
          <w:lang w:val="pt-BR"/>
        </w:rPr>
        <w:t xml:space="preserve">. </w:t>
      </w:r>
    </w:p>
    <w:p w14:paraId="515F0192" w14:textId="5D85C9BB" w:rsidR="00CB0FEA" w:rsidRPr="00CD6BE7" w:rsidRDefault="00FB1AEB" w:rsidP="008B0E7D">
      <w:pPr>
        <w:spacing w:after="0" w:line="360" w:lineRule="auto"/>
        <w:ind w:firstLine="720"/>
        <w:jc w:val="both"/>
        <w:rPr>
          <w:rFonts w:ascii="Times New Roman" w:hAnsi="Times New Roman" w:cs="Times New Roman"/>
          <w:color w:val="FF0000"/>
          <w:sz w:val="24"/>
          <w:szCs w:val="24"/>
          <w:lang w:val="pt-BR"/>
        </w:rPr>
      </w:pPr>
      <w:r w:rsidRPr="00CD6BE7">
        <w:rPr>
          <w:rFonts w:ascii="Times New Roman" w:hAnsi="Times New Roman" w:cs="Times New Roman"/>
          <w:sz w:val="24"/>
          <w:szCs w:val="24"/>
          <w:lang w:val="pt-BR"/>
        </w:rPr>
        <w:t>O</w:t>
      </w:r>
      <w:r w:rsidR="00E8345B" w:rsidRPr="00CD6BE7">
        <w:rPr>
          <w:rFonts w:ascii="Times New Roman" w:hAnsi="Times New Roman" w:cs="Times New Roman"/>
          <w:sz w:val="24"/>
          <w:szCs w:val="24"/>
          <w:lang w:val="pt-BR"/>
        </w:rPr>
        <w:t xml:space="preserve"> </w:t>
      </w:r>
      <w:r w:rsidR="00E8345B" w:rsidRPr="00AB16D6">
        <w:rPr>
          <w:rFonts w:ascii="Times New Roman" w:hAnsi="Times New Roman" w:cs="Times New Roman"/>
          <w:sz w:val="24"/>
          <w:szCs w:val="24"/>
          <w:lang w:val="pt-BR"/>
        </w:rPr>
        <w:t>terceiro</w:t>
      </w:r>
      <w:r w:rsidR="00E8345B" w:rsidRPr="00CD6BE7">
        <w:rPr>
          <w:rFonts w:ascii="Times New Roman" w:hAnsi="Times New Roman" w:cs="Times New Roman"/>
          <w:sz w:val="24"/>
          <w:szCs w:val="24"/>
          <w:lang w:val="pt-BR"/>
        </w:rPr>
        <w:t xml:space="preserve"> banco de dados </w:t>
      </w:r>
      <w:r w:rsidR="00AB16D6">
        <w:rPr>
          <w:rFonts w:ascii="Times New Roman" w:hAnsi="Times New Roman" w:cs="Times New Roman"/>
          <w:sz w:val="24"/>
          <w:szCs w:val="24"/>
          <w:lang w:val="pt-BR"/>
        </w:rPr>
        <w:t>(</w:t>
      </w:r>
      <w:r w:rsidR="00AB16D6" w:rsidRPr="00AB16D6">
        <w:rPr>
          <w:rFonts w:ascii="Times New Roman" w:hAnsi="Times New Roman" w:cs="Times New Roman"/>
          <w:b/>
          <w:sz w:val="24"/>
          <w:szCs w:val="24"/>
          <w:lang w:val="pt-BR"/>
        </w:rPr>
        <w:t>anexo</w:t>
      </w:r>
      <w:r w:rsidR="000008C3">
        <w:rPr>
          <w:rFonts w:ascii="Times New Roman" w:hAnsi="Times New Roman" w:cs="Times New Roman"/>
          <w:b/>
          <w:sz w:val="24"/>
          <w:szCs w:val="24"/>
          <w:lang w:val="pt-BR"/>
        </w:rPr>
        <w:t>s</w:t>
      </w:r>
      <w:r w:rsidR="00AB16D6" w:rsidRPr="00AB16D6">
        <w:rPr>
          <w:rFonts w:ascii="Times New Roman" w:hAnsi="Times New Roman" w:cs="Times New Roman"/>
          <w:b/>
          <w:sz w:val="24"/>
          <w:szCs w:val="24"/>
          <w:lang w:val="pt-BR"/>
        </w:rPr>
        <w:t xml:space="preserve"> </w:t>
      </w:r>
      <w:proofErr w:type="gramStart"/>
      <w:r w:rsidR="00AB16D6" w:rsidRPr="00AB16D6">
        <w:rPr>
          <w:rFonts w:ascii="Times New Roman" w:hAnsi="Times New Roman" w:cs="Times New Roman"/>
          <w:b/>
          <w:sz w:val="24"/>
          <w:szCs w:val="24"/>
          <w:lang w:val="pt-BR"/>
        </w:rPr>
        <w:t>6</w:t>
      </w:r>
      <w:proofErr w:type="gramEnd"/>
      <w:r w:rsidR="00AB16D6">
        <w:rPr>
          <w:rFonts w:ascii="Times New Roman" w:hAnsi="Times New Roman" w:cs="Times New Roman"/>
          <w:sz w:val="24"/>
          <w:szCs w:val="24"/>
          <w:lang w:val="pt-BR"/>
        </w:rPr>
        <w:t xml:space="preserve">) </w:t>
      </w:r>
      <w:r w:rsidR="00C911FB" w:rsidRPr="00CD6BE7">
        <w:rPr>
          <w:rFonts w:ascii="Times New Roman" w:hAnsi="Times New Roman" w:cs="Times New Roman"/>
          <w:sz w:val="24"/>
          <w:szCs w:val="24"/>
          <w:lang w:val="pt-BR"/>
        </w:rPr>
        <w:t>é</w:t>
      </w:r>
      <w:r w:rsidR="00497C71" w:rsidRPr="00CD6BE7">
        <w:rPr>
          <w:rFonts w:ascii="Times New Roman" w:hAnsi="Times New Roman" w:cs="Times New Roman"/>
          <w:sz w:val="24"/>
          <w:szCs w:val="24"/>
          <w:lang w:val="pt-BR"/>
        </w:rPr>
        <w:t xml:space="preserve"> </w:t>
      </w:r>
      <w:r w:rsidR="00C911FB" w:rsidRPr="00CD6BE7">
        <w:rPr>
          <w:rFonts w:ascii="Times New Roman" w:hAnsi="Times New Roman" w:cs="Times New Roman"/>
          <w:sz w:val="24"/>
          <w:szCs w:val="24"/>
          <w:lang w:val="pt-BR"/>
        </w:rPr>
        <w:t xml:space="preserve">resultado </w:t>
      </w:r>
      <w:r w:rsidR="00497C71" w:rsidRPr="00CD6BE7">
        <w:rPr>
          <w:rFonts w:ascii="Times New Roman" w:hAnsi="Times New Roman" w:cs="Times New Roman"/>
          <w:sz w:val="24"/>
          <w:szCs w:val="24"/>
          <w:lang w:val="pt-BR"/>
        </w:rPr>
        <w:t>de um desdobramento inesperado da pesquisa</w:t>
      </w:r>
      <w:bookmarkStart w:id="7" w:name="_Hlk528061105"/>
      <w:r w:rsidR="00497C71" w:rsidRPr="00CD6BE7">
        <w:rPr>
          <w:rFonts w:ascii="Times New Roman" w:hAnsi="Times New Roman" w:cs="Times New Roman"/>
          <w:sz w:val="24"/>
          <w:szCs w:val="24"/>
          <w:lang w:val="pt-BR"/>
        </w:rPr>
        <w:t xml:space="preserve">. Contém os dados do preço por quilo e quilo per </w:t>
      </w:r>
      <w:proofErr w:type="gramStart"/>
      <w:r w:rsidR="00497C71" w:rsidRPr="00CD6BE7">
        <w:rPr>
          <w:rFonts w:ascii="Times New Roman" w:hAnsi="Times New Roman" w:cs="Times New Roman"/>
          <w:sz w:val="24"/>
          <w:szCs w:val="24"/>
          <w:lang w:val="pt-BR"/>
        </w:rPr>
        <w:t xml:space="preserve">capta referentes à importação e exportação de </w:t>
      </w:r>
      <w:r w:rsidR="00C911FB" w:rsidRPr="00CD6BE7">
        <w:rPr>
          <w:rFonts w:ascii="Times New Roman" w:hAnsi="Times New Roman" w:cs="Times New Roman"/>
          <w:sz w:val="24"/>
          <w:szCs w:val="24"/>
          <w:lang w:val="pt-BR"/>
        </w:rPr>
        <w:t>medicamentos classificados pelos códigos 3003 e 3004</w:t>
      </w:r>
      <w:r w:rsidR="00CD6BE7">
        <w:rPr>
          <w:rStyle w:val="Refdenotaderodap"/>
          <w:rFonts w:ascii="Times New Roman" w:hAnsi="Times New Roman" w:cs="Times New Roman"/>
          <w:sz w:val="24"/>
          <w:szCs w:val="24"/>
          <w:lang w:val="pt-BR"/>
        </w:rPr>
        <w:footnoteReference w:id="10"/>
      </w:r>
      <w:r w:rsidR="00C911FB" w:rsidRPr="00CD6BE7">
        <w:rPr>
          <w:rFonts w:ascii="Times New Roman" w:hAnsi="Times New Roman" w:cs="Times New Roman"/>
          <w:sz w:val="24"/>
          <w:szCs w:val="24"/>
          <w:lang w:val="pt-BR"/>
        </w:rPr>
        <w:t xml:space="preserve"> do </w:t>
      </w:r>
      <w:proofErr w:type="spellStart"/>
      <w:r w:rsidR="00C911FB" w:rsidRPr="00CD6BE7">
        <w:rPr>
          <w:rFonts w:ascii="Times New Roman" w:hAnsi="Times New Roman" w:cs="Times New Roman"/>
          <w:i/>
          <w:sz w:val="24"/>
          <w:szCs w:val="24"/>
          <w:lang w:val="pt-BR"/>
        </w:rPr>
        <w:t>Harmonized</w:t>
      </w:r>
      <w:proofErr w:type="spellEnd"/>
      <w:r w:rsidR="00C911FB" w:rsidRPr="00CD6BE7">
        <w:rPr>
          <w:rFonts w:ascii="Times New Roman" w:hAnsi="Times New Roman" w:cs="Times New Roman"/>
          <w:i/>
          <w:sz w:val="24"/>
          <w:szCs w:val="24"/>
          <w:lang w:val="pt-BR"/>
        </w:rPr>
        <w:t xml:space="preserve"> System</w:t>
      </w:r>
      <w:proofErr w:type="gramEnd"/>
      <w:r w:rsidR="00C911FB" w:rsidRPr="00CD6BE7">
        <w:rPr>
          <w:rFonts w:ascii="Times New Roman" w:hAnsi="Times New Roman" w:cs="Times New Roman"/>
          <w:sz w:val="24"/>
          <w:szCs w:val="24"/>
          <w:lang w:val="pt-BR"/>
        </w:rPr>
        <w:t xml:space="preserve">. </w:t>
      </w:r>
      <w:bookmarkEnd w:id="7"/>
      <w:r w:rsidR="00C911FB" w:rsidRPr="00CD6BE7">
        <w:rPr>
          <w:rFonts w:ascii="Times New Roman" w:hAnsi="Times New Roman" w:cs="Times New Roman"/>
          <w:sz w:val="24"/>
          <w:szCs w:val="24"/>
          <w:lang w:val="pt-BR"/>
        </w:rPr>
        <w:t xml:space="preserve">Os dados estão deflacionados de acordo com o índice </w:t>
      </w:r>
      <w:r w:rsidR="00741844" w:rsidRPr="00CD6BE7">
        <w:rPr>
          <w:rFonts w:ascii="Times New Roman" w:hAnsi="Times New Roman" w:cs="Times New Roman"/>
          <w:sz w:val="24"/>
          <w:szCs w:val="24"/>
          <w:lang w:val="pt-BR"/>
        </w:rPr>
        <w:t>apropriado</w:t>
      </w:r>
      <w:r w:rsidR="00C911FB" w:rsidRPr="00CD6BE7">
        <w:rPr>
          <w:rFonts w:ascii="Times New Roman" w:hAnsi="Times New Roman" w:cs="Times New Roman"/>
          <w:sz w:val="24"/>
          <w:szCs w:val="24"/>
          <w:lang w:val="pt-BR"/>
        </w:rPr>
        <w:t xml:space="preserve"> (</w:t>
      </w:r>
      <w:proofErr w:type="spellStart"/>
      <w:r w:rsidR="00C911FB" w:rsidRPr="00CD6BE7">
        <w:rPr>
          <w:rFonts w:ascii="Times New Roman" w:hAnsi="Times New Roman" w:cs="Times New Roman"/>
          <w:sz w:val="24"/>
          <w:szCs w:val="24"/>
          <w:lang w:val="pt-BR"/>
        </w:rPr>
        <w:t>import</w:t>
      </w:r>
      <w:proofErr w:type="spellEnd"/>
      <w:r w:rsidR="00C911FB" w:rsidRPr="00CD6BE7">
        <w:rPr>
          <w:rFonts w:ascii="Times New Roman" w:hAnsi="Times New Roman" w:cs="Times New Roman"/>
          <w:sz w:val="24"/>
          <w:szCs w:val="24"/>
          <w:lang w:val="pt-BR"/>
        </w:rPr>
        <w:t xml:space="preserve"> ou </w:t>
      </w:r>
      <w:proofErr w:type="spellStart"/>
      <w:r w:rsidR="00C911FB" w:rsidRPr="00CD6BE7">
        <w:rPr>
          <w:rFonts w:ascii="Times New Roman" w:hAnsi="Times New Roman" w:cs="Times New Roman"/>
          <w:sz w:val="24"/>
          <w:szCs w:val="24"/>
          <w:lang w:val="pt-BR"/>
        </w:rPr>
        <w:t>export</w:t>
      </w:r>
      <w:proofErr w:type="spellEnd"/>
      <w:r w:rsidR="00C911FB" w:rsidRPr="00CD6BE7">
        <w:rPr>
          <w:rFonts w:ascii="Times New Roman" w:hAnsi="Times New Roman" w:cs="Times New Roman"/>
          <w:sz w:val="24"/>
          <w:szCs w:val="24"/>
          <w:lang w:val="pt-BR"/>
        </w:rPr>
        <w:t xml:space="preserve"> </w:t>
      </w:r>
      <w:proofErr w:type="spellStart"/>
      <w:r w:rsidR="00C911FB" w:rsidRPr="00CD6BE7">
        <w:rPr>
          <w:rFonts w:ascii="Times New Roman" w:hAnsi="Times New Roman" w:cs="Times New Roman"/>
          <w:sz w:val="24"/>
          <w:szCs w:val="24"/>
          <w:lang w:val="pt-BR"/>
        </w:rPr>
        <w:t>value</w:t>
      </w:r>
      <w:proofErr w:type="spellEnd"/>
      <w:r w:rsidR="00C911FB" w:rsidRPr="00CD6BE7">
        <w:rPr>
          <w:rFonts w:ascii="Times New Roman" w:hAnsi="Times New Roman" w:cs="Times New Roman"/>
          <w:sz w:val="24"/>
          <w:szCs w:val="24"/>
          <w:lang w:val="pt-BR"/>
        </w:rPr>
        <w:t xml:space="preserve"> index</w:t>
      </w:r>
      <w:r w:rsidR="00CD6BE7">
        <w:rPr>
          <w:rFonts w:ascii="Times New Roman" w:hAnsi="Times New Roman" w:cs="Times New Roman"/>
          <w:sz w:val="24"/>
          <w:szCs w:val="24"/>
          <w:lang w:val="pt-BR"/>
        </w:rPr>
        <w:t xml:space="preserve"> – ambos fornecidos pela UNCTAD</w:t>
      </w:r>
      <w:r w:rsidR="00C911FB" w:rsidRPr="00CD6BE7">
        <w:rPr>
          <w:rFonts w:ascii="Times New Roman" w:hAnsi="Times New Roman" w:cs="Times New Roman"/>
          <w:sz w:val="24"/>
          <w:szCs w:val="24"/>
          <w:lang w:val="pt-BR"/>
        </w:rPr>
        <w:t>) e organizados por país, por ano, desde 1995. Os</w:t>
      </w:r>
      <w:r w:rsidR="00E8345B" w:rsidRPr="00CD6BE7">
        <w:rPr>
          <w:rFonts w:ascii="Times New Roman" w:hAnsi="Times New Roman" w:cs="Times New Roman"/>
          <w:sz w:val="24"/>
          <w:szCs w:val="24"/>
          <w:lang w:val="pt-BR"/>
        </w:rPr>
        <w:t xml:space="preserve"> dados </w:t>
      </w:r>
      <w:r w:rsidR="00814DC4" w:rsidRPr="00CD6BE7">
        <w:rPr>
          <w:rFonts w:ascii="Times New Roman" w:hAnsi="Times New Roman" w:cs="Times New Roman"/>
          <w:sz w:val="24"/>
          <w:szCs w:val="24"/>
          <w:lang w:val="pt-BR"/>
        </w:rPr>
        <w:t xml:space="preserve">de comércio foram obtidos da fonte UN </w:t>
      </w:r>
      <w:proofErr w:type="spellStart"/>
      <w:r w:rsidR="00814DC4" w:rsidRPr="00CD6BE7">
        <w:rPr>
          <w:rFonts w:ascii="Times New Roman" w:hAnsi="Times New Roman" w:cs="Times New Roman"/>
          <w:sz w:val="24"/>
          <w:szCs w:val="24"/>
          <w:lang w:val="pt-BR"/>
        </w:rPr>
        <w:t>Comtrade</w:t>
      </w:r>
      <w:proofErr w:type="spellEnd"/>
      <w:r w:rsidR="00C911FB" w:rsidRPr="00CD6BE7">
        <w:rPr>
          <w:rFonts w:ascii="Times New Roman" w:hAnsi="Times New Roman" w:cs="Times New Roman"/>
          <w:sz w:val="24"/>
          <w:szCs w:val="24"/>
          <w:lang w:val="pt-BR"/>
        </w:rPr>
        <w:t xml:space="preserve"> e os dados relativos</w:t>
      </w:r>
      <w:r w:rsidR="00E8345B" w:rsidRPr="00CD6BE7">
        <w:rPr>
          <w:rFonts w:ascii="Times New Roman" w:hAnsi="Times New Roman" w:cs="Times New Roman"/>
          <w:sz w:val="24"/>
          <w:szCs w:val="24"/>
          <w:lang w:val="pt-BR"/>
        </w:rPr>
        <w:t xml:space="preserve"> </w:t>
      </w:r>
      <w:r w:rsidR="00C911FB" w:rsidRPr="00CD6BE7">
        <w:rPr>
          <w:rFonts w:ascii="Times New Roman" w:hAnsi="Times New Roman" w:cs="Times New Roman"/>
          <w:sz w:val="24"/>
          <w:szCs w:val="24"/>
          <w:lang w:val="pt-BR"/>
        </w:rPr>
        <w:t>à</w:t>
      </w:r>
      <w:r w:rsidR="00E8345B" w:rsidRPr="00CD6BE7">
        <w:rPr>
          <w:rFonts w:ascii="Times New Roman" w:hAnsi="Times New Roman" w:cs="Times New Roman"/>
          <w:sz w:val="24"/>
          <w:szCs w:val="24"/>
          <w:lang w:val="pt-BR"/>
        </w:rPr>
        <w:t xml:space="preserve"> população dos países</w:t>
      </w:r>
      <w:r w:rsidR="00C911FB" w:rsidRPr="00CD6BE7">
        <w:rPr>
          <w:rFonts w:ascii="Times New Roman" w:hAnsi="Times New Roman" w:cs="Times New Roman"/>
          <w:sz w:val="24"/>
          <w:szCs w:val="24"/>
          <w:lang w:val="pt-BR"/>
        </w:rPr>
        <w:t xml:space="preserve"> para cada ano pesquisado</w:t>
      </w:r>
      <w:r w:rsidR="00E8345B" w:rsidRPr="00CD6BE7">
        <w:rPr>
          <w:rFonts w:ascii="Times New Roman" w:hAnsi="Times New Roman" w:cs="Times New Roman"/>
          <w:sz w:val="24"/>
          <w:szCs w:val="24"/>
          <w:lang w:val="pt-BR"/>
        </w:rPr>
        <w:t xml:space="preserve"> </w:t>
      </w:r>
      <w:r w:rsidR="00C911FB" w:rsidRPr="00CD6BE7">
        <w:rPr>
          <w:rFonts w:ascii="Times New Roman" w:hAnsi="Times New Roman" w:cs="Times New Roman"/>
          <w:sz w:val="24"/>
          <w:szCs w:val="24"/>
          <w:lang w:val="pt-BR"/>
        </w:rPr>
        <w:t xml:space="preserve">foram obtidos </w:t>
      </w:r>
      <w:r w:rsidR="00E8345B" w:rsidRPr="00CD6BE7">
        <w:rPr>
          <w:rFonts w:ascii="Times New Roman" w:hAnsi="Times New Roman" w:cs="Times New Roman"/>
          <w:sz w:val="24"/>
          <w:szCs w:val="24"/>
          <w:lang w:val="pt-BR"/>
        </w:rPr>
        <w:t>do</w:t>
      </w:r>
      <w:r w:rsidR="00814DC4" w:rsidRPr="00CD6BE7">
        <w:rPr>
          <w:rFonts w:ascii="Times New Roman" w:hAnsi="Times New Roman" w:cs="Times New Roman"/>
          <w:sz w:val="24"/>
          <w:szCs w:val="24"/>
          <w:lang w:val="pt-BR"/>
        </w:rPr>
        <w:t xml:space="preserve"> </w:t>
      </w:r>
      <w:r w:rsidR="00E8345B" w:rsidRPr="00CD6BE7">
        <w:rPr>
          <w:rFonts w:ascii="Times New Roman" w:hAnsi="Times New Roman" w:cs="Times New Roman"/>
          <w:sz w:val="24"/>
          <w:szCs w:val="24"/>
          <w:lang w:val="pt-BR"/>
        </w:rPr>
        <w:t>Banco Mundial</w:t>
      </w:r>
      <w:r w:rsidR="008D65D7">
        <w:rPr>
          <w:rFonts w:ascii="Times New Roman" w:hAnsi="Times New Roman" w:cs="Times New Roman"/>
          <w:sz w:val="24"/>
          <w:szCs w:val="24"/>
          <w:lang w:val="pt-BR"/>
        </w:rPr>
        <w:t>.</w:t>
      </w:r>
    </w:p>
    <w:p w14:paraId="315DA998" w14:textId="77777777" w:rsidR="00E8345B" w:rsidRPr="0014716E" w:rsidRDefault="00E8345B" w:rsidP="008B0E7D">
      <w:pPr>
        <w:spacing w:after="0" w:line="360" w:lineRule="auto"/>
        <w:jc w:val="both"/>
        <w:rPr>
          <w:rFonts w:ascii="Times New Roman" w:hAnsi="Times New Roman" w:cs="Times New Roman"/>
          <w:sz w:val="24"/>
          <w:szCs w:val="24"/>
          <w:lang w:val="pt-BR"/>
        </w:rPr>
      </w:pPr>
    </w:p>
    <w:p w14:paraId="44CC1508" w14:textId="4FB34F16" w:rsidR="00E86D14" w:rsidRPr="00A47BDD" w:rsidRDefault="00E86D14" w:rsidP="008B0E7D">
      <w:pPr>
        <w:spacing w:after="0" w:line="360" w:lineRule="auto"/>
        <w:jc w:val="both"/>
        <w:rPr>
          <w:rFonts w:ascii="Times New Roman" w:hAnsi="Times New Roman" w:cs="Times New Roman"/>
          <w:b/>
          <w:i/>
          <w:sz w:val="24"/>
          <w:szCs w:val="24"/>
          <w:lang w:val="pt-BR"/>
        </w:rPr>
      </w:pPr>
      <w:r w:rsidRPr="00A47BDD">
        <w:rPr>
          <w:rFonts w:ascii="Times New Roman" w:hAnsi="Times New Roman" w:cs="Times New Roman"/>
          <w:b/>
          <w:i/>
          <w:sz w:val="24"/>
          <w:szCs w:val="24"/>
          <w:lang w:val="pt-BR"/>
        </w:rPr>
        <w:t>Construir tabelas, gráficos, mapas e infográficos para visualizar melhor os dados.</w:t>
      </w:r>
    </w:p>
    <w:p w14:paraId="3D7A3ACF" w14:textId="1B328FBE" w:rsidR="00DA318C" w:rsidRDefault="00A5196A" w:rsidP="008B0E7D">
      <w:pPr>
        <w:spacing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primeiro conjunto de </w:t>
      </w:r>
      <w:r w:rsidR="00CB0FEA" w:rsidRPr="00814DC4">
        <w:rPr>
          <w:rFonts w:ascii="Times New Roman" w:hAnsi="Times New Roman" w:cs="Times New Roman"/>
          <w:sz w:val="24"/>
          <w:szCs w:val="24"/>
          <w:lang w:val="pt-BR"/>
        </w:rPr>
        <w:t xml:space="preserve">tabelas e gráficos </w:t>
      </w:r>
      <w:r>
        <w:rPr>
          <w:rFonts w:ascii="Times New Roman" w:hAnsi="Times New Roman" w:cs="Times New Roman"/>
          <w:sz w:val="24"/>
          <w:szCs w:val="24"/>
          <w:lang w:val="pt-BR"/>
        </w:rPr>
        <w:t xml:space="preserve">foram construídos </w:t>
      </w:r>
      <w:r w:rsidR="00CB0FEA" w:rsidRPr="00814DC4">
        <w:rPr>
          <w:rFonts w:ascii="Times New Roman" w:hAnsi="Times New Roman" w:cs="Times New Roman"/>
          <w:sz w:val="24"/>
          <w:szCs w:val="24"/>
          <w:lang w:val="pt-BR"/>
        </w:rPr>
        <w:t>em caráter experimental através d</w:t>
      </w:r>
      <w:r>
        <w:rPr>
          <w:rFonts w:ascii="Times New Roman" w:hAnsi="Times New Roman" w:cs="Times New Roman"/>
          <w:sz w:val="24"/>
          <w:szCs w:val="24"/>
          <w:lang w:val="pt-BR"/>
        </w:rPr>
        <w:t xml:space="preserve">a manipulação da enorme </w:t>
      </w:r>
      <w:r w:rsidR="00DA318C">
        <w:rPr>
          <w:rFonts w:ascii="Times New Roman" w:hAnsi="Times New Roman" w:cs="Times New Roman"/>
          <w:sz w:val="24"/>
          <w:szCs w:val="24"/>
          <w:lang w:val="pt-BR"/>
        </w:rPr>
        <w:t>quantidade</w:t>
      </w:r>
      <w:r>
        <w:rPr>
          <w:rFonts w:ascii="Times New Roman" w:hAnsi="Times New Roman" w:cs="Times New Roman"/>
          <w:sz w:val="24"/>
          <w:szCs w:val="24"/>
          <w:lang w:val="pt-BR"/>
        </w:rPr>
        <w:t xml:space="preserve"> de dados </w:t>
      </w:r>
      <w:r w:rsidRPr="00DA318C">
        <w:rPr>
          <w:rFonts w:ascii="Times New Roman" w:hAnsi="Times New Roman" w:cs="Times New Roman"/>
          <w:sz w:val="24"/>
          <w:szCs w:val="24"/>
          <w:lang w:val="pt-BR"/>
        </w:rPr>
        <w:t xml:space="preserve">consolidado no </w:t>
      </w:r>
      <w:r w:rsidR="00DA318C" w:rsidRPr="00DA318C">
        <w:rPr>
          <w:rFonts w:ascii="Times New Roman" w:hAnsi="Times New Roman" w:cs="Times New Roman"/>
          <w:sz w:val="24"/>
          <w:szCs w:val="24"/>
          <w:lang w:val="pt-BR"/>
        </w:rPr>
        <w:t>primeiro banco</w:t>
      </w:r>
      <w:r w:rsidRPr="00DA318C">
        <w:rPr>
          <w:rFonts w:ascii="Times New Roman" w:hAnsi="Times New Roman" w:cs="Times New Roman"/>
          <w:sz w:val="24"/>
          <w:szCs w:val="24"/>
          <w:lang w:val="pt-BR"/>
        </w:rPr>
        <w:t xml:space="preserve"> de dados</w:t>
      </w:r>
      <w:r w:rsidR="00DA318C" w:rsidRPr="00DA318C">
        <w:rPr>
          <w:rFonts w:ascii="Times New Roman" w:hAnsi="Times New Roman" w:cs="Times New Roman"/>
          <w:sz w:val="24"/>
          <w:szCs w:val="24"/>
          <w:lang w:val="pt-BR"/>
        </w:rPr>
        <w:t xml:space="preserve"> </w:t>
      </w:r>
      <w:r w:rsidR="004604A1">
        <w:rPr>
          <w:rFonts w:ascii="Times New Roman" w:hAnsi="Times New Roman" w:cs="Times New Roman"/>
          <w:sz w:val="24"/>
          <w:szCs w:val="24"/>
          <w:lang w:val="pt-BR"/>
        </w:rPr>
        <w:t>(</w:t>
      </w:r>
      <w:r w:rsidR="004604A1" w:rsidRPr="004604A1">
        <w:rPr>
          <w:rFonts w:ascii="Times New Roman" w:hAnsi="Times New Roman" w:cs="Times New Roman"/>
          <w:b/>
          <w:sz w:val="24"/>
          <w:szCs w:val="24"/>
          <w:lang w:val="pt-BR"/>
        </w:rPr>
        <w:t xml:space="preserve">anexo </w:t>
      </w:r>
      <w:proofErr w:type="gramStart"/>
      <w:r w:rsidR="004604A1" w:rsidRPr="004604A1">
        <w:rPr>
          <w:rFonts w:ascii="Times New Roman" w:hAnsi="Times New Roman" w:cs="Times New Roman"/>
          <w:b/>
          <w:sz w:val="24"/>
          <w:szCs w:val="24"/>
          <w:lang w:val="pt-BR"/>
        </w:rPr>
        <w:t>3</w:t>
      </w:r>
      <w:proofErr w:type="gramEnd"/>
      <w:r w:rsidR="004604A1">
        <w:rPr>
          <w:rFonts w:ascii="Times New Roman" w:hAnsi="Times New Roman" w:cs="Times New Roman"/>
          <w:sz w:val="24"/>
          <w:szCs w:val="24"/>
          <w:lang w:val="pt-BR"/>
        </w:rPr>
        <w:t xml:space="preserve">) </w:t>
      </w:r>
      <w:r w:rsidRPr="00DA318C">
        <w:rPr>
          <w:rFonts w:ascii="Times New Roman" w:hAnsi="Times New Roman" w:cs="Times New Roman"/>
          <w:sz w:val="24"/>
          <w:szCs w:val="24"/>
          <w:lang w:val="pt-BR"/>
        </w:rPr>
        <w:t xml:space="preserve">utilizando </w:t>
      </w:r>
      <w:r>
        <w:rPr>
          <w:rFonts w:ascii="Times New Roman" w:hAnsi="Times New Roman" w:cs="Times New Roman"/>
          <w:sz w:val="24"/>
          <w:szCs w:val="24"/>
          <w:lang w:val="pt-BR"/>
        </w:rPr>
        <w:t xml:space="preserve">o </w:t>
      </w:r>
      <w:r w:rsidR="00CB0FEA" w:rsidRPr="00814DC4">
        <w:rPr>
          <w:rFonts w:ascii="Times New Roman" w:hAnsi="Times New Roman" w:cs="Times New Roman"/>
          <w:sz w:val="24"/>
          <w:szCs w:val="24"/>
          <w:lang w:val="pt-BR"/>
        </w:rPr>
        <w:t xml:space="preserve">software R (adequado para a análise de </w:t>
      </w:r>
      <w:r w:rsidR="00CB0FEA" w:rsidRPr="00A5196A">
        <w:rPr>
          <w:rFonts w:ascii="Times New Roman" w:hAnsi="Times New Roman" w:cs="Times New Roman"/>
          <w:i/>
          <w:sz w:val="24"/>
          <w:szCs w:val="24"/>
          <w:lang w:val="pt-BR"/>
        </w:rPr>
        <w:t>big data</w:t>
      </w:r>
      <w:r w:rsidR="00CB0FEA" w:rsidRPr="00814DC4">
        <w:rPr>
          <w:rFonts w:ascii="Times New Roman" w:hAnsi="Times New Roman" w:cs="Times New Roman"/>
          <w:sz w:val="24"/>
          <w:szCs w:val="24"/>
          <w:lang w:val="pt-BR"/>
        </w:rPr>
        <w:t>)</w:t>
      </w:r>
      <w:r w:rsidR="00E97054">
        <w:rPr>
          <w:rFonts w:ascii="Times New Roman" w:hAnsi="Times New Roman" w:cs="Times New Roman"/>
          <w:sz w:val="24"/>
          <w:szCs w:val="24"/>
          <w:lang w:val="pt-BR"/>
        </w:rPr>
        <w:t xml:space="preserve"> e podem ser vistos tanto no </w:t>
      </w:r>
      <w:proofErr w:type="spellStart"/>
      <w:r w:rsidR="00E97054" w:rsidRPr="00E97054">
        <w:rPr>
          <w:rFonts w:ascii="Times New Roman" w:hAnsi="Times New Roman" w:cs="Times New Roman"/>
          <w:i/>
          <w:sz w:val="24"/>
          <w:szCs w:val="24"/>
          <w:lang w:val="pt-BR"/>
        </w:rPr>
        <w:t>working</w:t>
      </w:r>
      <w:proofErr w:type="spellEnd"/>
      <w:r w:rsidR="00E97054" w:rsidRPr="00E97054">
        <w:rPr>
          <w:rFonts w:ascii="Times New Roman" w:hAnsi="Times New Roman" w:cs="Times New Roman"/>
          <w:i/>
          <w:sz w:val="24"/>
          <w:szCs w:val="24"/>
          <w:lang w:val="pt-BR"/>
        </w:rPr>
        <w:t xml:space="preserve"> </w:t>
      </w:r>
      <w:proofErr w:type="spellStart"/>
      <w:r w:rsidR="00E97054" w:rsidRPr="00E97054">
        <w:rPr>
          <w:rFonts w:ascii="Times New Roman" w:hAnsi="Times New Roman" w:cs="Times New Roman"/>
          <w:i/>
          <w:sz w:val="24"/>
          <w:szCs w:val="24"/>
          <w:lang w:val="pt-BR"/>
        </w:rPr>
        <w:t>paper</w:t>
      </w:r>
      <w:proofErr w:type="spellEnd"/>
      <w:r w:rsidR="00E97054">
        <w:rPr>
          <w:rFonts w:ascii="Times New Roman" w:hAnsi="Times New Roman" w:cs="Times New Roman"/>
          <w:sz w:val="24"/>
          <w:szCs w:val="24"/>
          <w:lang w:val="pt-BR"/>
        </w:rPr>
        <w:t xml:space="preserve"> (</w:t>
      </w:r>
      <w:r w:rsidR="00E97054" w:rsidRPr="00E97054">
        <w:rPr>
          <w:rFonts w:ascii="Times New Roman" w:hAnsi="Times New Roman" w:cs="Times New Roman"/>
          <w:b/>
          <w:sz w:val="24"/>
          <w:szCs w:val="24"/>
          <w:lang w:val="pt-BR"/>
        </w:rPr>
        <w:t>anexo 2</w:t>
      </w:r>
      <w:r w:rsidR="00E97054">
        <w:rPr>
          <w:rFonts w:ascii="Times New Roman" w:hAnsi="Times New Roman" w:cs="Times New Roman"/>
          <w:sz w:val="24"/>
          <w:szCs w:val="24"/>
          <w:lang w:val="pt-BR"/>
        </w:rPr>
        <w:t>) como na apresentação que realizei em fevereiro para a LSE (</w:t>
      </w:r>
      <w:r w:rsidR="00E97054" w:rsidRPr="004604A1">
        <w:rPr>
          <w:rFonts w:ascii="Times New Roman" w:hAnsi="Times New Roman" w:cs="Times New Roman"/>
          <w:b/>
          <w:sz w:val="24"/>
          <w:szCs w:val="24"/>
          <w:lang w:val="pt-BR"/>
        </w:rPr>
        <w:t>anexo 8</w:t>
      </w:r>
      <w:r w:rsidR="00E97054">
        <w:rPr>
          <w:rFonts w:ascii="Times New Roman" w:hAnsi="Times New Roman" w:cs="Times New Roman"/>
          <w:b/>
          <w:sz w:val="24"/>
          <w:szCs w:val="24"/>
          <w:lang w:val="pt-BR"/>
        </w:rPr>
        <w:t>)</w:t>
      </w:r>
      <w:r>
        <w:rPr>
          <w:rFonts w:ascii="Times New Roman" w:hAnsi="Times New Roman" w:cs="Times New Roman"/>
          <w:sz w:val="24"/>
          <w:szCs w:val="24"/>
          <w:lang w:val="pt-BR"/>
        </w:rPr>
        <w:t xml:space="preserve">. O objetivo destas atividades foi o de </w:t>
      </w:r>
      <w:r w:rsidR="00CB0FEA" w:rsidRPr="00814DC4">
        <w:rPr>
          <w:rFonts w:ascii="Times New Roman" w:hAnsi="Times New Roman" w:cs="Times New Roman"/>
          <w:sz w:val="24"/>
          <w:szCs w:val="24"/>
          <w:lang w:val="pt-BR"/>
        </w:rPr>
        <w:t xml:space="preserve">comparar os </w:t>
      </w:r>
      <w:r w:rsidR="00F71A02">
        <w:rPr>
          <w:rFonts w:ascii="Times New Roman" w:hAnsi="Times New Roman" w:cs="Times New Roman"/>
          <w:sz w:val="24"/>
          <w:szCs w:val="24"/>
          <w:lang w:val="pt-BR"/>
        </w:rPr>
        <w:t xml:space="preserve">fluxos totais, superávits e déficits </w:t>
      </w:r>
      <w:r w:rsidR="00FC0FC1" w:rsidRPr="00814DC4">
        <w:rPr>
          <w:rFonts w:ascii="Times New Roman" w:hAnsi="Times New Roman" w:cs="Times New Roman"/>
          <w:sz w:val="24"/>
          <w:szCs w:val="24"/>
          <w:lang w:val="pt-BR"/>
        </w:rPr>
        <w:t xml:space="preserve">(em valores correntes e valores reais) </w:t>
      </w:r>
      <w:r>
        <w:rPr>
          <w:rFonts w:ascii="Times New Roman" w:hAnsi="Times New Roman" w:cs="Times New Roman"/>
          <w:sz w:val="24"/>
          <w:szCs w:val="24"/>
          <w:lang w:val="pt-BR"/>
        </w:rPr>
        <w:t xml:space="preserve">do comércio de “produtos farmacêuticos” e de </w:t>
      </w:r>
      <w:r w:rsidRPr="00A5196A">
        <w:rPr>
          <w:rFonts w:ascii="Times New Roman" w:hAnsi="Times New Roman" w:cs="Times New Roman"/>
          <w:sz w:val="24"/>
          <w:szCs w:val="24"/>
          <w:lang w:val="pt-BR"/>
        </w:rPr>
        <w:t>“serviços de propriedade intelectual”</w:t>
      </w:r>
      <w:r>
        <w:rPr>
          <w:rFonts w:ascii="Times New Roman" w:hAnsi="Times New Roman" w:cs="Times New Roman"/>
          <w:sz w:val="24"/>
          <w:szCs w:val="24"/>
          <w:lang w:val="pt-BR"/>
        </w:rPr>
        <w:t xml:space="preserve"> </w:t>
      </w:r>
      <w:r w:rsidR="00F71A02">
        <w:rPr>
          <w:rFonts w:ascii="Times New Roman" w:hAnsi="Times New Roman" w:cs="Times New Roman"/>
          <w:sz w:val="24"/>
          <w:szCs w:val="24"/>
          <w:lang w:val="pt-BR"/>
        </w:rPr>
        <w:t xml:space="preserve">ao longo do tempo </w:t>
      </w:r>
      <w:r w:rsidR="00CB0FEA" w:rsidRPr="00814DC4">
        <w:rPr>
          <w:rFonts w:ascii="Times New Roman" w:hAnsi="Times New Roman" w:cs="Times New Roman"/>
          <w:sz w:val="24"/>
          <w:szCs w:val="24"/>
          <w:lang w:val="pt-BR"/>
        </w:rPr>
        <w:t xml:space="preserve">entre grupos de países classificados de acordo com o nível de desenvolvimento, nível de renda, região e sub-região. </w:t>
      </w:r>
      <w:proofErr w:type="gramStart"/>
      <w:r w:rsidR="00CB0FEA" w:rsidRPr="00814DC4">
        <w:rPr>
          <w:rFonts w:ascii="Times New Roman" w:hAnsi="Times New Roman" w:cs="Times New Roman"/>
          <w:sz w:val="24"/>
          <w:szCs w:val="24"/>
          <w:lang w:val="pt-BR"/>
        </w:rPr>
        <w:t>Além disso</w:t>
      </w:r>
      <w:proofErr w:type="gramEnd"/>
      <w:r w:rsidR="00CB0FEA" w:rsidRPr="00814DC4">
        <w:rPr>
          <w:rFonts w:ascii="Times New Roman" w:hAnsi="Times New Roman" w:cs="Times New Roman"/>
          <w:sz w:val="24"/>
          <w:szCs w:val="24"/>
          <w:lang w:val="pt-BR"/>
        </w:rPr>
        <w:t xml:space="preserve"> foram feitos rankings procurando mostrar quais </w:t>
      </w:r>
      <w:r w:rsidR="00F71A02">
        <w:rPr>
          <w:rFonts w:ascii="Times New Roman" w:hAnsi="Times New Roman" w:cs="Times New Roman"/>
          <w:sz w:val="24"/>
          <w:szCs w:val="24"/>
          <w:lang w:val="pt-BR"/>
        </w:rPr>
        <w:t xml:space="preserve">são os </w:t>
      </w:r>
      <w:r w:rsidR="00CB0FEA" w:rsidRPr="00814DC4">
        <w:rPr>
          <w:rFonts w:ascii="Times New Roman" w:hAnsi="Times New Roman" w:cs="Times New Roman"/>
          <w:sz w:val="24"/>
          <w:szCs w:val="24"/>
          <w:lang w:val="pt-BR"/>
        </w:rPr>
        <w:t>países</w:t>
      </w:r>
      <w:r w:rsidR="00F71A02">
        <w:rPr>
          <w:rFonts w:ascii="Times New Roman" w:hAnsi="Times New Roman" w:cs="Times New Roman"/>
          <w:sz w:val="24"/>
          <w:szCs w:val="24"/>
          <w:lang w:val="pt-BR"/>
        </w:rPr>
        <w:t xml:space="preserve"> que </w:t>
      </w:r>
      <w:r w:rsidR="00B74CF8">
        <w:rPr>
          <w:rFonts w:ascii="Times New Roman" w:hAnsi="Times New Roman" w:cs="Times New Roman"/>
          <w:sz w:val="24"/>
          <w:szCs w:val="24"/>
          <w:lang w:val="pt-BR"/>
        </w:rPr>
        <w:t xml:space="preserve">mais </w:t>
      </w:r>
      <w:r w:rsidR="00CB0FEA" w:rsidRPr="00814DC4">
        <w:rPr>
          <w:rFonts w:ascii="Times New Roman" w:hAnsi="Times New Roman" w:cs="Times New Roman"/>
          <w:sz w:val="24"/>
          <w:szCs w:val="24"/>
          <w:lang w:val="pt-BR"/>
        </w:rPr>
        <w:t xml:space="preserve">participam </w:t>
      </w:r>
      <w:r w:rsidR="00B74CF8">
        <w:rPr>
          <w:rFonts w:ascii="Times New Roman" w:hAnsi="Times New Roman" w:cs="Times New Roman"/>
          <w:sz w:val="24"/>
          <w:szCs w:val="24"/>
          <w:lang w:val="pt-BR"/>
        </w:rPr>
        <w:t xml:space="preserve">do comércio dos dois itens selecionados do balanço de pagamentos. </w:t>
      </w:r>
    </w:p>
    <w:p w14:paraId="55E079D7" w14:textId="77777777" w:rsidR="00DA318C" w:rsidRDefault="00741844" w:rsidP="008B0E7D">
      <w:pPr>
        <w:spacing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Os</w:t>
      </w:r>
      <w:r w:rsidR="00B74CF8">
        <w:rPr>
          <w:rFonts w:ascii="Times New Roman" w:hAnsi="Times New Roman" w:cs="Times New Roman"/>
          <w:sz w:val="24"/>
          <w:szCs w:val="24"/>
          <w:lang w:val="pt-BR"/>
        </w:rPr>
        <w:t xml:space="preserve"> dados foram deflacionados de acordo com os índices de valores de importação e exportação fornecidos pela UNCTAD para todos os países (este índice existe para os países desde 1988</w:t>
      </w:r>
      <w:proofErr w:type="gramStart"/>
      <w:r w:rsidR="00B74CF8">
        <w:rPr>
          <w:rFonts w:ascii="Times New Roman" w:hAnsi="Times New Roman" w:cs="Times New Roman"/>
          <w:sz w:val="24"/>
          <w:szCs w:val="24"/>
          <w:lang w:val="pt-BR"/>
        </w:rPr>
        <w:t xml:space="preserve"> mas</w:t>
      </w:r>
      <w:proofErr w:type="gramEnd"/>
      <w:r w:rsidR="00B74CF8">
        <w:rPr>
          <w:rFonts w:ascii="Times New Roman" w:hAnsi="Times New Roman" w:cs="Times New Roman"/>
          <w:sz w:val="24"/>
          <w:szCs w:val="24"/>
          <w:lang w:val="pt-BR"/>
        </w:rPr>
        <w:t xml:space="preserve"> a maioria dos países os tem </w:t>
      </w:r>
      <w:r w:rsidR="00DA318C">
        <w:rPr>
          <w:rFonts w:ascii="Times New Roman" w:hAnsi="Times New Roman" w:cs="Times New Roman"/>
          <w:sz w:val="24"/>
          <w:szCs w:val="24"/>
          <w:lang w:val="pt-BR"/>
        </w:rPr>
        <w:t>calculado</w:t>
      </w:r>
      <w:r w:rsidR="00B74CF8">
        <w:rPr>
          <w:rFonts w:ascii="Times New Roman" w:hAnsi="Times New Roman" w:cs="Times New Roman"/>
          <w:sz w:val="24"/>
          <w:szCs w:val="24"/>
          <w:lang w:val="pt-BR"/>
        </w:rPr>
        <w:t xml:space="preserve"> à parti de 1995). </w:t>
      </w:r>
      <w:r>
        <w:rPr>
          <w:rFonts w:ascii="Times New Roman" w:hAnsi="Times New Roman" w:cs="Times New Roman"/>
          <w:sz w:val="24"/>
          <w:szCs w:val="24"/>
          <w:lang w:val="pt-BR"/>
        </w:rPr>
        <w:t>Calculamos</w:t>
      </w:r>
      <w:r w:rsidR="00F54830" w:rsidRPr="00814DC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também </w:t>
      </w:r>
      <w:r w:rsidR="00B74CF8">
        <w:rPr>
          <w:rFonts w:ascii="Times New Roman" w:hAnsi="Times New Roman" w:cs="Times New Roman"/>
          <w:sz w:val="24"/>
          <w:szCs w:val="24"/>
          <w:lang w:val="pt-BR"/>
        </w:rPr>
        <w:t>o fluxo total d</w:t>
      </w:r>
      <w:r>
        <w:rPr>
          <w:rFonts w:ascii="Times New Roman" w:hAnsi="Times New Roman" w:cs="Times New Roman"/>
          <w:sz w:val="24"/>
          <w:szCs w:val="24"/>
          <w:lang w:val="pt-BR"/>
        </w:rPr>
        <w:t>e cada</w:t>
      </w:r>
      <w:r w:rsidR="00B74CF8">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conta selecionada </w:t>
      </w:r>
      <w:r w:rsidR="00B74CF8">
        <w:rPr>
          <w:rFonts w:ascii="Times New Roman" w:hAnsi="Times New Roman" w:cs="Times New Roman"/>
          <w:sz w:val="24"/>
          <w:szCs w:val="24"/>
          <w:lang w:val="pt-BR"/>
        </w:rPr>
        <w:t xml:space="preserve">como porcentagem do fluxo total da balança </w:t>
      </w:r>
      <w:r w:rsidR="00B74CF8">
        <w:rPr>
          <w:rFonts w:ascii="Times New Roman" w:hAnsi="Times New Roman" w:cs="Times New Roman"/>
          <w:sz w:val="24"/>
          <w:szCs w:val="24"/>
          <w:lang w:val="pt-BR"/>
        </w:rPr>
        <w:lastRenderedPageBreak/>
        <w:t xml:space="preserve">comercial, da balança de serviços, da soma das duas balanças, </w:t>
      </w:r>
      <w:r w:rsidR="00CC1AC2">
        <w:rPr>
          <w:rFonts w:ascii="Times New Roman" w:hAnsi="Times New Roman" w:cs="Times New Roman"/>
          <w:sz w:val="24"/>
          <w:szCs w:val="24"/>
          <w:lang w:val="pt-BR"/>
        </w:rPr>
        <w:t>como porcentagem do PIB, para cada país por ano</w:t>
      </w:r>
      <w:r>
        <w:rPr>
          <w:rFonts w:ascii="Times New Roman" w:hAnsi="Times New Roman" w:cs="Times New Roman"/>
          <w:sz w:val="24"/>
          <w:szCs w:val="24"/>
          <w:lang w:val="pt-BR"/>
        </w:rPr>
        <w:t xml:space="preserve"> com o objetivo de </w:t>
      </w:r>
      <w:r w:rsidR="00DA318C">
        <w:rPr>
          <w:rFonts w:ascii="Times New Roman" w:hAnsi="Times New Roman" w:cs="Times New Roman"/>
          <w:sz w:val="24"/>
          <w:szCs w:val="24"/>
          <w:lang w:val="pt-BR"/>
        </w:rPr>
        <w:t>compreender</w:t>
      </w:r>
      <w:r>
        <w:rPr>
          <w:rFonts w:ascii="Times New Roman" w:hAnsi="Times New Roman" w:cs="Times New Roman"/>
          <w:sz w:val="24"/>
          <w:szCs w:val="24"/>
          <w:lang w:val="pt-BR"/>
        </w:rPr>
        <w:t xml:space="preserve"> o peso deste comércio relacionado à PI em relação ao seu comércio de bens, de serviços, em relação </w:t>
      </w:r>
      <w:proofErr w:type="gramStart"/>
      <w:r>
        <w:rPr>
          <w:rFonts w:ascii="Times New Roman" w:hAnsi="Times New Roman" w:cs="Times New Roman"/>
          <w:sz w:val="24"/>
          <w:szCs w:val="24"/>
          <w:lang w:val="pt-BR"/>
        </w:rPr>
        <w:t>à</w:t>
      </w:r>
      <w:proofErr w:type="gramEnd"/>
      <w:r>
        <w:rPr>
          <w:rFonts w:ascii="Times New Roman" w:hAnsi="Times New Roman" w:cs="Times New Roman"/>
          <w:sz w:val="24"/>
          <w:szCs w:val="24"/>
          <w:lang w:val="pt-BR"/>
        </w:rPr>
        <w:t xml:space="preserve"> todo o seu comércio e em relação à sua produção anual </w:t>
      </w:r>
      <w:r w:rsidR="00CC1AC2">
        <w:rPr>
          <w:rFonts w:ascii="Times New Roman" w:hAnsi="Times New Roman" w:cs="Times New Roman"/>
          <w:sz w:val="24"/>
          <w:szCs w:val="24"/>
          <w:lang w:val="pt-BR"/>
        </w:rPr>
        <w:t xml:space="preserve">. E por fim, com o objetivo de estabelecer possíveis correlações e controlar os dados, também separamos </w:t>
      </w:r>
      <w:r w:rsidR="00CC1AC2" w:rsidRPr="00814DC4">
        <w:rPr>
          <w:rFonts w:ascii="Times New Roman" w:hAnsi="Times New Roman" w:cs="Times New Roman"/>
          <w:sz w:val="24"/>
          <w:szCs w:val="24"/>
          <w:lang w:val="pt-BR"/>
        </w:rPr>
        <w:t xml:space="preserve">os </w:t>
      </w:r>
      <w:r w:rsidR="00CC1AC2">
        <w:rPr>
          <w:rFonts w:ascii="Times New Roman" w:hAnsi="Times New Roman" w:cs="Times New Roman"/>
          <w:sz w:val="24"/>
          <w:szCs w:val="24"/>
          <w:lang w:val="pt-BR"/>
        </w:rPr>
        <w:t xml:space="preserve">fluxos totais </w:t>
      </w:r>
      <w:r w:rsidR="00DA318C">
        <w:rPr>
          <w:rFonts w:ascii="Times New Roman" w:hAnsi="Times New Roman" w:cs="Times New Roman"/>
          <w:sz w:val="24"/>
          <w:szCs w:val="24"/>
          <w:lang w:val="pt-BR"/>
        </w:rPr>
        <w:t>mundiais</w:t>
      </w:r>
      <w:r w:rsidR="00CC1AC2">
        <w:rPr>
          <w:rFonts w:ascii="Times New Roman" w:hAnsi="Times New Roman" w:cs="Times New Roman"/>
          <w:sz w:val="24"/>
          <w:szCs w:val="24"/>
          <w:lang w:val="pt-BR"/>
        </w:rPr>
        <w:t xml:space="preserve"> do comércio de outros bens (total dos bens menos produtos farmacêuticos) e do comércio de outros serviços (total menos os serviços de propriedade intelectual) e o PIB mundial </w:t>
      </w:r>
      <w:r w:rsidR="00CC1AC2" w:rsidRPr="00814DC4">
        <w:rPr>
          <w:rFonts w:ascii="Times New Roman" w:hAnsi="Times New Roman" w:cs="Times New Roman"/>
          <w:sz w:val="24"/>
          <w:szCs w:val="24"/>
          <w:lang w:val="pt-BR"/>
        </w:rPr>
        <w:t xml:space="preserve">entre </w:t>
      </w:r>
      <w:r w:rsidR="00CC1AC2">
        <w:rPr>
          <w:rFonts w:ascii="Times New Roman" w:hAnsi="Times New Roman" w:cs="Times New Roman"/>
          <w:sz w:val="24"/>
          <w:szCs w:val="24"/>
          <w:lang w:val="pt-BR"/>
        </w:rPr>
        <w:t xml:space="preserve">os </w:t>
      </w:r>
      <w:r w:rsidR="00CC1AC2" w:rsidRPr="00814DC4">
        <w:rPr>
          <w:rFonts w:ascii="Times New Roman" w:hAnsi="Times New Roman" w:cs="Times New Roman"/>
          <w:sz w:val="24"/>
          <w:szCs w:val="24"/>
          <w:lang w:val="pt-BR"/>
        </w:rPr>
        <w:t>grupos de países classificados de acordo com o nível de desenvolvimento, nível de renda, região e sub-região</w:t>
      </w:r>
      <w:r w:rsidR="00CC1AC2">
        <w:rPr>
          <w:rFonts w:ascii="Times New Roman" w:hAnsi="Times New Roman" w:cs="Times New Roman"/>
          <w:sz w:val="24"/>
          <w:szCs w:val="24"/>
          <w:lang w:val="pt-BR"/>
        </w:rPr>
        <w:t xml:space="preserve"> ao longo do </w:t>
      </w:r>
      <w:r w:rsidR="00DA318C">
        <w:rPr>
          <w:rFonts w:ascii="Times New Roman" w:hAnsi="Times New Roman" w:cs="Times New Roman"/>
          <w:sz w:val="24"/>
          <w:szCs w:val="24"/>
          <w:lang w:val="pt-BR"/>
        </w:rPr>
        <w:t>tempo</w:t>
      </w:r>
      <w:r w:rsidR="00CC1AC2">
        <w:rPr>
          <w:rFonts w:ascii="Times New Roman" w:hAnsi="Times New Roman" w:cs="Times New Roman"/>
          <w:sz w:val="24"/>
          <w:szCs w:val="24"/>
          <w:lang w:val="pt-BR"/>
        </w:rPr>
        <w:t xml:space="preserve"> (por ano pesquisado)</w:t>
      </w:r>
      <w:r w:rsidR="00CC1AC2" w:rsidRPr="00814DC4">
        <w:rPr>
          <w:rFonts w:ascii="Times New Roman" w:hAnsi="Times New Roman" w:cs="Times New Roman"/>
          <w:sz w:val="24"/>
          <w:szCs w:val="24"/>
          <w:lang w:val="pt-BR"/>
        </w:rPr>
        <w:t>.</w:t>
      </w:r>
      <w:r w:rsidR="00CC1AC2">
        <w:rPr>
          <w:rFonts w:ascii="Times New Roman" w:hAnsi="Times New Roman" w:cs="Times New Roman"/>
          <w:sz w:val="24"/>
          <w:szCs w:val="24"/>
          <w:lang w:val="pt-BR"/>
        </w:rPr>
        <w:t xml:space="preserve"> </w:t>
      </w:r>
    </w:p>
    <w:p w14:paraId="7C5D37DC" w14:textId="547B7E8F" w:rsidR="00B74CF8" w:rsidRDefault="00CB0FEA" w:rsidP="008B0E7D">
      <w:pPr>
        <w:spacing w:after="0" w:line="360" w:lineRule="auto"/>
        <w:ind w:firstLine="720"/>
        <w:jc w:val="both"/>
        <w:rPr>
          <w:rFonts w:ascii="Times New Roman" w:hAnsi="Times New Roman" w:cs="Times New Roman"/>
          <w:sz w:val="24"/>
          <w:szCs w:val="24"/>
          <w:lang w:val="pt-BR"/>
        </w:rPr>
      </w:pPr>
      <w:r w:rsidRPr="00814DC4">
        <w:rPr>
          <w:rFonts w:ascii="Times New Roman" w:hAnsi="Times New Roman" w:cs="Times New Roman"/>
          <w:sz w:val="24"/>
          <w:szCs w:val="24"/>
          <w:lang w:val="pt-BR"/>
        </w:rPr>
        <w:t xml:space="preserve">Algumas </w:t>
      </w:r>
      <w:r w:rsidR="00CC1AC2">
        <w:rPr>
          <w:rFonts w:ascii="Times New Roman" w:hAnsi="Times New Roman" w:cs="Times New Roman"/>
          <w:sz w:val="24"/>
          <w:szCs w:val="24"/>
          <w:lang w:val="pt-BR"/>
        </w:rPr>
        <w:t xml:space="preserve">dessas </w:t>
      </w:r>
      <w:r w:rsidRPr="00814DC4">
        <w:rPr>
          <w:rFonts w:ascii="Times New Roman" w:hAnsi="Times New Roman" w:cs="Times New Roman"/>
          <w:sz w:val="24"/>
          <w:szCs w:val="24"/>
          <w:lang w:val="pt-BR"/>
        </w:rPr>
        <w:t>tabelas</w:t>
      </w:r>
      <w:r w:rsidR="00CC1AC2">
        <w:rPr>
          <w:rFonts w:ascii="Times New Roman" w:hAnsi="Times New Roman" w:cs="Times New Roman"/>
          <w:sz w:val="24"/>
          <w:szCs w:val="24"/>
          <w:lang w:val="pt-BR"/>
        </w:rPr>
        <w:t xml:space="preserve"> e gráficos</w:t>
      </w:r>
      <w:r w:rsidRPr="00814DC4">
        <w:rPr>
          <w:rFonts w:ascii="Times New Roman" w:hAnsi="Times New Roman" w:cs="Times New Roman"/>
          <w:sz w:val="24"/>
          <w:szCs w:val="24"/>
          <w:lang w:val="pt-BR"/>
        </w:rPr>
        <w:t xml:space="preserve"> </w:t>
      </w:r>
      <w:r w:rsidR="00DA318C">
        <w:rPr>
          <w:rFonts w:ascii="Times New Roman" w:hAnsi="Times New Roman" w:cs="Times New Roman"/>
          <w:sz w:val="24"/>
          <w:szCs w:val="24"/>
          <w:lang w:val="pt-BR"/>
        </w:rPr>
        <w:t xml:space="preserve">foram divulgadas </w:t>
      </w:r>
      <w:r w:rsidRPr="00814DC4">
        <w:rPr>
          <w:rFonts w:ascii="Times New Roman" w:hAnsi="Times New Roman" w:cs="Times New Roman"/>
          <w:sz w:val="24"/>
          <w:szCs w:val="24"/>
          <w:lang w:val="pt-BR"/>
        </w:rPr>
        <w:t>n</w:t>
      </w:r>
      <w:r w:rsidR="00F54830" w:rsidRPr="00814DC4">
        <w:rPr>
          <w:rFonts w:ascii="Times New Roman" w:hAnsi="Times New Roman" w:cs="Times New Roman"/>
          <w:sz w:val="24"/>
          <w:szCs w:val="24"/>
          <w:lang w:val="pt-BR"/>
        </w:rPr>
        <w:t>a apresentação d</w:t>
      </w:r>
      <w:r w:rsidR="00CC1AC2">
        <w:rPr>
          <w:rFonts w:ascii="Times New Roman" w:hAnsi="Times New Roman" w:cs="Times New Roman"/>
          <w:sz w:val="24"/>
          <w:szCs w:val="24"/>
          <w:lang w:val="pt-BR"/>
        </w:rPr>
        <w:t>a pesquisa realizada dia 28 de fevereiro de 2018 para professores e estudantes no evento “</w:t>
      </w:r>
      <w:proofErr w:type="spellStart"/>
      <w:r w:rsidR="00CC1AC2" w:rsidRPr="00CC1AC2">
        <w:rPr>
          <w:rFonts w:ascii="Times New Roman" w:hAnsi="Times New Roman" w:cs="Times New Roman"/>
          <w:sz w:val="24"/>
          <w:szCs w:val="24"/>
          <w:lang w:val="pt-BR"/>
        </w:rPr>
        <w:t>Department</w:t>
      </w:r>
      <w:proofErr w:type="spellEnd"/>
      <w:r w:rsidR="00CC1AC2" w:rsidRPr="00CC1AC2">
        <w:rPr>
          <w:rFonts w:ascii="Times New Roman" w:hAnsi="Times New Roman" w:cs="Times New Roman"/>
          <w:sz w:val="24"/>
          <w:szCs w:val="24"/>
          <w:lang w:val="pt-BR"/>
        </w:rPr>
        <w:t xml:space="preserve"> </w:t>
      </w:r>
      <w:proofErr w:type="spellStart"/>
      <w:r w:rsidR="00CC1AC2" w:rsidRPr="00CC1AC2">
        <w:rPr>
          <w:rFonts w:ascii="Times New Roman" w:hAnsi="Times New Roman" w:cs="Times New Roman"/>
          <w:sz w:val="24"/>
          <w:szCs w:val="24"/>
          <w:lang w:val="pt-BR"/>
        </w:rPr>
        <w:t>of</w:t>
      </w:r>
      <w:proofErr w:type="spellEnd"/>
      <w:r w:rsidR="00CC1AC2" w:rsidRPr="00CC1AC2">
        <w:rPr>
          <w:rFonts w:ascii="Times New Roman" w:hAnsi="Times New Roman" w:cs="Times New Roman"/>
          <w:sz w:val="24"/>
          <w:szCs w:val="24"/>
          <w:lang w:val="pt-BR"/>
        </w:rPr>
        <w:t xml:space="preserve"> </w:t>
      </w:r>
      <w:proofErr w:type="spellStart"/>
      <w:r w:rsidR="00CC1AC2" w:rsidRPr="00CC1AC2">
        <w:rPr>
          <w:rFonts w:ascii="Times New Roman" w:hAnsi="Times New Roman" w:cs="Times New Roman"/>
          <w:sz w:val="24"/>
          <w:szCs w:val="24"/>
          <w:lang w:val="pt-BR"/>
        </w:rPr>
        <w:t>International</w:t>
      </w:r>
      <w:proofErr w:type="spellEnd"/>
      <w:r w:rsidR="00CC1AC2" w:rsidRPr="00CC1AC2">
        <w:rPr>
          <w:rFonts w:ascii="Times New Roman" w:hAnsi="Times New Roman" w:cs="Times New Roman"/>
          <w:sz w:val="24"/>
          <w:szCs w:val="24"/>
          <w:lang w:val="pt-BR"/>
        </w:rPr>
        <w:t xml:space="preserve"> </w:t>
      </w:r>
      <w:proofErr w:type="spellStart"/>
      <w:r w:rsidR="00CC1AC2" w:rsidRPr="00CC1AC2">
        <w:rPr>
          <w:rFonts w:ascii="Times New Roman" w:hAnsi="Times New Roman" w:cs="Times New Roman"/>
          <w:sz w:val="24"/>
          <w:szCs w:val="24"/>
          <w:lang w:val="pt-BR"/>
        </w:rPr>
        <w:t>Development</w:t>
      </w:r>
      <w:proofErr w:type="spellEnd"/>
      <w:r w:rsidR="00CC1AC2" w:rsidRPr="00CC1AC2">
        <w:rPr>
          <w:rFonts w:ascii="Times New Roman" w:hAnsi="Times New Roman" w:cs="Times New Roman"/>
          <w:sz w:val="24"/>
          <w:szCs w:val="24"/>
          <w:lang w:val="pt-BR"/>
        </w:rPr>
        <w:t xml:space="preserve">: </w:t>
      </w:r>
      <w:proofErr w:type="spellStart"/>
      <w:r w:rsidR="00CC1AC2" w:rsidRPr="00CC1AC2">
        <w:rPr>
          <w:rFonts w:ascii="Times New Roman" w:hAnsi="Times New Roman" w:cs="Times New Roman"/>
          <w:sz w:val="24"/>
          <w:szCs w:val="24"/>
          <w:lang w:val="pt-BR"/>
        </w:rPr>
        <w:t>Research</w:t>
      </w:r>
      <w:proofErr w:type="spellEnd"/>
      <w:r w:rsidR="00CC1AC2">
        <w:rPr>
          <w:rFonts w:ascii="Times New Roman" w:hAnsi="Times New Roman" w:cs="Times New Roman"/>
          <w:sz w:val="24"/>
          <w:szCs w:val="24"/>
          <w:lang w:val="pt-BR"/>
        </w:rPr>
        <w:t xml:space="preserve"> </w:t>
      </w:r>
      <w:proofErr w:type="spellStart"/>
      <w:r w:rsidR="00CC1AC2" w:rsidRPr="00CC1AC2">
        <w:rPr>
          <w:rFonts w:ascii="Times New Roman" w:hAnsi="Times New Roman" w:cs="Times New Roman"/>
          <w:sz w:val="24"/>
          <w:szCs w:val="24"/>
          <w:lang w:val="pt-BR"/>
        </w:rPr>
        <w:t>Seminars</w:t>
      </w:r>
      <w:proofErr w:type="spellEnd"/>
      <w:r w:rsidR="00CC1AC2" w:rsidRPr="00CC1AC2">
        <w:rPr>
          <w:rFonts w:ascii="Times New Roman" w:hAnsi="Times New Roman" w:cs="Times New Roman"/>
          <w:sz w:val="24"/>
          <w:szCs w:val="24"/>
          <w:lang w:val="pt-BR"/>
        </w:rPr>
        <w:t xml:space="preserve"> 2017-18</w:t>
      </w:r>
      <w:r w:rsidR="00CC1AC2">
        <w:rPr>
          <w:rFonts w:ascii="Times New Roman" w:hAnsi="Times New Roman" w:cs="Times New Roman"/>
          <w:sz w:val="24"/>
          <w:szCs w:val="24"/>
          <w:lang w:val="pt-BR"/>
        </w:rPr>
        <w:t>”</w:t>
      </w:r>
      <w:r w:rsidR="00DA318C">
        <w:rPr>
          <w:rFonts w:ascii="Times New Roman" w:hAnsi="Times New Roman" w:cs="Times New Roman"/>
          <w:sz w:val="24"/>
          <w:szCs w:val="24"/>
          <w:lang w:val="pt-BR"/>
        </w:rPr>
        <w:t>. Seguem abaixo dois exemplos de gráficos e tabelas desenvolvidos.</w:t>
      </w:r>
    </w:p>
    <w:p w14:paraId="7EE9B827" w14:textId="77777777" w:rsidR="00DA318C" w:rsidRDefault="00DA318C" w:rsidP="008B0E7D">
      <w:pPr>
        <w:spacing w:after="0" w:line="360" w:lineRule="auto"/>
        <w:jc w:val="both"/>
        <w:rPr>
          <w:rFonts w:ascii="Times New Roman" w:hAnsi="Times New Roman" w:cs="Times New Roman"/>
          <w:b/>
          <w:sz w:val="24"/>
          <w:szCs w:val="24"/>
          <w:lang w:val="pt-BR"/>
        </w:rPr>
      </w:pPr>
    </w:p>
    <w:p w14:paraId="70399AC5" w14:textId="0596A2A1" w:rsidR="00DA318C" w:rsidRPr="00DA318C" w:rsidRDefault="00DA318C" w:rsidP="008B0E7D">
      <w:pPr>
        <w:spacing w:after="0" w:line="360" w:lineRule="auto"/>
        <w:jc w:val="both"/>
        <w:rPr>
          <w:rFonts w:ascii="Times New Roman" w:hAnsi="Times New Roman" w:cs="Times New Roman"/>
          <w:sz w:val="24"/>
          <w:szCs w:val="24"/>
          <w:lang w:val="pt-BR"/>
        </w:rPr>
      </w:pPr>
      <w:r w:rsidRPr="00DA318C">
        <w:rPr>
          <w:rFonts w:ascii="Times New Roman" w:hAnsi="Times New Roman" w:cs="Times New Roman"/>
          <w:b/>
          <w:sz w:val="24"/>
          <w:szCs w:val="24"/>
          <w:lang w:val="pt-BR"/>
        </w:rPr>
        <w:t>Gráfico</w:t>
      </w:r>
      <w:r w:rsidRPr="00DA318C">
        <w:rPr>
          <w:rFonts w:ascii="Times New Roman" w:hAnsi="Times New Roman" w:cs="Times New Roman"/>
          <w:sz w:val="24"/>
          <w:szCs w:val="24"/>
          <w:lang w:val="pt-BR"/>
        </w:rPr>
        <w:t>: Fluxos de "serviços de PI” classificados de acordo com o nível de desenvolvimento da ONU –</w:t>
      </w:r>
      <w:proofErr w:type="gramStart"/>
      <w:r w:rsidRPr="00DA318C">
        <w:rPr>
          <w:rFonts w:ascii="Times New Roman" w:hAnsi="Times New Roman" w:cs="Times New Roman"/>
          <w:sz w:val="24"/>
          <w:szCs w:val="24"/>
          <w:lang w:val="pt-BR"/>
        </w:rPr>
        <w:t xml:space="preserve">  </w:t>
      </w:r>
      <w:proofErr w:type="gramEnd"/>
      <w:r w:rsidRPr="00DA318C">
        <w:rPr>
          <w:rFonts w:ascii="Times New Roman" w:hAnsi="Times New Roman" w:cs="Times New Roman"/>
          <w:sz w:val="24"/>
          <w:szCs w:val="24"/>
          <w:lang w:val="pt-BR"/>
        </w:rPr>
        <w:t>f</w:t>
      </w:r>
      <w:r>
        <w:rPr>
          <w:rFonts w:ascii="Times New Roman" w:hAnsi="Times New Roman" w:cs="Times New Roman"/>
          <w:sz w:val="24"/>
          <w:szCs w:val="24"/>
          <w:lang w:val="pt-BR"/>
        </w:rPr>
        <w:t>luxos líquidos (eixo da esquerda – linhas) e</w:t>
      </w:r>
      <w:r w:rsidRPr="00DA318C">
        <w:rPr>
          <w:rFonts w:ascii="Times New Roman" w:hAnsi="Times New Roman" w:cs="Times New Roman"/>
          <w:sz w:val="24"/>
          <w:szCs w:val="24"/>
          <w:lang w:val="pt-BR"/>
        </w:rPr>
        <w:t xml:space="preserve"> </w:t>
      </w:r>
      <w:r>
        <w:rPr>
          <w:rFonts w:ascii="Times New Roman" w:hAnsi="Times New Roman" w:cs="Times New Roman"/>
          <w:sz w:val="24"/>
          <w:szCs w:val="24"/>
          <w:lang w:val="pt-BR"/>
        </w:rPr>
        <w:t>participação nos fluxos totais (eixo esquerdo – áreas)</w:t>
      </w:r>
      <w:r w:rsidRPr="00DA318C">
        <w:rPr>
          <w:rFonts w:ascii="Times New Roman" w:hAnsi="Times New Roman" w:cs="Times New Roman"/>
          <w:sz w:val="24"/>
          <w:szCs w:val="24"/>
          <w:lang w:val="pt-BR"/>
        </w:rPr>
        <w:t xml:space="preserve"> (1980-2016 </w:t>
      </w:r>
      <w:r>
        <w:rPr>
          <w:rFonts w:ascii="Times New Roman" w:hAnsi="Times New Roman" w:cs="Times New Roman"/>
          <w:sz w:val="24"/>
          <w:szCs w:val="24"/>
          <w:lang w:val="pt-BR"/>
        </w:rPr>
        <w:t>medidos em milhões de dólares de 2016</w:t>
      </w:r>
      <w:r w:rsidRPr="00DA318C">
        <w:rPr>
          <w:rFonts w:ascii="Times New Roman" w:hAnsi="Times New Roman" w:cs="Times New Roman"/>
          <w:sz w:val="24"/>
          <w:szCs w:val="24"/>
          <w:lang w:val="pt-BR"/>
        </w:rPr>
        <w:t>)</w:t>
      </w:r>
    </w:p>
    <w:p w14:paraId="6CF36123" w14:textId="77777777" w:rsidR="00DA318C" w:rsidRPr="0053064E" w:rsidRDefault="00DA318C" w:rsidP="008B0E7D">
      <w:pPr>
        <w:spacing w:after="0" w:line="360" w:lineRule="auto"/>
        <w:jc w:val="both"/>
        <w:rPr>
          <w:rFonts w:ascii="Times New Roman" w:hAnsi="Times New Roman" w:cs="Times New Roman"/>
          <w:sz w:val="24"/>
          <w:szCs w:val="24"/>
          <w14:textOutline w14:w="9525" w14:cap="rnd" w14:cmpd="sng" w14:algn="ctr">
            <w14:solidFill>
              <w14:schemeClr w14:val="accent1"/>
            </w14:solidFill>
            <w14:prstDash w14:val="solid"/>
            <w14:bevel/>
          </w14:textOutline>
        </w:rPr>
      </w:pPr>
      <w:r>
        <w:rPr>
          <w:noProof/>
          <w:lang w:val="pt-BR" w:eastAsia="pt-BR"/>
        </w:rPr>
        <w:drawing>
          <wp:inline distT="0" distB="0" distL="0" distR="0" wp14:anchorId="3E56FC84" wp14:editId="45C49F9D">
            <wp:extent cx="5731510" cy="2951018"/>
            <wp:effectExtent l="0" t="0" r="2540" b="1905"/>
            <wp:docPr id="10" name="Chart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764AC83-5083-48E5-A537-FF349C3DB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E2795E" w14:textId="082323A0" w:rsidR="00DA318C" w:rsidRPr="00DA318C" w:rsidRDefault="00DA318C" w:rsidP="008B0E7D">
      <w:pPr>
        <w:spacing w:after="0" w:line="360" w:lineRule="auto"/>
        <w:rPr>
          <w:rFonts w:ascii="Times New Roman" w:hAnsi="Times New Roman" w:cs="Times New Roman"/>
          <w:sz w:val="24"/>
          <w:szCs w:val="24"/>
          <w:lang w:val="pt-BR"/>
        </w:rPr>
      </w:pPr>
      <w:r w:rsidRPr="00DA318C">
        <w:rPr>
          <w:rFonts w:ascii="Times New Roman" w:hAnsi="Times New Roman" w:cs="Times New Roman"/>
          <w:sz w:val="24"/>
          <w:szCs w:val="24"/>
          <w:lang w:val="pt-BR"/>
        </w:rPr>
        <w:t>Fontes: IMF, UN, UNCTAD. Elaboração própria</w:t>
      </w:r>
    </w:p>
    <w:p w14:paraId="20B3149C" w14:textId="450FF961" w:rsidR="00DA318C" w:rsidRDefault="00DA318C" w:rsidP="008B0E7D">
      <w:pPr>
        <w:spacing w:after="0" w:line="360" w:lineRule="auto"/>
        <w:jc w:val="both"/>
        <w:rPr>
          <w:rFonts w:ascii="Times New Roman" w:hAnsi="Times New Roman" w:cs="Times New Roman"/>
          <w:b/>
          <w:sz w:val="24"/>
          <w:szCs w:val="24"/>
          <w:lang w:val="pt-BR"/>
        </w:rPr>
      </w:pPr>
    </w:p>
    <w:p w14:paraId="10DECAAB" w14:textId="4E11C016" w:rsidR="00E14008" w:rsidRDefault="00E14008" w:rsidP="008B0E7D">
      <w:pPr>
        <w:spacing w:after="0" w:line="360" w:lineRule="auto"/>
        <w:jc w:val="both"/>
        <w:rPr>
          <w:rFonts w:ascii="Times New Roman" w:hAnsi="Times New Roman" w:cs="Times New Roman"/>
          <w:b/>
          <w:sz w:val="24"/>
          <w:szCs w:val="24"/>
          <w:lang w:val="pt-BR"/>
        </w:rPr>
      </w:pPr>
    </w:p>
    <w:p w14:paraId="1A02EE27" w14:textId="77777777" w:rsidR="00E14008" w:rsidRPr="00DA318C" w:rsidRDefault="00E14008" w:rsidP="008B0E7D">
      <w:pPr>
        <w:spacing w:after="0" w:line="360" w:lineRule="auto"/>
        <w:jc w:val="both"/>
        <w:rPr>
          <w:rFonts w:ascii="Times New Roman" w:hAnsi="Times New Roman" w:cs="Times New Roman"/>
          <w:b/>
          <w:sz w:val="24"/>
          <w:szCs w:val="24"/>
          <w:lang w:val="pt-BR"/>
        </w:rPr>
      </w:pPr>
    </w:p>
    <w:p w14:paraId="62932BE3" w14:textId="3C7C249A" w:rsidR="00DA318C" w:rsidRPr="00DA318C" w:rsidRDefault="00DA318C" w:rsidP="008B0E7D">
      <w:pPr>
        <w:spacing w:after="0" w:line="360" w:lineRule="auto"/>
        <w:jc w:val="both"/>
        <w:rPr>
          <w:rFonts w:ascii="Times New Roman" w:hAnsi="Times New Roman" w:cs="Times New Roman"/>
          <w:sz w:val="24"/>
          <w:szCs w:val="24"/>
          <w:lang w:val="pt-BR"/>
        </w:rPr>
      </w:pPr>
      <w:r w:rsidRPr="00DA318C">
        <w:rPr>
          <w:rFonts w:ascii="Times New Roman" w:hAnsi="Times New Roman" w:cs="Times New Roman"/>
          <w:b/>
          <w:sz w:val="24"/>
          <w:szCs w:val="24"/>
          <w:lang w:val="pt-BR"/>
        </w:rPr>
        <w:lastRenderedPageBreak/>
        <w:t>Tabela:</w:t>
      </w:r>
      <w:r w:rsidRPr="00DA318C">
        <w:rPr>
          <w:rFonts w:ascii="Times New Roman" w:hAnsi="Times New Roman" w:cs="Times New Roman"/>
          <w:sz w:val="24"/>
          <w:szCs w:val="24"/>
          <w:lang w:val="pt-BR"/>
        </w:rPr>
        <w:t xml:space="preserve"> Comércio de “Produtos farmacêuticos” por país (2016) – mi</w:t>
      </w:r>
      <w:r>
        <w:rPr>
          <w:rFonts w:ascii="Times New Roman" w:hAnsi="Times New Roman" w:cs="Times New Roman"/>
          <w:sz w:val="24"/>
          <w:szCs w:val="24"/>
          <w:lang w:val="pt-BR"/>
        </w:rPr>
        <w:t xml:space="preserve">lhões de dólares, valores correntes. </w:t>
      </w:r>
    </w:p>
    <w:p w14:paraId="43079761" w14:textId="77777777" w:rsidR="00DA318C" w:rsidRDefault="00DA318C" w:rsidP="008B0E7D">
      <w:pPr>
        <w:spacing w:after="0" w:line="360" w:lineRule="auto"/>
        <w:jc w:val="both"/>
        <w:rPr>
          <w:rFonts w:ascii="Times New Roman" w:hAnsi="Times New Roman" w:cs="Times New Roman"/>
          <w:sz w:val="24"/>
          <w:szCs w:val="24"/>
        </w:rPr>
      </w:pPr>
      <w:r w:rsidRPr="00DC00C0">
        <w:rPr>
          <w:noProof/>
          <w:lang w:val="pt-BR" w:eastAsia="pt-BR"/>
        </w:rPr>
        <w:drawing>
          <wp:inline distT="0" distB="0" distL="0" distR="0" wp14:anchorId="69227711" wp14:editId="3CD01D3E">
            <wp:extent cx="5731510" cy="2248515"/>
            <wp:effectExtent l="19050" t="19050" r="2159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48515"/>
                    </a:xfrm>
                    <a:prstGeom prst="rect">
                      <a:avLst/>
                    </a:prstGeom>
                    <a:noFill/>
                    <a:ln>
                      <a:solidFill>
                        <a:schemeClr val="tx1"/>
                      </a:solidFill>
                    </a:ln>
                  </pic:spPr>
                </pic:pic>
              </a:graphicData>
            </a:graphic>
          </wp:inline>
        </w:drawing>
      </w:r>
    </w:p>
    <w:p w14:paraId="15473E01" w14:textId="76B48F15" w:rsidR="00DA318C" w:rsidRPr="00722D73" w:rsidRDefault="00DA318C" w:rsidP="008B0E7D">
      <w:pPr>
        <w:spacing w:after="0" w:line="360" w:lineRule="auto"/>
        <w:jc w:val="both"/>
        <w:rPr>
          <w:rFonts w:ascii="Times New Roman" w:hAnsi="Times New Roman" w:cs="Times New Roman"/>
          <w:sz w:val="24"/>
          <w:szCs w:val="24"/>
          <w:lang w:val="pt-BR"/>
        </w:rPr>
      </w:pPr>
      <w:r w:rsidRPr="00722D73">
        <w:rPr>
          <w:rFonts w:ascii="Times New Roman" w:hAnsi="Times New Roman" w:cs="Times New Roman"/>
          <w:sz w:val="24"/>
          <w:szCs w:val="24"/>
          <w:lang w:val="pt-BR"/>
        </w:rPr>
        <w:t xml:space="preserve">Fonte: UN </w:t>
      </w:r>
      <w:proofErr w:type="spellStart"/>
      <w:r w:rsidRPr="00722D73">
        <w:rPr>
          <w:rFonts w:ascii="Times New Roman" w:hAnsi="Times New Roman" w:cs="Times New Roman"/>
          <w:sz w:val="24"/>
          <w:szCs w:val="24"/>
          <w:lang w:val="pt-BR"/>
        </w:rPr>
        <w:t>Comtrade</w:t>
      </w:r>
      <w:proofErr w:type="spellEnd"/>
      <w:r w:rsidRPr="00722D73">
        <w:rPr>
          <w:rFonts w:ascii="Times New Roman" w:hAnsi="Times New Roman" w:cs="Times New Roman"/>
          <w:sz w:val="24"/>
          <w:szCs w:val="24"/>
          <w:lang w:val="pt-BR"/>
        </w:rPr>
        <w:t>. Elaboração própria</w:t>
      </w:r>
    </w:p>
    <w:p w14:paraId="346EC017" w14:textId="77777777" w:rsidR="00DA318C" w:rsidRPr="00722D73" w:rsidRDefault="00DA318C" w:rsidP="008B0E7D">
      <w:pPr>
        <w:spacing w:after="0" w:line="360" w:lineRule="auto"/>
        <w:jc w:val="both"/>
        <w:rPr>
          <w:rFonts w:ascii="Times New Roman" w:hAnsi="Times New Roman" w:cs="Times New Roman"/>
          <w:b/>
          <w:sz w:val="24"/>
          <w:szCs w:val="24"/>
          <w:lang w:val="pt-BR"/>
        </w:rPr>
      </w:pPr>
    </w:p>
    <w:p w14:paraId="53EE0583" w14:textId="661D1B04" w:rsidR="00B9491B" w:rsidRPr="002F7223" w:rsidRDefault="00DA318C" w:rsidP="008B0E7D">
      <w:pPr>
        <w:spacing w:after="0" w:line="360" w:lineRule="auto"/>
        <w:ind w:firstLine="720"/>
        <w:jc w:val="both"/>
        <w:rPr>
          <w:rFonts w:ascii="Times New Roman" w:hAnsi="Times New Roman" w:cs="Times New Roman"/>
          <w:sz w:val="24"/>
          <w:szCs w:val="24"/>
          <w:lang w:val="pt-BR"/>
        </w:rPr>
      </w:pPr>
      <w:r w:rsidRPr="002F7223">
        <w:rPr>
          <w:rFonts w:ascii="Times New Roman" w:hAnsi="Times New Roman" w:cs="Times New Roman"/>
          <w:sz w:val="24"/>
          <w:szCs w:val="24"/>
          <w:lang w:val="pt-BR"/>
        </w:rPr>
        <w:t xml:space="preserve">Um </w:t>
      </w:r>
      <w:r w:rsidR="00B9491B" w:rsidRPr="002F7223">
        <w:rPr>
          <w:rFonts w:ascii="Times New Roman" w:hAnsi="Times New Roman" w:cs="Times New Roman"/>
          <w:sz w:val="24"/>
          <w:szCs w:val="24"/>
          <w:lang w:val="pt-BR"/>
        </w:rPr>
        <w:t xml:space="preserve">segundo conjunto de tabelas e gráficos </w:t>
      </w:r>
      <w:r w:rsidR="004604A1">
        <w:rPr>
          <w:rFonts w:ascii="Times New Roman" w:hAnsi="Times New Roman" w:cs="Times New Roman"/>
          <w:sz w:val="24"/>
          <w:szCs w:val="24"/>
          <w:lang w:val="pt-BR"/>
        </w:rPr>
        <w:t>(</w:t>
      </w:r>
      <w:r w:rsidR="004604A1" w:rsidRPr="004604A1">
        <w:rPr>
          <w:rFonts w:ascii="Times New Roman" w:hAnsi="Times New Roman" w:cs="Times New Roman"/>
          <w:b/>
          <w:sz w:val="24"/>
          <w:szCs w:val="24"/>
          <w:lang w:val="pt-BR"/>
        </w:rPr>
        <w:t xml:space="preserve">anexo </w:t>
      </w:r>
      <w:proofErr w:type="gramStart"/>
      <w:r w:rsidR="00B92A04">
        <w:rPr>
          <w:rFonts w:ascii="Times New Roman" w:hAnsi="Times New Roman" w:cs="Times New Roman"/>
          <w:b/>
          <w:sz w:val="24"/>
          <w:szCs w:val="24"/>
          <w:lang w:val="pt-BR"/>
        </w:rPr>
        <w:t>9</w:t>
      </w:r>
      <w:proofErr w:type="gramEnd"/>
      <w:r w:rsidR="004604A1">
        <w:rPr>
          <w:rFonts w:ascii="Times New Roman" w:hAnsi="Times New Roman" w:cs="Times New Roman"/>
          <w:sz w:val="24"/>
          <w:szCs w:val="24"/>
          <w:lang w:val="pt-BR"/>
        </w:rPr>
        <w:t xml:space="preserve">) </w:t>
      </w:r>
      <w:r w:rsidR="00B9491B" w:rsidRPr="002F7223">
        <w:rPr>
          <w:rFonts w:ascii="Times New Roman" w:hAnsi="Times New Roman" w:cs="Times New Roman"/>
          <w:sz w:val="24"/>
          <w:szCs w:val="24"/>
          <w:lang w:val="pt-BR"/>
        </w:rPr>
        <w:t xml:space="preserve">também foi construído em caráter experimental </w:t>
      </w:r>
      <w:r w:rsidR="00CF72F5" w:rsidRPr="002F7223">
        <w:rPr>
          <w:rFonts w:ascii="Times New Roman" w:hAnsi="Times New Roman" w:cs="Times New Roman"/>
          <w:sz w:val="24"/>
          <w:szCs w:val="24"/>
          <w:lang w:val="pt-BR"/>
        </w:rPr>
        <w:t xml:space="preserve">para ser apresentado em um workshop sobre os poderes emergentes na London </w:t>
      </w:r>
      <w:proofErr w:type="spellStart"/>
      <w:r w:rsidR="00CF72F5" w:rsidRPr="002F7223">
        <w:rPr>
          <w:rFonts w:ascii="Times New Roman" w:hAnsi="Times New Roman" w:cs="Times New Roman"/>
          <w:sz w:val="24"/>
          <w:szCs w:val="24"/>
          <w:lang w:val="pt-BR"/>
        </w:rPr>
        <w:t>School</w:t>
      </w:r>
      <w:proofErr w:type="spellEnd"/>
      <w:r w:rsidR="00CF72F5" w:rsidRPr="002F7223">
        <w:rPr>
          <w:rFonts w:ascii="Times New Roman" w:hAnsi="Times New Roman" w:cs="Times New Roman"/>
          <w:sz w:val="24"/>
          <w:szCs w:val="24"/>
          <w:lang w:val="pt-BR"/>
        </w:rPr>
        <w:t xml:space="preserve"> </w:t>
      </w:r>
      <w:proofErr w:type="spellStart"/>
      <w:r w:rsidR="00CF72F5" w:rsidRPr="002F7223">
        <w:rPr>
          <w:rFonts w:ascii="Times New Roman" w:hAnsi="Times New Roman" w:cs="Times New Roman"/>
          <w:sz w:val="24"/>
          <w:szCs w:val="24"/>
          <w:lang w:val="pt-BR"/>
        </w:rPr>
        <w:t>of</w:t>
      </w:r>
      <w:proofErr w:type="spellEnd"/>
      <w:r w:rsidR="00CF72F5" w:rsidRPr="002F7223">
        <w:rPr>
          <w:rFonts w:ascii="Times New Roman" w:hAnsi="Times New Roman" w:cs="Times New Roman"/>
          <w:sz w:val="24"/>
          <w:szCs w:val="24"/>
          <w:lang w:val="pt-BR"/>
        </w:rPr>
        <w:t xml:space="preserve"> </w:t>
      </w:r>
      <w:proofErr w:type="spellStart"/>
      <w:r w:rsidR="00CF72F5" w:rsidRPr="002F7223">
        <w:rPr>
          <w:rFonts w:ascii="Times New Roman" w:hAnsi="Times New Roman" w:cs="Times New Roman"/>
          <w:sz w:val="24"/>
          <w:szCs w:val="24"/>
          <w:lang w:val="pt-BR"/>
        </w:rPr>
        <w:t>Economics</w:t>
      </w:r>
      <w:proofErr w:type="spellEnd"/>
      <w:r w:rsidR="00CF72F5" w:rsidRPr="002F7223">
        <w:rPr>
          <w:rFonts w:ascii="Times New Roman" w:hAnsi="Times New Roman" w:cs="Times New Roman"/>
          <w:sz w:val="24"/>
          <w:szCs w:val="24"/>
          <w:lang w:val="pt-BR"/>
        </w:rPr>
        <w:t xml:space="preserve"> em Março de 2018. A</w:t>
      </w:r>
      <w:r w:rsidR="00B9491B" w:rsidRPr="002F7223">
        <w:rPr>
          <w:rFonts w:ascii="Times New Roman" w:hAnsi="Times New Roman" w:cs="Times New Roman"/>
          <w:sz w:val="24"/>
          <w:szCs w:val="24"/>
          <w:lang w:val="pt-BR"/>
        </w:rPr>
        <w:t xml:space="preserve">través da manipulação da enorme </w:t>
      </w:r>
      <w:r w:rsidR="004B6117" w:rsidRPr="002F7223">
        <w:rPr>
          <w:rFonts w:ascii="Times New Roman" w:hAnsi="Times New Roman" w:cs="Times New Roman"/>
          <w:sz w:val="24"/>
          <w:szCs w:val="24"/>
          <w:lang w:val="pt-BR"/>
        </w:rPr>
        <w:t>quantidade</w:t>
      </w:r>
      <w:r w:rsidR="00B9491B" w:rsidRPr="002F7223">
        <w:rPr>
          <w:rFonts w:ascii="Times New Roman" w:hAnsi="Times New Roman" w:cs="Times New Roman"/>
          <w:sz w:val="24"/>
          <w:szCs w:val="24"/>
          <w:lang w:val="pt-BR"/>
        </w:rPr>
        <w:t xml:space="preserve"> de dados consolidado no </w:t>
      </w:r>
      <w:r w:rsidR="004B6117" w:rsidRPr="002F7223">
        <w:rPr>
          <w:rFonts w:ascii="Times New Roman" w:hAnsi="Times New Roman" w:cs="Times New Roman"/>
          <w:sz w:val="24"/>
          <w:szCs w:val="24"/>
          <w:lang w:val="pt-BR"/>
        </w:rPr>
        <w:t xml:space="preserve">primeiro </w:t>
      </w:r>
      <w:r w:rsidR="00B9491B" w:rsidRPr="002F7223">
        <w:rPr>
          <w:rFonts w:ascii="Times New Roman" w:hAnsi="Times New Roman" w:cs="Times New Roman"/>
          <w:sz w:val="24"/>
          <w:szCs w:val="24"/>
          <w:lang w:val="pt-BR"/>
        </w:rPr>
        <w:t>ban</w:t>
      </w:r>
      <w:r w:rsidR="004B6117" w:rsidRPr="002F7223">
        <w:rPr>
          <w:rFonts w:ascii="Times New Roman" w:hAnsi="Times New Roman" w:cs="Times New Roman"/>
          <w:sz w:val="24"/>
          <w:szCs w:val="24"/>
          <w:lang w:val="pt-BR"/>
        </w:rPr>
        <w:t>c</w:t>
      </w:r>
      <w:r w:rsidR="00B9491B" w:rsidRPr="002F7223">
        <w:rPr>
          <w:rFonts w:ascii="Times New Roman" w:hAnsi="Times New Roman" w:cs="Times New Roman"/>
          <w:sz w:val="24"/>
          <w:szCs w:val="24"/>
          <w:lang w:val="pt-BR"/>
        </w:rPr>
        <w:t>o de dados</w:t>
      </w:r>
      <w:r w:rsidR="00CF72F5" w:rsidRPr="002F7223">
        <w:rPr>
          <w:rFonts w:ascii="Times New Roman" w:hAnsi="Times New Roman" w:cs="Times New Roman"/>
          <w:sz w:val="24"/>
          <w:szCs w:val="24"/>
          <w:lang w:val="pt-BR"/>
        </w:rPr>
        <w:t xml:space="preserve"> mostramos os mesmo dados elencados anteriormente</w:t>
      </w:r>
      <w:r w:rsidR="00722D73" w:rsidRPr="002F7223">
        <w:rPr>
          <w:rFonts w:ascii="Times New Roman" w:hAnsi="Times New Roman" w:cs="Times New Roman"/>
          <w:sz w:val="24"/>
          <w:szCs w:val="24"/>
          <w:lang w:val="pt-BR"/>
        </w:rPr>
        <w:t>, mas</w:t>
      </w:r>
      <w:r w:rsidR="00CF72F5" w:rsidRPr="002F7223">
        <w:rPr>
          <w:rFonts w:ascii="Times New Roman" w:hAnsi="Times New Roman" w:cs="Times New Roman"/>
          <w:sz w:val="24"/>
          <w:szCs w:val="24"/>
          <w:lang w:val="pt-BR"/>
        </w:rPr>
        <w:t xml:space="preserve"> focando n</w:t>
      </w:r>
      <w:r w:rsidR="00B9491B" w:rsidRPr="002F7223">
        <w:rPr>
          <w:rFonts w:ascii="Times New Roman" w:hAnsi="Times New Roman" w:cs="Times New Roman"/>
          <w:sz w:val="24"/>
          <w:szCs w:val="24"/>
          <w:lang w:val="pt-BR"/>
        </w:rPr>
        <w:t xml:space="preserve">os chamados países do </w:t>
      </w:r>
      <w:r w:rsidR="004B6117" w:rsidRPr="002F7223">
        <w:rPr>
          <w:rFonts w:ascii="Times New Roman" w:hAnsi="Times New Roman" w:cs="Times New Roman"/>
          <w:sz w:val="24"/>
          <w:szCs w:val="24"/>
          <w:lang w:val="pt-BR"/>
        </w:rPr>
        <w:t xml:space="preserve">grupo </w:t>
      </w:r>
      <w:r w:rsidR="00B9491B" w:rsidRPr="002F7223">
        <w:rPr>
          <w:rFonts w:ascii="Times New Roman" w:hAnsi="Times New Roman" w:cs="Times New Roman"/>
          <w:sz w:val="24"/>
          <w:szCs w:val="24"/>
          <w:lang w:val="pt-BR"/>
        </w:rPr>
        <w:t>BRICS. O Objetivo era verificar o desempenho destes países no comércio de bens e serviços relacionados à PI</w:t>
      </w:r>
      <w:r w:rsidR="004B6117" w:rsidRPr="002F7223">
        <w:rPr>
          <w:rFonts w:ascii="Times New Roman" w:hAnsi="Times New Roman" w:cs="Times New Roman"/>
          <w:sz w:val="24"/>
          <w:szCs w:val="24"/>
          <w:lang w:val="pt-BR"/>
        </w:rPr>
        <w:t xml:space="preserve"> vis a vis seus desempenhos no comércio de bens de menor valor agregado</w:t>
      </w:r>
      <w:r w:rsidR="00B9491B" w:rsidRPr="002F7223">
        <w:rPr>
          <w:rFonts w:ascii="Times New Roman" w:hAnsi="Times New Roman" w:cs="Times New Roman"/>
          <w:sz w:val="24"/>
          <w:szCs w:val="24"/>
          <w:lang w:val="pt-BR"/>
        </w:rPr>
        <w:t>.</w:t>
      </w:r>
      <w:r w:rsidR="004B6117" w:rsidRPr="002F7223">
        <w:rPr>
          <w:rFonts w:ascii="Times New Roman" w:hAnsi="Times New Roman" w:cs="Times New Roman"/>
          <w:sz w:val="24"/>
          <w:szCs w:val="24"/>
          <w:lang w:val="pt-BR"/>
        </w:rPr>
        <w:t xml:space="preserve"> A hipótese é que estes países, embora tenham avançado nas cadeias globais do valor em diversos setores industriais, ainda são bastante deficitários nas pontas dessas cadeias, e isso pode ser expresso pelos profundos déficits que apresentam nessas contas.</w:t>
      </w:r>
      <w:r w:rsidR="00B9491B" w:rsidRPr="002F7223">
        <w:rPr>
          <w:rFonts w:ascii="Times New Roman" w:hAnsi="Times New Roman" w:cs="Times New Roman"/>
          <w:sz w:val="24"/>
          <w:szCs w:val="24"/>
          <w:lang w:val="pt-BR"/>
        </w:rPr>
        <w:t xml:space="preserve"> </w:t>
      </w:r>
    </w:p>
    <w:p w14:paraId="4BB02375" w14:textId="3667DDDA" w:rsidR="00741844" w:rsidRDefault="00B9491B" w:rsidP="008B0E7D">
      <w:pPr>
        <w:spacing w:after="0" w:line="360" w:lineRule="auto"/>
        <w:ind w:firstLine="720"/>
        <w:jc w:val="both"/>
        <w:rPr>
          <w:rFonts w:ascii="Times New Roman" w:hAnsi="Times New Roman" w:cs="Times New Roman"/>
          <w:sz w:val="24"/>
          <w:szCs w:val="24"/>
          <w:lang w:val="pt-BR"/>
        </w:rPr>
      </w:pPr>
      <w:r w:rsidRPr="002F7223">
        <w:rPr>
          <w:rFonts w:ascii="Times New Roman" w:hAnsi="Times New Roman" w:cs="Times New Roman"/>
          <w:sz w:val="24"/>
          <w:szCs w:val="24"/>
          <w:lang w:val="pt-BR"/>
        </w:rPr>
        <w:t xml:space="preserve">O </w:t>
      </w:r>
      <w:r w:rsidR="004B6117" w:rsidRPr="002F7223">
        <w:rPr>
          <w:rFonts w:ascii="Times New Roman" w:hAnsi="Times New Roman" w:cs="Times New Roman"/>
          <w:sz w:val="24"/>
          <w:szCs w:val="24"/>
          <w:lang w:val="pt-BR"/>
        </w:rPr>
        <w:t>segundo</w:t>
      </w:r>
      <w:r w:rsidR="00741844" w:rsidRPr="002F7223">
        <w:rPr>
          <w:rFonts w:ascii="Times New Roman" w:hAnsi="Times New Roman" w:cs="Times New Roman"/>
          <w:sz w:val="24"/>
          <w:szCs w:val="24"/>
          <w:lang w:val="pt-BR"/>
        </w:rPr>
        <w:t xml:space="preserve"> banco de dados </w:t>
      </w:r>
      <w:r w:rsidR="004B6117" w:rsidRPr="002F7223">
        <w:rPr>
          <w:rFonts w:ascii="Times New Roman" w:hAnsi="Times New Roman" w:cs="Times New Roman"/>
          <w:sz w:val="24"/>
          <w:szCs w:val="24"/>
          <w:lang w:val="pt-BR"/>
        </w:rPr>
        <w:t xml:space="preserve">de comércio bilateral </w:t>
      </w:r>
      <w:r w:rsidR="00741844" w:rsidRPr="002F7223">
        <w:rPr>
          <w:rFonts w:ascii="Times New Roman" w:hAnsi="Times New Roman" w:cs="Times New Roman"/>
          <w:sz w:val="24"/>
          <w:szCs w:val="24"/>
          <w:lang w:val="pt-BR"/>
        </w:rPr>
        <w:t>for</w:t>
      </w:r>
      <w:r w:rsidR="00521A96" w:rsidRPr="002F7223">
        <w:rPr>
          <w:rFonts w:ascii="Times New Roman" w:hAnsi="Times New Roman" w:cs="Times New Roman"/>
          <w:sz w:val="24"/>
          <w:szCs w:val="24"/>
          <w:lang w:val="pt-BR"/>
        </w:rPr>
        <w:t>ne</w:t>
      </w:r>
      <w:r w:rsidR="00741844" w:rsidRPr="002F7223">
        <w:rPr>
          <w:rFonts w:ascii="Times New Roman" w:hAnsi="Times New Roman" w:cs="Times New Roman"/>
          <w:sz w:val="24"/>
          <w:szCs w:val="24"/>
          <w:lang w:val="pt-BR"/>
        </w:rPr>
        <w:t xml:space="preserve">ceu a base para a construção, através do software R </w:t>
      </w:r>
      <w:proofErr w:type="spellStart"/>
      <w:proofErr w:type="gramStart"/>
      <w:r w:rsidR="00741844" w:rsidRPr="002F7223">
        <w:rPr>
          <w:rFonts w:ascii="Times New Roman" w:hAnsi="Times New Roman" w:cs="Times New Roman"/>
          <w:sz w:val="24"/>
          <w:szCs w:val="24"/>
          <w:lang w:val="pt-BR"/>
        </w:rPr>
        <w:t>studio</w:t>
      </w:r>
      <w:proofErr w:type="spellEnd"/>
      <w:proofErr w:type="gramEnd"/>
      <w:r w:rsidR="00741844" w:rsidRPr="002F7223">
        <w:rPr>
          <w:rFonts w:ascii="Times New Roman" w:hAnsi="Times New Roman" w:cs="Times New Roman"/>
          <w:sz w:val="24"/>
          <w:szCs w:val="24"/>
          <w:lang w:val="pt-BR"/>
        </w:rPr>
        <w:t xml:space="preserve">, de </w:t>
      </w:r>
      <w:r w:rsidR="00521A96" w:rsidRPr="002F7223">
        <w:rPr>
          <w:rFonts w:ascii="Times New Roman" w:hAnsi="Times New Roman" w:cs="Times New Roman"/>
          <w:sz w:val="24"/>
          <w:szCs w:val="24"/>
          <w:lang w:val="pt-BR"/>
        </w:rPr>
        <w:t>1020</w:t>
      </w:r>
      <w:r w:rsidR="00741844" w:rsidRPr="002F7223">
        <w:rPr>
          <w:rFonts w:ascii="Times New Roman" w:hAnsi="Times New Roman" w:cs="Times New Roman"/>
          <w:sz w:val="24"/>
          <w:szCs w:val="24"/>
          <w:lang w:val="pt-BR"/>
        </w:rPr>
        <w:t xml:space="preserve"> mapas </w:t>
      </w:r>
      <w:r w:rsidR="00741844">
        <w:rPr>
          <w:rFonts w:ascii="Times New Roman" w:hAnsi="Times New Roman" w:cs="Times New Roman"/>
          <w:sz w:val="24"/>
          <w:szCs w:val="24"/>
          <w:lang w:val="pt-BR"/>
        </w:rPr>
        <w:t xml:space="preserve">contendo os fluxos bilaterais </w:t>
      </w:r>
      <w:r w:rsidR="004B6117">
        <w:rPr>
          <w:rFonts w:ascii="Times New Roman" w:hAnsi="Times New Roman" w:cs="Times New Roman"/>
          <w:sz w:val="24"/>
          <w:szCs w:val="24"/>
          <w:lang w:val="pt-BR"/>
        </w:rPr>
        <w:t xml:space="preserve">do comércio de “produtos farmacêuticos” </w:t>
      </w:r>
      <w:r w:rsidR="00741844">
        <w:rPr>
          <w:rFonts w:ascii="Times New Roman" w:hAnsi="Times New Roman" w:cs="Times New Roman"/>
          <w:sz w:val="24"/>
          <w:szCs w:val="24"/>
          <w:lang w:val="pt-BR"/>
        </w:rPr>
        <w:t xml:space="preserve">para </w:t>
      </w:r>
      <w:r w:rsidR="004B6117">
        <w:rPr>
          <w:rFonts w:ascii="Times New Roman" w:hAnsi="Times New Roman" w:cs="Times New Roman"/>
          <w:sz w:val="24"/>
          <w:szCs w:val="24"/>
          <w:lang w:val="pt-BR"/>
        </w:rPr>
        <w:t>30 países, desde o ano de 2001. Os mapas contém o fluxo do comércio p</w:t>
      </w:r>
      <w:r w:rsidR="00521A96">
        <w:rPr>
          <w:rFonts w:ascii="Times New Roman" w:hAnsi="Times New Roman" w:cs="Times New Roman"/>
          <w:sz w:val="24"/>
          <w:szCs w:val="24"/>
          <w:lang w:val="pt-BR"/>
        </w:rPr>
        <w:t>ara cada sentido do fluxo</w:t>
      </w:r>
      <w:r w:rsidR="004B6117">
        <w:rPr>
          <w:rFonts w:ascii="Times New Roman" w:hAnsi="Times New Roman" w:cs="Times New Roman"/>
          <w:sz w:val="24"/>
          <w:szCs w:val="24"/>
          <w:lang w:val="pt-BR"/>
        </w:rPr>
        <w:t xml:space="preserve"> (</w:t>
      </w:r>
      <w:r w:rsidR="00521A96">
        <w:rPr>
          <w:rFonts w:ascii="Times New Roman" w:hAnsi="Times New Roman" w:cs="Times New Roman"/>
          <w:sz w:val="24"/>
          <w:szCs w:val="24"/>
          <w:lang w:val="pt-BR"/>
        </w:rPr>
        <w:t>exportação ou importação</w:t>
      </w:r>
      <w:r w:rsidR="004B6117">
        <w:rPr>
          <w:rFonts w:ascii="Times New Roman" w:hAnsi="Times New Roman" w:cs="Times New Roman"/>
          <w:sz w:val="24"/>
          <w:szCs w:val="24"/>
          <w:lang w:val="pt-BR"/>
        </w:rPr>
        <w:t>) para os dez principais países que são parceiros comerciais, por ano</w:t>
      </w:r>
      <w:r w:rsidR="000008C3">
        <w:rPr>
          <w:rFonts w:ascii="Times New Roman" w:hAnsi="Times New Roman" w:cs="Times New Roman"/>
          <w:sz w:val="24"/>
          <w:szCs w:val="24"/>
          <w:lang w:val="pt-BR"/>
        </w:rPr>
        <w:t xml:space="preserve"> para os </w:t>
      </w:r>
      <w:proofErr w:type="gramStart"/>
      <w:r w:rsidR="000008C3">
        <w:rPr>
          <w:rFonts w:ascii="Times New Roman" w:hAnsi="Times New Roman" w:cs="Times New Roman"/>
          <w:sz w:val="24"/>
          <w:szCs w:val="24"/>
          <w:lang w:val="pt-BR"/>
        </w:rPr>
        <w:t>3</w:t>
      </w:r>
      <w:proofErr w:type="gramEnd"/>
      <w:r w:rsidR="000008C3">
        <w:rPr>
          <w:rFonts w:ascii="Times New Roman" w:hAnsi="Times New Roman" w:cs="Times New Roman"/>
          <w:sz w:val="24"/>
          <w:szCs w:val="24"/>
          <w:lang w:val="pt-BR"/>
        </w:rPr>
        <w:t xml:space="preserve"> países em ordem alfabética</w:t>
      </w:r>
      <w:r w:rsidR="00521A96">
        <w:rPr>
          <w:rFonts w:ascii="Times New Roman" w:hAnsi="Times New Roman" w:cs="Times New Roman"/>
          <w:sz w:val="24"/>
          <w:szCs w:val="24"/>
          <w:lang w:val="pt-BR"/>
        </w:rPr>
        <w:t xml:space="preserve">. Como apenas os dados bilaterais do comércio de produtos </w:t>
      </w:r>
      <w:r w:rsidR="004B6117">
        <w:rPr>
          <w:rFonts w:ascii="Times New Roman" w:hAnsi="Times New Roman" w:cs="Times New Roman"/>
          <w:sz w:val="24"/>
          <w:szCs w:val="24"/>
          <w:lang w:val="pt-BR"/>
        </w:rPr>
        <w:t>farmacêuticos</w:t>
      </w:r>
      <w:r w:rsidR="00521A96">
        <w:rPr>
          <w:rFonts w:ascii="Times New Roman" w:hAnsi="Times New Roman" w:cs="Times New Roman"/>
          <w:sz w:val="24"/>
          <w:szCs w:val="24"/>
          <w:lang w:val="pt-BR"/>
        </w:rPr>
        <w:t xml:space="preserve"> estão completos, apenas estes dados </w:t>
      </w:r>
      <w:r w:rsidR="004B6117">
        <w:rPr>
          <w:rFonts w:ascii="Times New Roman" w:hAnsi="Times New Roman" w:cs="Times New Roman"/>
          <w:sz w:val="24"/>
          <w:szCs w:val="24"/>
          <w:lang w:val="pt-BR"/>
        </w:rPr>
        <w:t>serão</w:t>
      </w:r>
      <w:r w:rsidR="00521A96">
        <w:rPr>
          <w:rFonts w:ascii="Times New Roman" w:hAnsi="Times New Roman" w:cs="Times New Roman"/>
          <w:sz w:val="24"/>
          <w:szCs w:val="24"/>
          <w:lang w:val="pt-BR"/>
        </w:rPr>
        <w:t xml:space="preserve"> apresentados por hora. Transformamos cada </w:t>
      </w:r>
      <w:r w:rsidR="00343EFA">
        <w:rPr>
          <w:rFonts w:ascii="Times New Roman" w:hAnsi="Times New Roman" w:cs="Times New Roman"/>
          <w:sz w:val="24"/>
          <w:szCs w:val="24"/>
          <w:lang w:val="pt-BR"/>
        </w:rPr>
        <w:t xml:space="preserve">evolução do comércio bilateral ao longo do tempo </w:t>
      </w:r>
      <w:r w:rsidR="00521A96">
        <w:rPr>
          <w:rFonts w:ascii="Times New Roman" w:hAnsi="Times New Roman" w:cs="Times New Roman"/>
          <w:sz w:val="24"/>
          <w:szCs w:val="24"/>
          <w:lang w:val="pt-BR"/>
        </w:rPr>
        <w:t xml:space="preserve">em </w:t>
      </w:r>
      <w:r w:rsidR="00343EFA">
        <w:rPr>
          <w:rFonts w:ascii="Times New Roman" w:hAnsi="Times New Roman" w:cs="Times New Roman"/>
          <w:sz w:val="24"/>
          <w:szCs w:val="24"/>
          <w:lang w:val="pt-BR"/>
        </w:rPr>
        <w:t>animações</w:t>
      </w:r>
      <w:r w:rsidR="004604A1">
        <w:rPr>
          <w:rFonts w:ascii="Times New Roman" w:hAnsi="Times New Roman" w:cs="Times New Roman"/>
          <w:sz w:val="24"/>
          <w:szCs w:val="24"/>
          <w:lang w:val="pt-BR"/>
        </w:rPr>
        <w:t xml:space="preserve"> (</w:t>
      </w:r>
      <w:r w:rsidR="004604A1" w:rsidRPr="004604A1">
        <w:rPr>
          <w:rFonts w:ascii="Times New Roman" w:hAnsi="Times New Roman" w:cs="Times New Roman"/>
          <w:b/>
          <w:sz w:val="24"/>
          <w:szCs w:val="24"/>
          <w:lang w:val="pt-BR"/>
        </w:rPr>
        <w:t>anexo</w:t>
      </w:r>
      <w:r w:rsidR="000008C3">
        <w:rPr>
          <w:rFonts w:ascii="Times New Roman" w:hAnsi="Times New Roman" w:cs="Times New Roman"/>
          <w:b/>
          <w:sz w:val="24"/>
          <w:szCs w:val="24"/>
          <w:lang w:val="pt-BR"/>
        </w:rPr>
        <w:t>s</w:t>
      </w:r>
      <w:r w:rsidR="004604A1" w:rsidRPr="004604A1">
        <w:rPr>
          <w:rFonts w:ascii="Times New Roman" w:hAnsi="Times New Roman" w:cs="Times New Roman"/>
          <w:b/>
          <w:sz w:val="24"/>
          <w:szCs w:val="24"/>
          <w:lang w:val="pt-BR"/>
        </w:rPr>
        <w:t xml:space="preserve"> </w:t>
      </w:r>
      <w:r w:rsidR="000008C3">
        <w:rPr>
          <w:rFonts w:ascii="Times New Roman" w:hAnsi="Times New Roman" w:cs="Times New Roman"/>
          <w:b/>
          <w:sz w:val="24"/>
          <w:szCs w:val="24"/>
          <w:lang w:val="pt-BR"/>
        </w:rPr>
        <w:t>10</w:t>
      </w:r>
      <w:r w:rsidR="004604A1">
        <w:rPr>
          <w:rFonts w:ascii="Times New Roman" w:hAnsi="Times New Roman" w:cs="Times New Roman"/>
          <w:sz w:val="24"/>
          <w:szCs w:val="24"/>
          <w:lang w:val="pt-BR"/>
        </w:rPr>
        <w:t>)</w:t>
      </w:r>
      <w:r w:rsidR="00521A96">
        <w:rPr>
          <w:rFonts w:ascii="Times New Roman" w:hAnsi="Times New Roman" w:cs="Times New Roman"/>
          <w:sz w:val="24"/>
          <w:szCs w:val="24"/>
          <w:lang w:val="pt-BR"/>
        </w:rPr>
        <w:t xml:space="preserve">. </w:t>
      </w:r>
      <w:r w:rsidR="004B6117">
        <w:rPr>
          <w:rFonts w:ascii="Times New Roman" w:hAnsi="Times New Roman" w:cs="Times New Roman"/>
          <w:sz w:val="24"/>
          <w:szCs w:val="24"/>
          <w:lang w:val="pt-BR"/>
        </w:rPr>
        <w:t>Abaixo segue um</w:t>
      </w:r>
      <w:r w:rsidR="00521A96">
        <w:rPr>
          <w:rFonts w:ascii="Times New Roman" w:hAnsi="Times New Roman" w:cs="Times New Roman"/>
          <w:sz w:val="24"/>
          <w:szCs w:val="24"/>
          <w:lang w:val="pt-BR"/>
        </w:rPr>
        <w:t xml:space="preserve"> </w:t>
      </w:r>
      <w:r w:rsidR="00343EFA">
        <w:rPr>
          <w:rFonts w:ascii="Times New Roman" w:hAnsi="Times New Roman" w:cs="Times New Roman"/>
          <w:sz w:val="24"/>
          <w:szCs w:val="24"/>
          <w:lang w:val="pt-BR"/>
        </w:rPr>
        <w:t>exemplo de mapa</w:t>
      </w:r>
      <w:r w:rsidR="004B6117">
        <w:rPr>
          <w:rFonts w:ascii="Times New Roman" w:hAnsi="Times New Roman" w:cs="Times New Roman"/>
          <w:sz w:val="24"/>
          <w:szCs w:val="24"/>
          <w:lang w:val="pt-BR"/>
        </w:rPr>
        <w:t xml:space="preserve"> </w:t>
      </w:r>
      <w:r w:rsidR="00343EFA">
        <w:rPr>
          <w:rFonts w:ascii="Times New Roman" w:hAnsi="Times New Roman" w:cs="Times New Roman"/>
          <w:sz w:val="24"/>
          <w:szCs w:val="24"/>
          <w:lang w:val="pt-BR"/>
        </w:rPr>
        <w:t>contendo os fluxos dos dez principais países receptores das</w:t>
      </w:r>
      <w:r w:rsidR="004B6117">
        <w:rPr>
          <w:rFonts w:ascii="Times New Roman" w:hAnsi="Times New Roman" w:cs="Times New Roman"/>
          <w:sz w:val="24"/>
          <w:szCs w:val="24"/>
          <w:lang w:val="pt-BR"/>
        </w:rPr>
        <w:t xml:space="preserve"> exportaç</w:t>
      </w:r>
      <w:r w:rsidR="00343EFA">
        <w:rPr>
          <w:rFonts w:ascii="Times New Roman" w:hAnsi="Times New Roman" w:cs="Times New Roman"/>
          <w:sz w:val="24"/>
          <w:szCs w:val="24"/>
          <w:lang w:val="pt-BR"/>
        </w:rPr>
        <w:t>ões</w:t>
      </w:r>
      <w:r w:rsidR="004B6117">
        <w:rPr>
          <w:rFonts w:ascii="Times New Roman" w:hAnsi="Times New Roman" w:cs="Times New Roman"/>
          <w:sz w:val="24"/>
          <w:szCs w:val="24"/>
          <w:lang w:val="pt-BR"/>
        </w:rPr>
        <w:t xml:space="preserve"> de produtos farmacêut</w:t>
      </w:r>
      <w:r w:rsidR="00343EFA">
        <w:rPr>
          <w:rFonts w:ascii="Times New Roman" w:hAnsi="Times New Roman" w:cs="Times New Roman"/>
          <w:sz w:val="24"/>
          <w:szCs w:val="24"/>
          <w:lang w:val="pt-BR"/>
        </w:rPr>
        <w:t>i</w:t>
      </w:r>
      <w:r w:rsidR="004B6117">
        <w:rPr>
          <w:rFonts w:ascii="Times New Roman" w:hAnsi="Times New Roman" w:cs="Times New Roman"/>
          <w:sz w:val="24"/>
          <w:szCs w:val="24"/>
          <w:lang w:val="pt-BR"/>
        </w:rPr>
        <w:t xml:space="preserve">cos do Brasil </w:t>
      </w:r>
      <w:r w:rsidR="00343EFA">
        <w:rPr>
          <w:rFonts w:ascii="Times New Roman" w:hAnsi="Times New Roman" w:cs="Times New Roman"/>
          <w:sz w:val="24"/>
          <w:szCs w:val="24"/>
          <w:lang w:val="pt-BR"/>
        </w:rPr>
        <w:t>em 2017</w:t>
      </w:r>
      <w:r w:rsidR="004B6117">
        <w:rPr>
          <w:rFonts w:ascii="Times New Roman" w:hAnsi="Times New Roman" w:cs="Times New Roman"/>
          <w:sz w:val="24"/>
          <w:szCs w:val="24"/>
          <w:lang w:val="pt-BR"/>
        </w:rPr>
        <w:t xml:space="preserve">. </w:t>
      </w:r>
    </w:p>
    <w:p w14:paraId="2DCDB371" w14:textId="4769B298" w:rsidR="008B0E7D" w:rsidRDefault="008B0E7D" w:rsidP="008B0E7D">
      <w:pPr>
        <w:spacing w:after="0" w:line="360" w:lineRule="auto"/>
        <w:jc w:val="both"/>
        <w:rPr>
          <w:rFonts w:ascii="Times New Roman" w:hAnsi="Times New Roman" w:cs="Times New Roman"/>
          <w:sz w:val="24"/>
          <w:szCs w:val="24"/>
          <w:lang w:val="pt-BR"/>
        </w:rPr>
      </w:pPr>
    </w:p>
    <w:p w14:paraId="593C2BF9" w14:textId="77777777" w:rsidR="00E14008" w:rsidRDefault="00E14008" w:rsidP="008B0E7D">
      <w:pPr>
        <w:spacing w:after="0" w:line="360" w:lineRule="auto"/>
        <w:jc w:val="both"/>
        <w:rPr>
          <w:rFonts w:ascii="Times New Roman" w:hAnsi="Times New Roman" w:cs="Times New Roman"/>
          <w:b/>
          <w:sz w:val="24"/>
          <w:szCs w:val="24"/>
          <w:lang w:val="pt-BR"/>
        </w:rPr>
      </w:pPr>
    </w:p>
    <w:p w14:paraId="3CF54211" w14:textId="7D76FFB1" w:rsidR="008B0E7D" w:rsidRDefault="008B0E7D" w:rsidP="008B0E7D">
      <w:pPr>
        <w:spacing w:after="0" w:line="360" w:lineRule="auto"/>
        <w:jc w:val="both"/>
        <w:rPr>
          <w:rFonts w:ascii="Times New Roman" w:hAnsi="Times New Roman" w:cs="Times New Roman"/>
          <w:sz w:val="24"/>
          <w:szCs w:val="24"/>
          <w:lang w:val="pt-BR"/>
        </w:rPr>
      </w:pPr>
      <w:r w:rsidRPr="008B0E7D">
        <w:rPr>
          <w:rFonts w:ascii="Times New Roman" w:hAnsi="Times New Roman" w:cs="Times New Roman"/>
          <w:b/>
          <w:sz w:val="24"/>
          <w:szCs w:val="24"/>
          <w:lang w:val="pt-BR"/>
        </w:rPr>
        <w:t>Mapa:</w:t>
      </w:r>
      <w:r>
        <w:rPr>
          <w:rFonts w:ascii="Times New Roman" w:hAnsi="Times New Roman" w:cs="Times New Roman"/>
          <w:sz w:val="24"/>
          <w:szCs w:val="24"/>
          <w:lang w:val="pt-BR"/>
        </w:rPr>
        <w:t xml:space="preserve"> Exportações de produtos farmacêuticos do Brasil para os 10 maiores parceiros (2017) </w:t>
      </w:r>
    </w:p>
    <w:p w14:paraId="5F3FA461" w14:textId="5F5BD069" w:rsidR="00521A96" w:rsidRDefault="004B6117" w:rsidP="008B0E7D">
      <w:pPr>
        <w:spacing w:after="0" w:line="360" w:lineRule="auto"/>
        <w:jc w:val="both"/>
        <w:rPr>
          <w:rFonts w:ascii="Times New Roman" w:hAnsi="Times New Roman" w:cs="Times New Roman"/>
          <w:sz w:val="24"/>
          <w:szCs w:val="24"/>
          <w:lang w:val="pt-BR"/>
        </w:rPr>
      </w:pPr>
      <w:r>
        <w:rPr>
          <w:noProof/>
          <w:lang w:val="pt-BR" w:eastAsia="pt-BR"/>
        </w:rPr>
        <w:drawing>
          <wp:inline distT="0" distB="0" distL="0" distR="0" wp14:anchorId="21AC473E" wp14:editId="46B02077">
            <wp:extent cx="5731510" cy="3082637"/>
            <wp:effectExtent l="19050" t="19050" r="2159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8827" cy="3086572"/>
                    </a:xfrm>
                    <a:prstGeom prst="rect">
                      <a:avLst/>
                    </a:prstGeom>
                    <a:noFill/>
                    <a:ln>
                      <a:solidFill>
                        <a:schemeClr val="tx1"/>
                      </a:solidFill>
                    </a:ln>
                  </pic:spPr>
                </pic:pic>
              </a:graphicData>
            </a:graphic>
          </wp:inline>
        </w:drawing>
      </w:r>
    </w:p>
    <w:p w14:paraId="27920AB6" w14:textId="4ACFEB75" w:rsidR="00521A96" w:rsidRDefault="00B9491B" w:rsidP="008B0E7D">
      <w:pPr>
        <w:spacing w:after="0" w:line="360" w:lineRule="auto"/>
        <w:ind w:firstLine="720"/>
        <w:jc w:val="both"/>
        <w:rPr>
          <w:rFonts w:ascii="Times New Roman" w:hAnsi="Times New Roman" w:cs="Times New Roman"/>
          <w:sz w:val="24"/>
          <w:szCs w:val="24"/>
          <w:lang w:val="pt-BR"/>
        </w:rPr>
      </w:pPr>
      <w:r w:rsidRPr="002F7223">
        <w:rPr>
          <w:rFonts w:ascii="Times New Roman" w:hAnsi="Times New Roman" w:cs="Times New Roman"/>
          <w:sz w:val="24"/>
          <w:szCs w:val="24"/>
          <w:lang w:val="pt-BR"/>
        </w:rPr>
        <w:t xml:space="preserve">O </w:t>
      </w:r>
      <w:r w:rsidR="00CF72F5" w:rsidRPr="002F7223">
        <w:rPr>
          <w:rFonts w:ascii="Times New Roman" w:hAnsi="Times New Roman" w:cs="Times New Roman"/>
          <w:sz w:val="24"/>
          <w:szCs w:val="24"/>
          <w:lang w:val="pt-BR"/>
        </w:rPr>
        <w:t>terceiro b</w:t>
      </w:r>
      <w:r w:rsidR="00521A96" w:rsidRPr="002F7223">
        <w:rPr>
          <w:rFonts w:ascii="Times New Roman" w:hAnsi="Times New Roman" w:cs="Times New Roman"/>
          <w:sz w:val="24"/>
          <w:szCs w:val="24"/>
          <w:lang w:val="pt-BR"/>
        </w:rPr>
        <w:t xml:space="preserve">anco de dados </w:t>
      </w:r>
      <w:r w:rsidR="004604A1">
        <w:rPr>
          <w:rFonts w:ascii="Times New Roman" w:hAnsi="Times New Roman" w:cs="Times New Roman"/>
          <w:sz w:val="24"/>
          <w:szCs w:val="24"/>
          <w:lang w:val="pt-BR"/>
        </w:rPr>
        <w:t>(</w:t>
      </w:r>
      <w:r w:rsidR="004604A1" w:rsidRPr="004604A1">
        <w:rPr>
          <w:rFonts w:ascii="Times New Roman" w:hAnsi="Times New Roman" w:cs="Times New Roman"/>
          <w:b/>
          <w:sz w:val="24"/>
          <w:szCs w:val="24"/>
          <w:lang w:val="pt-BR"/>
        </w:rPr>
        <w:t xml:space="preserve">anexo </w:t>
      </w:r>
      <w:proofErr w:type="gramStart"/>
      <w:r w:rsidR="004604A1" w:rsidRPr="004604A1">
        <w:rPr>
          <w:rFonts w:ascii="Times New Roman" w:hAnsi="Times New Roman" w:cs="Times New Roman"/>
          <w:b/>
          <w:sz w:val="24"/>
          <w:szCs w:val="24"/>
          <w:lang w:val="pt-BR"/>
        </w:rPr>
        <w:t>6</w:t>
      </w:r>
      <w:proofErr w:type="gramEnd"/>
      <w:r w:rsidR="004604A1">
        <w:rPr>
          <w:rFonts w:ascii="Times New Roman" w:hAnsi="Times New Roman" w:cs="Times New Roman"/>
          <w:sz w:val="24"/>
          <w:szCs w:val="24"/>
          <w:lang w:val="pt-BR"/>
        </w:rPr>
        <w:t xml:space="preserve">) </w:t>
      </w:r>
      <w:r w:rsidR="00882577" w:rsidRPr="002F7223">
        <w:rPr>
          <w:rFonts w:ascii="Times New Roman" w:hAnsi="Times New Roman" w:cs="Times New Roman"/>
          <w:sz w:val="24"/>
          <w:szCs w:val="24"/>
          <w:lang w:val="pt-BR"/>
        </w:rPr>
        <w:t xml:space="preserve">foi base para a construção dos gráficos de dispersão contendo o preço (deflacionado) por </w:t>
      </w:r>
      <w:r w:rsidR="00CF72F5" w:rsidRPr="002F7223">
        <w:rPr>
          <w:rFonts w:ascii="Times New Roman" w:hAnsi="Times New Roman" w:cs="Times New Roman"/>
          <w:sz w:val="24"/>
          <w:szCs w:val="24"/>
          <w:lang w:val="pt-BR"/>
        </w:rPr>
        <w:t>qu</w:t>
      </w:r>
      <w:r w:rsidR="00882577" w:rsidRPr="002F7223">
        <w:rPr>
          <w:rFonts w:ascii="Times New Roman" w:hAnsi="Times New Roman" w:cs="Times New Roman"/>
          <w:sz w:val="24"/>
          <w:szCs w:val="24"/>
          <w:lang w:val="pt-BR"/>
        </w:rPr>
        <w:t xml:space="preserve">ilo das importações </w:t>
      </w:r>
      <w:r w:rsidR="00CF72F5" w:rsidRPr="002F7223">
        <w:rPr>
          <w:rFonts w:ascii="Times New Roman" w:hAnsi="Times New Roman" w:cs="Times New Roman"/>
          <w:sz w:val="24"/>
          <w:szCs w:val="24"/>
          <w:lang w:val="pt-BR"/>
        </w:rPr>
        <w:t xml:space="preserve">(ou das exportações) </w:t>
      </w:r>
      <w:r w:rsidR="00882577" w:rsidRPr="002F7223">
        <w:rPr>
          <w:rFonts w:ascii="Times New Roman" w:hAnsi="Times New Roman" w:cs="Times New Roman"/>
          <w:sz w:val="24"/>
          <w:szCs w:val="24"/>
          <w:lang w:val="pt-BR"/>
        </w:rPr>
        <w:t>de</w:t>
      </w:r>
      <w:r w:rsidR="00CF72F5" w:rsidRPr="002F7223">
        <w:rPr>
          <w:rFonts w:ascii="Times New Roman" w:hAnsi="Times New Roman" w:cs="Times New Roman"/>
          <w:sz w:val="24"/>
          <w:szCs w:val="24"/>
          <w:lang w:val="pt-BR"/>
        </w:rPr>
        <w:t xml:space="preserve"> medicamentos para</w:t>
      </w:r>
      <w:r w:rsidR="00882577" w:rsidRPr="002F7223">
        <w:rPr>
          <w:rFonts w:ascii="Times New Roman" w:hAnsi="Times New Roman" w:cs="Times New Roman"/>
          <w:sz w:val="24"/>
          <w:szCs w:val="24"/>
          <w:lang w:val="pt-BR"/>
        </w:rPr>
        <w:t xml:space="preserve"> todos os países </w:t>
      </w:r>
      <w:r w:rsidR="00CF72F5" w:rsidRPr="002F7223">
        <w:rPr>
          <w:rFonts w:ascii="Times New Roman" w:hAnsi="Times New Roman" w:cs="Times New Roman"/>
          <w:sz w:val="24"/>
          <w:szCs w:val="24"/>
          <w:lang w:val="pt-BR"/>
        </w:rPr>
        <w:t>(</w:t>
      </w:r>
      <w:r w:rsidR="00882577" w:rsidRPr="002F7223">
        <w:rPr>
          <w:rFonts w:ascii="Times New Roman" w:hAnsi="Times New Roman" w:cs="Times New Roman"/>
          <w:sz w:val="24"/>
          <w:szCs w:val="24"/>
          <w:lang w:val="pt-BR"/>
        </w:rPr>
        <w:t>por ano</w:t>
      </w:r>
      <w:r w:rsidR="00CF72F5" w:rsidRPr="002F7223">
        <w:rPr>
          <w:rFonts w:ascii="Times New Roman" w:hAnsi="Times New Roman" w:cs="Times New Roman"/>
          <w:sz w:val="24"/>
          <w:szCs w:val="24"/>
          <w:lang w:val="pt-BR"/>
        </w:rPr>
        <w:t>)</w:t>
      </w:r>
      <w:r w:rsidR="00882577" w:rsidRPr="002F7223">
        <w:rPr>
          <w:rFonts w:ascii="Times New Roman" w:hAnsi="Times New Roman" w:cs="Times New Roman"/>
          <w:sz w:val="24"/>
          <w:szCs w:val="24"/>
          <w:lang w:val="pt-BR"/>
        </w:rPr>
        <w:t xml:space="preserve"> no eixo y e do </w:t>
      </w:r>
      <w:r w:rsidR="00CF72F5" w:rsidRPr="002F7223">
        <w:rPr>
          <w:rFonts w:ascii="Times New Roman" w:hAnsi="Times New Roman" w:cs="Times New Roman"/>
          <w:sz w:val="24"/>
          <w:szCs w:val="24"/>
          <w:lang w:val="pt-BR"/>
        </w:rPr>
        <w:t>qui</w:t>
      </w:r>
      <w:r w:rsidR="00882577" w:rsidRPr="002F7223">
        <w:rPr>
          <w:rFonts w:ascii="Times New Roman" w:hAnsi="Times New Roman" w:cs="Times New Roman"/>
          <w:sz w:val="24"/>
          <w:szCs w:val="24"/>
          <w:lang w:val="pt-BR"/>
        </w:rPr>
        <w:t xml:space="preserve">lo </w:t>
      </w:r>
      <w:r w:rsidR="00CF72F5" w:rsidRPr="002F7223">
        <w:rPr>
          <w:rFonts w:ascii="Times New Roman" w:hAnsi="Times New Roman" w:cs="Times New Roman"/>
          <w:sz w:val="24"/>
          <w:szCs w:val="24"/>
          <w:lang w:val="pt-BR"/>
        </w:rPr>
        <w:t xml:space="preserve">da importação (ou da exportação) de medicamentos </w:t>
      </w:r>
      <w:r w:rsidR="00882577" w:rsidRPr="002F7223">
        <w:rPr>
          <w:rFonts w:ascii="Times New Roman" w:hAnsi="Times New Roman" w:cs="Times New Roman"/>
          <w:sz w:val="24"/>
          <w:szCs w:val="24"/>
          <w:lang w:val="pt-BR"/>
        </w:rPr>
        <w:t xml:space="preserve">por pessoa </w:t>
      </w:r>
      <w:r w:rsidR="00882577">
        <w:rPr>
          <w:rFonts w:ascii="Times New Roman" w:hAnsi="Times New Roman" w:cs="Times New Roman"/>
          <w:sz w:val="24"/>
          <w:szCs w:val="24"/>
          <w:lang w:val="pt-BR"/>
        </w:rPr>
        <w:t xml:space="preserve">no eixo x. </w:t>
      </w:r>
      <w:r w:rsidR="00CF72F5">
        <w:rPr>
          <w:rFonts w:ascii="Times New Roman" w:hAnsi="Times New Roman" w:cs="Times New Roman"/>
          <w:sz w:val="24"/>
          <w:szCs w:val="24"/>
          <w:lang w:val="pt-BR"/>
        </w:rPr>
        <w:t>Fizemos diversas animações (</w:t>
      </w:r>
      <w:r w:rsidR="004604A1" w:rsidRPr="004604A1">
        <w:rPr>
          <w:rFonts w:ascii="Times New Roman" w:hAnsi="Times New Roman" w:cs="Times New Roman"/>
          <w:b/>
          <w:sz w:val="24"/>
          <w:szCs w:val="24"/>
          <w:lang w:val="pt-BR"/>
        </w:rPr>
        <w:t>anexo 1</w:t>
      </w:r>
      <w:r w:rsidR="002B4FC4">
        <w:rPr>
          <w:rFonts w:ascii="Times New Roman" w:hAnsi="Times New Roman" w:cs="Times New Roman"/>
          <w:b/>
          <w:sz w:val="24"/>
          <w:szCs w:val="24"/>
          <w:lang w:val="pt-BR"/>
        </w:rPr>
        <w:t>1</w:t>
      </w:r>
      <w:r w:rsidR="00CF72F5">
        <w:rPr>
          <w:rFonts w:ascii="Times New Roman" w:hAnsi="Times New Roman" w:cs="Times New Roman"/>
          <w:sz w:val="24"/>
          <w:szCs w:val="24"/>
          <w:lang w:val="pt-BR"/>
        </w:rPr>
        <w:t>) com o objetivo de mostrar</w:t>
      </w:r>
      <w:r w:rsidR="00882577">
        <w:rPr>
          <w:rFonts w:ascii="Times New Roman" w:hAnsi="Times New Roman" w:cs="Times New Roman"/>
          <w:sz w:val="24"/>
          <w:szCs w:val="24"/>
          <w:lang w:val="pt-BR"/>
        </w:rPr>
        <w:t xml:space="preserve"> a evolução dos gráficos ao longo do tempo, tornando-os tridimensionais. O objetivo </w:t>
      </w:r>
      <w:r w:rsidR="00CF72F5">
        <w:rPr>
          <w:rFonts w:ascii="Times New Roman" w:hAnsi="Times New Roman" w:cs="Times New Roman"/>
          <w:sz w:val="24"/>
          <w:szCs w:val="24"/>
          <w:lang w:val="pt-BR"/>
        </w:rPr>
        <w:t>da construção destes dados foi</w:t>
      </w:r>
      <w:r w:rsidR="00882577">
        <w:rPr>
          <w:rFonts w:ascii="Times New Roman" w:hAnsi="Times New Roman" w:cs="Times New Roman"/>
          <w:sz w:val="24"/>
          <w:szCs w:val="24"/>
          <w:lang w:val="pt-BR"/>
        </w:rPr>
        <w:t xml:space="preserve"> entender se os preços </w:t>
      </w:r>
      <w:r w:rsidR="006720E3">
        <w:rPr>
          <w:rFonts w:ascii="Times New Roman" w:hAnsi="Times New Roman" w:cs="Times New Roman"/>
          <w:sz w:val="24"/>
          <w:szCs w:val="24"/>
          <w:lang w:val="pt-BR"/>
        </w:rPr>
        <w:t xml:space="preserve">reais </w:t>
      </w:r>
      <w:r w:rsidR="00882577">
        <w:rPr>
          <w:rFonts w:ascii="Times New Roman" w:hAnsi="Times New Roman" w:cs="Times New Roman"/>
          <w:sz w:val="24"/>
          <w:szCs w:val="24"/>
          <w:lang w:val="pt-BR"/>
        </w:rPr>
        <w:t>unitário</w:t>
      </w:r>
      <w:r w:rsidR="00CF72F5">
        <w:rPr>
          <w:rFonts w:ascii="Times New Roman" w:hAnsi="Times New Roman" w:cs="Times New Roman"/>
          <w:sz w:val="24"/>
          <w:szCs w:val="24"/>
          <w:lang w:val="pt-BR"/>
        </w:rPr>
        <w:t>s</w:t>
      </w:r>
      <w:r w:rsidR="00882577">
        <w:rPr>
          <w:rFonts w:ascii="Times New Roman" w:hAnsi="Times New Roman" w:cs="Times New Roman"/>
          <w:sz w:val="24"/>
          <w:szCs w:val="24"/>
          <w:lang w:val="pt-BR"/>
        </w:rPr>
        <w:t xml:space="preserve"> </w:t>
      </w:r>
      <w:r w:rsidR="006720E3">
        <w:rPr>
          <w:rFonts w:ascii="Times New Roman" w:hAnsi="Times New Roman" w:cs="Times New Roman"/>
          <w:sz w:val="24"/>
          <w:szCs w:val="24"/>
          <w:lang w:val="pt-BR"/>
        </w:rPr>
        <w:t xml:space="preserve">(ou seja, por quilo) </w:t>
      </w:r>
      <w:r w:rsidR="00882577">
        <w:rPr>
          <w:rFonts w:ascii="Times New Roman" w:hAnsi="Times New Roman" w:cs="Times New Roman"/>
          <w:sz w:val="24"/>
          <w:szCs w:val="24"/>
          <w:lang w:val="pt-BR"/>
        </w:rPr>
        <w:t>do</w:t>
      </w:r>
      <w:r w:rsidR="004604A1">
        <w:rPr>
          <w:rFonts w:ascii="Times New Roman" w:hAnsi="Times New Roman" w:cs="Times New Roman"/>
          <w:sz w:val="24"/>
          <w:szCs w:val="24"/>
          <w:lang w:val="pt-BR"/>
        </w:rPr>
        <w:t xml:space="preserve"> comércio internacional de</w:t>
      </w:r>
      <w:r w:rsidR="00882577">
        <w:rPr>
          <w:rFonts w:ascii="Times New Roman" w:hAnsi="Times New Roman" w:cs="Times New Roman"/>
          <w:sz w:val="24"/>
          <w:szCs w:val="24"/>
          <w:lang w:val="pt-BR"/>
        </w:rPr>
        <w:t xml:space="preserve"> medicamentos evoluíram ao longo do tempo </w:t>
      </w:r>
      <w:r w:rsidR="00AD3F96">
        <w:rPr>
          <w:rFonts w:ascii="Times New Roman" w:hAnsi="Times New Roman" w:cs="Times New Roman"/>
          <w:sz w:val="24"/>
          <w:szCs w:val="24"/>
          <w:lang w:val="pt-BR"/>
        </w:rPr>
        <w:t xml:space="preserve">controlando </w:t>
      </w:r>
      <w:r w:rsidR="004604A1">
        <w:rPr>
          <w:rFonts w:ascii="Times New Roman" w:hAnsi="Times New Roman" w:cs="Times New Roman"/>
          <w:sz w:val="24"/>
          <w:szCs w:val="24"/>
          <w:lang w:val="pt-BR"/>
        </w:rPr>
        <w:t xml:space="preserve">para cada país o volume de </w:t>
      </w:r>
      <w:r w:rsidR="00AD3F96">
        <w:rPr>
          <w:rFonts w:ascii="Times New Roman" w:hAnsi="Times New Roman" w:cs="Times New Roman"/>
          <w:sz w:val="24"/>
          <w:szCs w:val="24"/>
          <w:lang w:val="pt-BR"/>
        </w:rPr>
        <w:t xml:space="preserve">comércio </w:t>
      </w:r>
      <w:r w:rsidR="00882577">
        <w:rPr>
          <w:rFonts w:ascii="Times New Roman" w:hAnsi="Times New Roman" w:cs="Times New Roman"/>
          <w:sz w:val="24"/>
          <w:szCs w:val="24"/>
          <w:lang w:val="pt-BR"/>
        </w:rPr>
        <w:t>p</w:t>
      </w:r>
      <w:r w:rsidR="004604A1">
        <w:rPr>
          <w:rFonts w:ascii="Times New Roman" w:hAnsi="Times New Roman" w:cs="Times New Roman"/>
          <w:sz w:val="24"/>
          <w:szCs w:val="24"/>
          <w:lang w:val="pt-BR"/>
        </w:rPr>
        <w:t>er capta</w:t>
      </w:r>
      <w:r w:rsidR="00AD3F96">
        <w:rPr>
          <w:rFonts w:ascii="Times New Roman" w:hAnsi="Times New Roman" w:cs="Times New Roman"/>
          <w:sz w:val="24"/>
          <w:szCs w:val="24"/>
          <w:lang w:val="pt-BR"/>
        </w:rPr>
        <w:t xml:space="preserve">. Caso os preços tenham se elevado e o comércio por pessoa tenha se mantido estável ou crescido isso pode ser um indício </w:t>
      </w:r>
      <w:r w:rsidR="00882577">
        <w:rPr>
          <w:rFonts w:ascii="Times New Roman" w:hAnsi="Times New Roman" w:cs="Times New Roman"/>
          <w:sz w:val="24"/>
          <w:szCs w:val="24"/>
          <w:lang w:val="pt-BR"/>
        </w:rPr>
        <w:t xml:space="preserve">do aumento da </w:t>
      </w:r>
      <w:r w:rsidR="00CF72F5">
        <w:rPr>
          <w:rFonts w:ascii="Times New Roman" w:hAnsi="Times New Roman" w:cs="Times New Roman"/>
          <w:sz w:val="24"/>
          <w:szCs w:val="24"/>
          <w:lang w:val="pt-BR"/>
        </w:rPr>
        <w:t>importância</w:t>
      </w:r>
      <w:r w:rsidR="00882577">
        <w:rPr>
          <w:rFonts w:ascii="Times New Roman" w:hAnsi="Times New Roman" w:cs="Times New Roman"/>
          <w:sz w:val="24"/>
          <w:szCs w:val="24"/>
          <w:lang w:val="pt-BR"/>
        </w:rPr>
        <w:t xml:space="preserve"> da PI no comércio </w:t>
      </w:r>
      <w:r w:rsidR="00CF72F5">
        <w:rPr>
          <w:rFonts w:ascii="Times New Roman" w:hAnsi="Times New Roman" w:cs="Times New Roman"/>
          <w:sz w:val="24"/>
          <w:szCs w:val="24"/>
          <w:lang w:val="pt-BR"/>
        </w:rPr>
        <w:t>de cada país e no comércio mundial de medicamentos com um todo</w:t>
      </w:r>
      <w:r w:rsidR="00882577">
        <w:rPr>
          <w:rFonts w:ascii="Times New Roman" w:hAnsi="Times New Roman" w:cs="Times New Roman"/>
          <w:sz w:val="24"/>
          <w:szCs w:val="24"/>
          <w:lang w:val="pt-BR"/>
        </w:rPr>
        <w:t xml:space="preserve">. </w:t>
      </w:r>
    </w:p>
    <w:p w14:paraId="5AB0459C" w14:textId="4D6028D4" w:rsidR="00CF72F5" w:rsidRDefault="00CF72F5" w:rsidP="008B0E7D">
      <w:pPr>
        <w:spacing w:after="0" w:line="360" w:lineRule="auto"/>
        <w:jc w:val="both"/>
        <w:rPr>
          <w:rFonts w:ascii="Times New Roman" w:hAnsi="Times New Roman" w:cs="Times New Roman"/>
          <w:sz w:val="24"/>
          <w:szCs w:val="24"/>
          <w:lang w:val="pt-BR"/>
        </w:rPr>
      </w:pPr>
    </w:p>
    <w:p w14:paraId="0D427E0E" w14:textId="77777777" w:rsidR="006720E3" w:rsidRDefault="006720E3" w:rsidP="008B0E7D">
      <w:pPr>
        <w:spacing w:after="0" w:line="360" w:lineRule="auto"/>
        <w:jc w:val="both"/>
        <w:rPr>
          <w:rFonts w:ascii="Times New Roman" w:hAnsi="Times New Roman" w:cs="Times New Roman"/>
          <w:b/>
          <w:sz w:val="24"/>
          <w:szCs w:val="24"/>
          <w:lang w:val="pt-BR"/>
        </w:rPr>
      </w:pPr>
    </w:p>
    <w:p w14:paraId="238CB56B" w14:textId="77777777" w:rsidR="006720E3" w:rsidRDefault="006720E3" w:rsidP="008B0E7D">
      <w:pPr>
        <w:spacing w:after="0" w:line="360" w:lineRule="auto"/>
        <w:jc w:val="both"/>
        <w:rPr>
          <w:rFonts w:ascii="Times New Roman" w:hAnsi="Times New Roman" w:cs="Times New Roman"/>
          <w:b/>
          <w:sz w:val="24"/>
          <w:szCs w:val="24"/>
          <w:lang w:val="pt-BR"/>
        </w:rPr>
      </w:pPr>
    </w:p>
    <w:p w14:paraId="116D6FE6" w14:textId="77777777" w:rsidR="006720E3" w:rsidRDefault="006720E3" w:rsidP="008B0E7D">
      <w:pPr>
        <w:spacing w:after="0" w:line="360" w:lineRule="auto"/>
        <w:jc w:val="both"/>
        <w:rPr>
          <w:rFonts w:ascii="Times New Roman" w:hAnsi="Times New Roman" w:cs="Times New Roman"/>
          <w:b/>
          <w:sz w:val="24"/>
          <w:szCs w:val="24"/>
          <w:lang w:val="pt-BR"/>
        </w:rPr>
      </w:pPr>
    </w:p>
    <w:p w14:paraId="49406A3F" w14:textId="77777777" w:rsidR="006720E3" w:rsidRDefault="006720E3" w:rsidP="008B0E7D">
      <w:pPr>
        <w:spacing w:after="0" w:line="360" w:lineRule="auto"/>
        <w:jc w:val="both"/>
        <w:rPr>
          <w:rFonts w:ascii="Times New Roman" w:hAnsi="Times New Roman" w:cs="Times New Roman"/>
          <w:b/>
          <w:sz w:val="24"/>
          <w:szCs w:val="24"/>
          <w:lang w:val="pt-BR"/>
        </w:rPr>
      </w:pPr>
    </w:p>
    <w:p w14:paraId="69D64472" w14:textId="77777777" w:rsidR="006720E3" w:rsidRDefault="006720E3" w:rsidP="008B0E7D">
      <w:pPr>
        <w:spacing w:after="0" w:line="360" w:lineRule="auto"/>
        <w:jc w:val="both"/>
        <w:rPr>
          <w:rFonts w:ascii="Times New Roman" w:hAnsi="Times New Roman" w:cs="Times New Roman"/>
          <w:b/>
          <w:sz w:val="24"/>
          <w:szCs w:val="24"/>
          <w:lang w:val="pt-BR"/>
        </w:rPr>
      </w:pPr>
    </w:p>
    <w:p w14:paraId="6FCDD905" w14:textId="77777777" w:rsidR="006720E3" w:rsidRDefault="006720E3" w:rsidP="008B0E7D">
      <w:pPr>
        <w:spacing w:after="0" w:line="360" w:lineRule="auto"/>
        <w:jc w:val="both"/>
        <w:rPr>
          <w:rFonts w:ascii="Times New Roman" w:hAnsi="Times New Roman" w:cs="Times New Roman"/>
          <w:b/>
          <w:sz w:val="24"/>
          <w:szCs w:val="24"/>
          <w:lang w:val="pt-BR"/>
        </w:rPr>
      </w:pPr>
    </w:p>
    <w:p w14:paraId="0408068E" w14:textId="77777777" w:rsidR="00E14008" w:rsidRDefault="00E14008" w:rsidP="008B0E7D">
      <w:pPr>
        <w:spacing w:after="0" w:line="360" w:lineRule="auto"/>
        <w:jc w:val="both"/>
        <w:rPr>
          <w:rFonts w:ascii="Times New Roman" w:hAnsi="Times New Roman" w:cs="Times New Roman"/>
          <w:b/>
          <w:sz w:val="24"/>
          <w:szCs w:val="24"/>
          <w:lang w:val="pt-BR"/>
        </w:rPr>
      </w:pPr>
    </w:p>
    <w:p w14:paraId="7D0B1984" w14:textId="746FE744" w:rsidR="00AD3F96" w:rsidRDefault="00AD3F96" w:rsidP="008B0E7D">
      <w:pPr>
        <w:spacing w:after="0" w:line="360" w:lineRule="auto"/>
        <w:jc w:val="both"/>
        <w:rPr>
          <w:rFonts w:ascii="Times New Roman" w:hAnsi="Times New Roman" w:cs="Times New Roman"/>
          <w:sz w:val="24"/>
          <w:szCs w:val="24"/>
          <w:lang w:val="pt-BR"/>
        </w:rPr>
      </w:pPr>
      <w:r w:rsidRPr="00722D73">
        <w:rPr>
          <w:rFonts w:ascii="Times New Roman" w:hAnsi="Times New Roman" w:cs="Times New Roman"/>
          <w:b/>
          <w:sz w:val="24"/>
          <w:szCs w:val="24"/>
          <w:lang w:val="pt-BR"/>
        </w:rPr>
        <w:lastRenderedPageBreak/>
        <w:t>Gráfico:</w:t>
      </w:r>
      <w:r>
        <w:rPr>
          <w:rFonts w:ascii="Times New Roman" w:hAnsi="Times New Roman" w:cs="Times New Roman"/>
          <w:sz w:val="24"/>
          <w:szCs w:val="24"/>
          <w:lang w:val="pt-BR"/>
        </w:rPr>
        <w:t xml:space="preserve"> Preço por quilo (eixo y) vs</w:t>
      </w:r>
      <w:r w:rsidR="00722D73">
        <w:rPr>
          <w:rFonts w:ascii="Times New Roman" w:hAnsi="Times New Roman" w:cs="Times New Roman"/>
          <w:sz w:val="24"/>
          <w:szCs w:val="24"/>
          <w:lang w:val="pt-BR"/>
        </w:rPr>
        <w:t>.</w:t>
      </w:r>
      <w:r>
        <w:rPr>
          <w:rFonts w:ascii="Times New Roman" w:hAnsi="Times New Roman" w:cs="Times New Roman"/>
          <w:sz w:val="24"/>
          <w:szCs w:val="24"/>
          <w:lang w:val="pt-BR"/>
        </w:rPr>
        <w:t xml:space="preserve"> quilo por pessoa (eixo x) </w:t>
      </w:r>
      <w:r w:rsidR="00722D73">
        <w:rPr>
          <w:rFonts w:ascii="Times New Roman" w:hAnsi="Times New Roman" w:cs="Times New Roman"/>
          <w:sz w:val="24"/>
          <w:szCs w:val="24"/>
          <w:lang w:val="pt-BR"/>
        </w:rPr>
        <w:t xml:space="preserve">da importação </w:t>
      </w:r>
      <w:r>
        <w:rPr>
          <w:rFonts w:ascii="Times New Roman" w:hAnsi="Times New Roman" w:cs="Times New Roman"/>
          <w:sz w:val="24"/>
          <w:szCs w:val="24"/>
          <w:lang w:val="pt-BR"/>
        </w:rPr>
        <w:t>de medicamentos (países selecionados – 2016)</w:t>
      </w:r>
      <w:r w:rsidR="00722D73">
        <w:rPr>
          <w:rFonts w:ascii="Times New Roman" w:hAnsi="Times New Roman" w:cs="Times New Roman"/>
          <w:sz w:val="24"/>
          <w:szCs w:val="24"/>
          <w:lang w:val="pt-BR"/>
        </w:rPr>
        <w:t>.</w:t>
      </w:r>
    </w:p>
    <w:p w14:paraId="2B73244C" w14:textId="13703093" w:rsidR="00CF72F5" w:rsidRPr="00521A96" w:rsidRDefault="00AD3F96" w:rsidP="008B0E7D">
      <w:pPr>
        <w:spacing w:after="0" w:line="360" w:lineRule="auto"/>
        <w:jc w:val="both"/>
        <w:rPr>
          <w:rFonts w:ascii="Times New Roman" w:hAnsi="Times New Roman" w:cs="Times New Roman"/>
          <w:sz w:val="24"/>
          <w:szCs w:val="24"/>
          <w:lang w:val="pt-BR"/>
        </w:rPr>
      </w:pPr>
      <w:r>
        <w:rPr>
          <w:noProof/>
          <w:lang w:val="pt-BR" w:eastAsia="pt-BR"/>
        </w:rPr>
        <w:drawing>
          <wp:inline distT="0" distB="0" distL="0" distR="0" wp14:anchorId="5B8166E2" wp14:editId="606D8CD0">
            <wp:extent cx="5731510" cy="5151120"/>
            <wp:effectExtent l="19050" t="19050" r="2159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151120"/>
                    </a:xfrm>
                    <a:prstGeom prst="rect">
                      <a:avLst/>
                    </a:prstGeom>
                    <a:noFill/>
                    <a:ln>
                      <a:solidFill>
                        <a:schemeClr val="tx1"/>
                      </a:solidFill>
                    </a:ln>
                  </pic:spPr>
                </pic:pic>
              </a:graphicData>
            </a:graphic>
          </wp:inline>
        </w:drawing>
      </w:r>
    </w:p>
    <w:p w14:paraId="644FA953" w14:textId="20BE5121" w:rsidR="00E86D14" w:rsidRPr="00814DC4" w:rsidRDefault="00E86D14" w:rsidP="008B0E7D">
      <w:pPr>
        <w:spacing w:after="0" w:line="360" w:lineRule="auto"/>
        <w:jc w:val="both"/>
        <w:rPr>
          <w:rFonts w:ascii="Times New Roman" w:hAnsi="Times New Roman" w:cs="Times New Roman"/>
          <w:sz w:val="24"/>
          <w:szCs w:val="24"/>
          <w:lang w:val="pt-BR"/>
        </w:rPr>
      </w:pPr>
    </w:p>
    <w:p w14:paraId="5F1FB1B0" w14:textId="3227B493" w:rsidR="00CB0FEA" w:rsidRPr="004604A1" w:rsidRDefault="00CB0FEA" w:rsidP="008B0E7D">
      <w:pPr>
        <w:spacing w:after="0" w:line="360" w:lineRule="auto"/>
        <w:jc w:val="both"/>
        <w:rPr>
          <w:rFonts w:ascii="Times New Roman" w:hAnsi="Times New Roman" w:cs="Times New Roman"/>
          <w:b/>
          <w:i/>
          <w:sz w:val="24"/>
          <w:szCs w:val="24"/>
          <w:lang w:val="pt-BR"/>
        </w:rPr>
      </w:pPr>
      <w:r w:rsidRPr="004604A1">
        <w:rPr>
          <w:rFonts w:ascii="Times New Roman" w:hAnsi="Times New Roman" w:cs="Times New Roman"/>
          <w:b/>
          <w:i/>
          <w:sz w:val="24"/>
          <w:szCs w:val="24"/>
          <w:lang w:val="pt-BR"/>
        </w:rPr>
        <w:t>Escrever o primeiro relatório técnico sobre a construção do banco de dados</w:t>
      </w:r>
    </w:p>
    <w:p w14:paraId="5DF0934A" w14:textId="3DEE385F" w:rsidR="00CB0FEA" w:rsidRDefault="00443E1C" w:rsidP="008B0E7D">
      <w:pPr>
        <w:spacing w:after="0" w:line="360" w:lineRule="auto"/>
        <w:ind w:firstLine="720"/>
        <w:jc w:val="both"/>
        <w:rPr>
          <w:rFonts w:ascii="Times New Roman" w:hAnsi="Times New Roman" w:cs="Times New Roman"/>
          <w:sz w:val="24"/>
          <w:szCs w:val="24"/>
          <w:lang w:val="pt-BR"/>
        </w:rPr>
      </w:pPr>
      <w:r w:rsidRPr="00CC1AC2">
        <w:rPr>
          <w:rFonts w:ascii="Times New Roman" w:hAnsi="Times New Roman" w:cs="Times New Roman"/>
          <w:sz w:val="24"/>
          <w:szCs w:val="24"/>
          <w:lang w:val="pt-BR"/>
        </w:rPr>
        <w:t>Um</w:t>
      </w:r>
      <w:r w:rsidR="00CB0FEA" w:rsidRPr="00CC1AC2">
        <w:rPr>
          <w:rFonts w:ascii="Times New Roman" w:hAnsi="Times New Roman" w:cs="Times New Roman"/>
          <w:sz w:val="24"/>
          <w:szCs w:val="24"/>
          <w:lang w:val="pt-BR"/>
        </w:rPr>
        <w:t xml:space="preserve"> </w:t>
      </w:r>
      <w:r w:rsidR="00CC1AC2">
        <w:rPr>
          <w:rFonts w:ascii="Times New Roman" w:hAnsi="Times New Roman" w:cs="Times New Roman"/>
          <w:sz w:val="24"/>
          <w:szCs w:val="24"/>
          <w:lang w:val="pt-BR"/>
        </w:rPr>
        <w:t xml:space="preserve">breve </w:t>
      </w:r>
      <w:r w:rsidR="00CB0FEA" w:rsidRPr="00CC1AC2">
        <w:rPr>
          <w:rFonts w:ascii="Times New Roman" w:hAnsi="Times New Roman" w:cs="Times New Roman"/>
          <w:sz w:val="24"/>
          <w:szCs w:val="24"/>
          <w:lang w:val="pt-BR"/>
        </w:rPr>
        <w:t xml:space="preserve">relatório </w:t>
      </w:r>
      <w:r w:rsidRPr="00CC1AC2">
        <w:rPr>
          <w:rFonts w:ascii="Times New Roman" w:hAnsi="Times New Roman" w:cs="Times New Roman"/>
          <w:sz w:val="24"/>
          <w:szCs w:val="24"/>
          <w:lang w:val="pt-BR"/>
        </w:rPr>
        <w:t xml:space="preserve">inicial </w:t>
      </w:r>
      <w:r w:rsidR="00AD3F96">
        <w:rPr>
          <w:rFonts w:ascii="Times New Roman" w:hAnsi="Times New Roman" w:cs="Times New Roman"/>
          <w:sz w:val="24"/>
          <w:szCs w:val="24"/>
          <w:lang w:val="pt-BR"/>
        </w:rPr>
        <w:t xml:space="preserve">mapeando </w:t>
      </w:r>
      <w:r w:rsidRPr="00CC1AC2">
        <w:rPr>
          <w:rFonts w:ascii="Times New Roman" w:hAnsi="Times New Roman" w:cs="Times New Roman"/>
          <w:sz w:val="24"/>
          <w:szCs w:val="24"/>
          <w:lang w:val="pt-BR"/>
        </w:rPr>
        <w:t xml:space="preserve">os componentes do Balanço de Pagamentos que </w:t>
      </w:r>
      <w:r w:rsidR="00AD3F96">
        <w:rPr>
          <w:rFonts w:ascii="Times New Roman" w:hAnsi="Times New Roman" w:cs="Times New Roman"/>
          <w:sz w:val="24"/>
          <w:szCs w:val="24"/>
          <w:lang w:val="pt-BR"/>
        </w:rPr>
        <w:t>poderiam</w:t>
      </w:r>
      <w:r w:rsidRPr="00CC1AC2">
        <w:rPr>
          <w:rFonts w:ascii="Times New Roman" w:hAnsi="Times New Roman" w:cs="Times New Roman"/>
          <w:sz w:val="24"/>
          <w:szCs w:val="24"/>
          <w:lang w:val="pt-BR"/>
        </w:rPr>
        <w:t xml:space="preserve"> constar dados sobre transações internacionais </w:t>
      </w:r>
      <w:r w:rsidR="00AD3F96">
        <w:rPr>
          <w:rFonts w:ascii="Times New Roman" w:hAnsi="Times New Roman" w:cs="Times New Roman"/>
          <w:sz w:val="24"/>
          <w:szCs w:val="24"/>
          <w:lang w:val="pt-BR"/>
        </w:rPr>
        <w:t>de valores que dependem dos Direitos de</w:t>
      </w:r>
      <w:r w:rsidRPr="00CC1AC2">
        <w:rPr>
          <w:rFonts w:ascii="Times New Roman" w:hAnsi="Times New Roman" w:cs="Times New Roman"/>
          <w:sz w:val="24"/>
          <w:szCs w:val="24"/>
          <w:lang w:val="pt-BR"/>
        </w:rPr>
        <w:t xml:space="preserve"> Propriedade Intelectual </w:t>
      </w:r>
      <w:r w:rsidR="00CB0FEA" w:rsidRPr="00CC1AC2">
        <w:rPr>
          <w:rFonts w:ascii="Times New Roman" w:hAnsi="Times New Roman" w:cs="Times New Roman"/>
          <w:sz w:val="24"/>
          <w:szCs w:val="24"/>
          <w:lang w:val="pt-BR"/>
        </w:rPr>
        <w:t xml:space="preserve">foi elaborado na língua inglesa </w:t>
      </w:r>
      <w:r w:rsidR="00D0679E" w:rsidRPr="00CC1AC2">
        <w:rPr>
          <w:rFonts w:ascii="Times New Roman" w:hAnsi="Times New Roman" w:cs="Times New Roman"/>
          <w:sz w:val="24"/>
          <w:szCs w:val="24"/>
          <w:lang w:val="pt-BR"/>
        </w:rPr>
        <w:t>e finalizado em dezembro de 2017</w:t>
      </w:r>
      <w:r w:rsidR="004604A1">
        <w:rPr>
          <w:rFonts w:ascii="Times New Roman" w:hAnsi="Times New Roman" w:cs="Times New Roman"/>
          <w:sz w:val="24"/>
          <w:szCs w:val="24"/>
          <w:lang w:val="pt-BR"/>
        </w:rPr>
        <w:t xml:space="preserve"> (</w:t>
      </w:r>
      <w:r w:rsidR="004604A1" w:rsidRPr="004604A1">
        <w:rPr>
          <w:rFonts w:ascii="Times New Roman" w:hAnsi="Times New Roman" w:cs="Times New Roman"/>
          <w:b/>
          <w:sz w:val="24"/>
          <w:szCs w:val="24"/>
          <w:lang w:val="pt-BR"/>
        </w:rPr>
        <w:t xml:space="preserve">anexo </w:t>
      </w:r>
      <w:proofErr w:type="gramStart"/>
      <w:r w:rsidR="004604A1" w:rsidRPr="004604A1">
        <w:rPr>
          <w:rFonts w:ascii="Times New Roman" w:hAnsi="Times New Roman" w:cs="Times New Roman"/>
          <w:b/>
          <w:sz w:val="24"/>
          <w:szCs w:val="24"/>
          <w:lang w:val="pt-BR"/>
        </w:rPr>
        <w:t>1</w:t>
      </w:r>
      <w:proofErr w:type="gramEnd"/>
      <w:r w:rsidR="004604A1">
        <w:rPr>
          <w:rFonts w:ascii="Times New Roman" w:hAnsi="Times New Roman" w:cs="Times New Roman"/>
          <w:sz w:val="24"/>
          <w:szCs w:val="24"/>
          <w:lang w:val="pt-BR"/>
        </w:rPr>
        <w:t>)</w:t>
      </w:r>
      <w:r w:rsidR="00D0679E" w:rsidRPr="00CC1AC2">
        <w:rPr>
          <w:rFonts w:ascii="Times New Roman" w:hAnsi="Times New Roman" w:cs="Times New Roman"/>
          <w:sz w:val="24"/>
          <w:szCs w:val="24"/>
          <w:lang w:val="pt-BR"/>
        </w:rPr>
        <w:t xml:space="preserve">. Embora a pesquisa já </w:t>
      </w:r>
      <w:r w:rsidR="00200CDB" w:rsidRPr="00CC1AC2">
        <w:rPr>
          <w:rFonts w:ascii="Times New Roman" w:hAnsi="Times New Roman" w:cs="Times New Roman"/>
          <w:sz w:val="24"/>
          <w:szCs w:val="24"/>
          <w:lang w:val="pt-BR"/>
        </w:rPr>
        <w:t>tenha</w:t>
      </w:r>
      <w:r w:rsidR="00D0679E" w:rsidRPr="00CC1AC2">
        <w:rPr>
          <w:rFonts w:ascii="Times New Roman" w:hAnsi="Times New Roman" w:cs="Times New Roman"/>
          <w:sz w:val="24"/>
          <w:szCs w:val="24"/>
          <w:lang w:val="pt-BR"/>
        </w:rPr>
        <w:t xml:space="preserve"> avanços </w:t>
      </w:r>
      <w:r w:rsidR="00200CDB" w:rsidRPr="00CC1AC2">
        <w:rPr>
          <w:rFonts w:ascii="Times New Roman" w:hAnsi="Times New Roman" w:cs="Times New Roman"/>
          <w:sz w:val="24"/>
          <w:szCs w:val="24"/>
          <w:lang w:val="pt-BR"/>
        </w:rPr>
        <w:t xml:space="preserve">posteriores </w:t>
      </w:r>
      <w:r w:rsidR="00D0679E" w:rsidRPr="00CC1AC2">
        <w:rPr>
          <w:rFonts w:ascii="Times New Roman" w:hAnsi="Times New Roman" w:cs="Times New Roman"/>
          <w:sz w:val="24"/>
          <w:szCs w:val="24"/>
          <w:lang w:val="pt-BR"/>
        </w:rPr>
        <w:t>relativos à busca de novas bases de dados mais completas</w:t>
      </w:r>
      <w:r w:rsidR="007A74EF" w:rsidRPr="00CC1AC2">
        <w:rPr>
          <w:rFonts w:ascii="Times New Roman" w:hAnsi="Times New Roman" w:cs="Times New Roman"/>
          <w:sz w:val="24"/>
          <w:szCs w:val="24"/>
          <w:lang w:val="pt-BR"/>
        </w:rPr>
        <w:t xml:space="preserve"> e à qualificação destes dados</w:t>
      </w:r>
      <w:r w:rsidR="00F54830" w:rsidRPr="00CC1AC2">
        <w:rPr>
          <w:rFonts w:ascii="Times New Roman" w:hAnsi="Times New Roman" w:cs="Times New Roman"/>
          <w:sz w:val="24"/>
          <w:szCs w:val="24"/>
          <w:lang w:val="pt-BR"/>
        </w:rPr>
        <w:t xml:space="preserve"> em termos de desagregação dos mesmos</w:t>
      </w:r>
      <w:r w:rsidR="00D0679E" w:rsidRPr="00CC1AC2">
        <w:rPr>
          <w:rFonts w:ascii="Times New Roman" w:hAnsi="Times New Roman" w:cs="Times New Roman"/>
          <w:sz w:val="24"/>
          <w:szCs w:val="24"/>
          <w:lang w:val="pt-BR"/>
        </w:rPr>
        <w:t xml:space="preserve">, nossa primeira abordagem </w:t>
      </w:r>
      <w:r w:rsidR="007A74EF" w:rsidRPr="00CC1AC2">
        <w:rPr>
          <w:rFonts w:ascii="Times New Roman" w:hAnsi="Times New Roman" w:cs="Times New Roman"/>
          <w:sz w:val="24"/>
          <w:szCs w:val="24"/>
          <w:lang w:val="pt-BR"/>
        </w:rPr>
        <w:t>foi</w:t>
      </w:r>
      <w:r w:rsidR="00D0679E" w:rsidRPr="00CC1AC2">
        <w:rPr>
          <w:rFonts w:ascii="Times New Roman" w:hAnsi="Times New Roman" w:cs="Times New Roman"/>
          <w:sz w:val="24"/>
          <w:szCs w:val="24"/>
          <w:lang w:val="pt-BR"/>
        </w:rPr>
        <w:t xml:space="preserve"> registrada</w:t>
      </w:r>
      <w:r w:rsidR="00AD3F96">
        <w:rPr>
          <w:rFonts w:ascii="Times New Roman" w:hAnsi="Times New Roman" w:cs="Times New Roman"/>
          <w:sz w:val="24"/>
          <w:szCs w:val="24"/>
          <w:lang w:val="pt-BR"/>
        </w:rPr>
        <w:t xml:space="preserve"> e publicada como relatório parcial </w:t>
      </w:r>
      <w:r w:rsidR="006720E3">
        <w:rPr>
          <w:rFonts w:ascii="Times New Roman" w:hAnsi="Times New Roman" w:cs="Times New Roman"/>
          <w:sz w:val="24"/>
          <w:szCs w:val="24"/>
          <w:lang w:val="pt-BR"/>
        </w:rPr>
        <w:t xml:space="preserve">tendo sido </w:t>
      </w:r>
      <w:r w:rsidR="00AD3F96">
        <w:rPr>
          <w:rFonts w:ascii="Times New Roman" w:hAnsi="Times New Roman" w:cs="Times New Roman"/>
          <w:sz w:val="24"/>
          <w:szCs w:val="24"/>
          <w:lang w:val="pt-BR"/>
        </w:rPr>
        <w:t xml:space="preserve">enviado em Julho de 2018 para </w:t>
      </w:r>
      <w:r w:rsidR="006720E3">
        <w:rPr>
          <w:rFonts w:ascii="Times New Roman" w:hAnsi="Times New Roman" w:cs="Times New Roman"/>
          <w:sz w:val="24"/>
          <w:szCs w:val="24"/>
          <w:lang w:val="pt-BR"/>
        </w:rPr>
        <w:t>prestar contas à</w:t>
      </w:r>
      <w:r w:rsidR="00AD3F96">
        <w:rPr>
          <w:rFonts w:ascii="Times New Roman" w:hAnsi="Times New Roman" w:cs="Times New Roman"/>
          <w:sz w:val="24"/>
          <w:szCs w:val="24"/>
          <w:lang w:val="pt-BR"/>
        </w:rPr>
        <w:t xml:space="preserve"> UFABC</w:t>
      </w:r>
      <w:r w:rsidR="00CB0FEA" w:rsidRPr="00CC1AC2">
        <w:rPr>
          <w:rFonts w:ascii="Times New Roman" w:hAnsi="Times New Roman" w:cs="Times New Roman"/>
          <w:sz w:val="24"/>
          <w:szCs w:val="24"/>
          <w:lang w:val="pt-BR"/>
        </w:rPr>
        <w:t>.</w:t>
      </w:r>
    </w:p>
    <w:p w14:paraId="34FA6CAF" w14:textId="77777777" w:rsidR="006A5E70" w:rsidRPr="00CC1AC2" w:rsidRDefault="006A5E70" w:rsidP="008B0E7D">
      <w:pPr>
        <w:spacing w:after="0" w:line="360" w:lineRule="auto"/>
        <w:jc w:val="both"/>
        <w:rPr>
          <w:rFonts w:ascii="Times New Roman" w:hAnsi="Times New Roman" w:cs="Times New Roman"/>
          <w:sz w:val="24"/>
          <w:szCs w:val="24"/>
          <w:lang w:val="pt-BR"/>
        </w:rPr>
      </w:pPr>
    </w:p>
    <w:p w14:paraId="714F5C5D" w14:textId="1867955B" w:rsidR="00CB0FEA" w:rsidRPr="004604A1" w:rsidRDefault="00CB0FEA" w:rsidP="008B0E7D">
      <w:pPr>
        <w:spacing w:after="0" w:line="360" w:lineRule="auto"/>
        <w:jc w:val="both"/>
        <w:rPr>
          <w:rFonts w:ascii="Times New Roman" w:hAnsi="Times New Roman" w:cs="Times New Roman"/>
          <w:b/>
          <w:i/>
          <w:sz w:val="24"/>
          <w:szCs w:val="24"/>
          <w:lang w:val="pt-BR"/>
        </w:rPr>
      </w:pPr>
      <w:r w:rsidRPr="004604A1">
        <w:rPr>
          <w:rFonts w:ascii="Times New Roman" w:hAnsi="Times New Roman" w:cs="Times New Roman"/>
          <w:b/>
          <w:i/>
          <w:sz w:val="24"/>
          <w:szCs w:val="24"/>
          <w:lang w:val="pt-BR"/>
        </w:rPr>
        <w:t>Construir a metodologia para selecionar os países mais relevantes.</w:t>
      </w:r>
    </w:p>
    <w:p w14:paraId="0CD35630" w14:textId="65849A43" w:rsidR="006A5E70" w:rsidRDefault="006A5E70" w:rsidP="008B0E7D">
      <w:pPr>
        <w:spacing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Como as</w:t>
      </w:r>
      <w:r w:rsidRPr="006A5E70">
        <w:rPr>
          <w:rFonts w:ascii="Times New Roman" w:hAnsi="Times New Roman" w:cs="Times New Roman"/>
          <w:sz w:val="24"/>
          <w:szCs w:val="24"/>
          <w:lang w:val="pt-BR"/>
        </w:rPr>
        <w:t xml:space="preserve"> fontes </w:t>
      </w:r>
      <w:r>
        <w:rPr>
          <w:rFonts w:ascii="Times New Roman" w:hAnsi="Times New Roman" w:cs="Times New Roman"/>
          <w:sz w:val="24"/>
          <w:szCs w:val="24"/>
          <w:lang w:val="pt-BR"/>
        </w:rPr>
        <w:t xml:space="preserve">mais amplas de dados de comércio de bens e serviços </w:t>
      </w:r>
      <w:r w:rsidR="00DA14A2">
        <w:rPr>
          <w:rFonts w:ascii="Times New Roman" w:hAnsi="Times New Roman" w:cs="Times New Roman"/>
          <w:sz w:val="24"/>
          <w:szCs w:val="24"/>
          <w:lang w:val="pt-BR"/>
        </w:rPr>
        <w:t xml:space="preserve">(FMI e UN </w:t>
      </w:r>
      <w:proofErr w:type="spellStart"/>
      <w:r w:rsidR="00DA14A2">
        <w:rPr>
          <w:rFonts w:ascii="Times New Roman" w:hAnsi="Times New Roman" w:cs="Times New Roman"/>
          <w:sz w:val="24"/>
          <w:szCs w:val="24"/>
          <w:lang w:val="pt-BR"/>
        </w:rPr>
        <w:t>Comtrade</w:t>
      </w:r>
      <w:proofErr w:type="spellEnd"/>
      <w:r w:rsidR="00DA14A2">
        <w:rPr>
          <w:rFonts w:ascii="Times New Roman" w:hAnsi="Times New Roman" w:cs="Times New Roman"/>
          <w:sz w:val="24"/>
          <w:szCs w:val="24"/>
          <w:lang w:val="pt-BR"/>
        </w:rPr>
        <w:t xml:space="preserve">) </w:t>
      </w:r>
      <w:r w:rsidRPr="006A5E70">
        <w:rPr>
          <w:rFonts w:ascii="Times New Roman" w:hAnsi="Times New Roman" w:cs="Times New Roman"/>
          <w:sz w:val="24"/>
          <w:szCs w:val="24"/>
          <w:lang w:val="pt-BR"/>
        </w:rPr>
        <w:t xml:space="preserve">só permitem observar </w:t>
      </w:r>
      <w:r w:rsidR="00AD3F96">
        <w:rPr>
          <w:rFonts w:ascii="Times New Roman" w:hAnsi="Times New Roman" w:cs="Times New Roman"/>
          <w:sz w:val="24"/>
          <w:szCs w:val="24"/>
          <w:lang w:val="pt-BR"/>
        </w:rPr>
        <w:t xml:space="preserve">o comércio </w:t>
      </w:r>
      <w:r w:rsidRPr="006A5E70">
        <w:rPr>
          <w:rFonts w:ascii="Times New Roman" w:hAnsi="Times New Roman" w:cs="Times New Roman"/>
          <w:sz w:val="24"/>
          <w:szCs w:val="24"/>
          <w:lang w:val="pt-BR"/>
        </w:rPr>
        <w:t xml:space="preserve">do país com </w:t>
      </w:r>
      <w:r w:rsidR="00DA14A2">
        <w:rPr>
          <w:rFonts w:ascii="Times New Roman" w:hAnsi="Times New Roman" w:cs="Times New Roman"/>
          <w:sz w:val="24"/>
          <w:szCs w:val="24"/>
          <w:lang w:val="pt-BR"/>
        </w:rPr>
        <w:t xml:space="preserve">residentes e não residentes em geral, </w:t>
      </w:r>
      <w:proofErr w:type="gramStart"/>
      <w:r w:rsidR="00DA14A2">
        <w:rPr>
          <w:rFonts w:ascii="Times New Roman" w:hAnsi="Times New Roman" w:cs="Times New Roman"/>
          <w:sz w:val="24"/>
          <w:szCs w:val="24"/>
          <w:lang w:val="pt-BR"/>
        </w:rPr>
        <w:t>ou seja</w:t>
      </w:r>
      <w:proofErr w:type="gramEnd"/>
      <w:r w:rsidR="00DA14A2">
        <w:rPr>
          <w:rFonts w:ascii="Times New Roman" w:hAnsi="Times New Roman" w:cs="Times New Roman"/>
          <w:sz w:val="24"/>
          <w:szCs w:val="24"/>
          <w:lang w:val="pt-BR"/>
        </w:rPr>
        <w:t xml:space="preserve"> com </w:t>
      </w:r>
      <w:r w:rsidRPr="006A5E70">
        <w:rPr>
          <w:rFonts w:ascii="Times New Roman" w:hAnsi="Times New Roman" w:cs="Times New Roman"/>
          <w:sz w:val="24"/>
          <w:szCs w:val="24"/>
          <w:lang w:val="pt-BR"/>
        </w:rPr>
        <w:t xml:space="preserve">o resto do mundo </w:t>
      </w:r>
      <w:r w:rsidR="00DA14A2">
        <w:rPr>
          <w:rFonts w:ascii="Times New Roman" w:hAnsi="Times New Roman" w:cs="Times New Roman"/>
          <w:sz w:val="24"/>
          <w:szCs w:val="24"/>
          <w:lang w:val="pt-BR"/>
        </w:rPr>
        <w:t>(no agregado)</w:t>
      </w:r>
      <w:r>
        <w:rPr>
          <w:rFonts w:ascii="Times New Roman" w:hAnsi="Times New Roman" w:cs="Times New Roman"/>
          <w:sz w:val="24"/>
          <w:szCs w:val="24"/>
          <w:lang w:val="pt-BR"/>
        </w:rPr>
        <w:t>, o</w:t>
      </w:r>
      <w:r w:rsidR="00EF2B9D" w:rsidRPr="006A5E70">
        <w:rPr>
          <w:rFonts w:ascii="Times New Roman" w:hAnsi="Times New Roman" w:cs="Times New Roman"/>
          <w:sz w:val="24"/>
          <w:szCs w:val="24"/>
          <w:lang w:val="pt-BR"/>
        </w:rPr>
        <w:t xml:space="preserve"> objetivo desta parte d</w:t>
      </w:r>
      <w:r>
        <w:rPr>
          <w:rFonts w:ascii="Times New Roman" w:hAnsi="Times New Roman" w:cs="Times New Roman"/>
          <w:sz w:val="24"/>
          <w:szCs w:val="24"/>
          <w:lang w:val="pt-BR"/>
        </w:rPr>
        <w:t xml:space="preserve">a </w:t>
      </w:r>
      <w:r w:rsidR="00DA14A2">
        <w:rPr>
          <w:rFonts w:ascii="Times New Roman" w:hAnsi="Times New Roman" w:cs="Times New Roman"/>
          <w:sz w:val="24"/>
          <w:szCs w:val="24"/>
          <w:lang w:val="pt-BR"/>
        </w:rPr>
        <w:t>pesquisa</w:t>
      </w:r>
      <w:r>
        <w:rPr>
          <w:rFonts w:ascii="Times New Roman" w:hAnsi="Times New Roman" w:cs="Times New Roman"/>
          <w:sz w:val="24"/>
          <w:szCs w:val="24"/>
          <w:lang w:val="pt-BR"/>
        </w:rPr>
        <w:t xml:space="preserve"> foi </w:t>
      </w:r>
      <w:r w:rsidR="00EF2B9D" w:rsidRPr="006A5E70">
        <w:rPr>
          <w:rFonts w:ascii="Times New Roman" w:hAnsi="Times New Roman" w:cs="Times New Roman"/>
          <w:sz w:val="24"/>
          <w:szCs w:val="24"/>
          <w:lang w:val="pt-BR"/>
        </w:rPr>
        <w:t xml:space="preserve">selecionar uma amostra de países para realizar uma busca mais detalhada dos dados de comércio </w:t>
      </w:r>
      <w:r>
        <w:rPr>
          <w:rFonts w:ascii="Times New Roman" w:hAnsi="Times New Roman" w:cs="Times New Roman"/>
          <w:sz w:val="24"/>
          <w:szCs w:val="24"/>
          <w:lang w:val="pt-BR"/>
        </w:rPr>
        <w:t xml:space="preserve">bilateral relacionados à PI </w:t>
      </w:r>
      <w:r w:rsidR="00EF2B9D" w:rsidRPr="006A5E70">
        <w:rPr>
          <w:rFonts w:ascii="Times New Roman" w:hAnsi="Times New Roman" w:cs="Times New Roman"/>
          <w:sz w:val="24"/>
          <w:szCs w:val="24"/>
          <w:lang w:val="pt-BR"/>
        </w:rPr>
        <w:t>que permit</w:t>
      </w:r>
      <w:r>
        <w:rPr>
          <w:rFonts w:ascii="Times New Roman" w:hAnsi="Times New Roman" w:cs="Times New Roman"/>
          <w:sz w:val="24"/>
          <w:szCs w:val="24"/>
          <w:lang w:val="pt-BR"/>
        </w:rPr>
        <w:t>issem</w:t>
      </w:r>
      <w:r w:rsidR="00EF2B9D" w:rsidRPr="006A5E70">
        <w:rPr>
          <w:rFonts w:ascii="Times New Roman" w:hAnsi="Times New Roman" w:cs="Times New Roman"/>
          <w:sz w:val="24"/>
          <w:szCs w:val="24"/>
          <w:lang w:val="pt-BR"/>
        </w:rPr>
        <w:t xml:space="preserve"> observar as trocas do país com </w:t>
      </w:r>
      <w:r w:rsidR="00E53AA3" w:rsidRPr="006A5E70">
        <w:rPr>
          <w:rFonts w:ascii="Times New Roman" w:hAnsi="Times New Roman" w:cs="Times New Roman"/>
          <w:sz w:val="24"/>
          <w:szCs w:val="24"/>
          <w:lang w:val="pt-BR"/>
        </w:rPr>
        <w:t xml:space="preserve">cada um de </w:t>
      </w:r>
      <w:r w:rsidR="00EF2B9D" w:rsidRPr="006A5E70">
        <w:rPr>
          <w:rFonts w:ascii="Times New Roman" w:hAnsi="Times New Roman" w:cs="Times New Roman"/>
          <w:sz w:val="24"/>
          <w:szCs w:val="24"/>
          <w:lang w:val="pt-BR"/>
        </w:rPr>
        <w:t xml:space="preserve">seus </w:t>
      </w:r>
      <w:r w:rsidR="00DA14A2">
        <w:rPr>
          <w:rFonts w:ascii="Times New Roman" w:hAnsi="Times New Roman" w:cs="Times New Roman"/>
          <w:sz w:val="24"/>
          <w:szCs w:val="24"/>
          <w:lang w:val="pt-BR"/>
        </w:rPr>
        <w:t xml:space="preserve">principais </w:t>
      </w:r>
      <w:r w:rsidR="00EF2B9D" w:rsidRPr="006A5E70">
        <w:rPr>
          <w:rFonts w:ascii="Times New Roman" w:hAnsi="Times New Roman" w:cs="Times New Roman"/>
          <w:sz w:val="24"/>
          <w:szCs w:val="24"/>
          <w:lang w:val="pt-BR"/>
        </w:rPr>
        <w:t>parceiros comerciais</w:t>
      </w:r>
      <w:r w:rsidR="00DA14A2">
        <w:rPr>
          <w:rFonts w:ascii="Times New Roman" w:hAnsi="Times New Roman" w:cs="Times New Roman"/>
          <w:sz w:val="24"/>
          <w:szCs w:val="24"/>
          <w:lang w:val="pt-BR"/>
        </w:rPr>
        <w:t xml:space="preserve">, buscando entender se </w:t>
      </w:r>
      <w:r w:rsidR="00AD3F96">
        <w:rPr>
          <w:rFonts w:ascii="Times New Roman" w:hAnsi="Times New Roman" w:cs="Times New Roman"/>
          <w:sz w:val="24"/>
          <w:szCs w:val="24"/>
          <w:lang w:val="pt-BR"/>
        </w:rPr>
        <w:t xml:space="preserve">há </w:t>
      </w:r>
      <w:r w:rsidR="00DA14A2">
        <w:rPr>
          <w:rFonts w:ascii="Times New Roman" w:hAnsi="Times New Roman" w:cs="Times New Roman"/>
          <w:sz w:val="24"/>
          <w:szCs w:val="24"/>
          <w:lang w:val="pt-BR"/>
        </w:rPr>
        <w:t>concentração dos fluxos</w:t>
      </w:r>
      <w:r w:rsidR="00AD3F96">
        <w:rPr>
          <w:rFonts w:ascii="Times New Roman" w:hAnsi="Times New Roman" w:cs="Times New Roman"/>
          <w:sz w:val="24"/>
          <w:szCs w:val="24"/>
          <w:lang w:val="pt-BR"/>
        </w:rPr>
        <w:t xml:space="preserve">, se </w:t>
      </w:r>
      <w:r w:rsidR="00D6249B">
        <w:rPr>
          <w:rFonts w:ascii="Times New Roman" w:hAnsi="Times New Roman" w:cs="Times New Roman"/>
          <w:sz w:val="24"/>
          <w:szCs w:val="24"/>
          <w:lang w:val="pt-BR"/>
        </w:rPr>
        <w:t>os fluxos comerciais</w:t>
      </w:r>
      <w:r w:rsidR="00AD3F96">
        <w:rPr>
          <w:rFonts w:ascii="Times New Roman" w:hAnsi="Times New Roman" w:cs="Times New Roman"/>
          <w:sz w:val="24"/>
          <w:szCs w:val="24"/>
          <w:lang w:val="pt-BR"/>
        </w:rPr>
        <w:t xml:space="preserve"> se torna</w:t>
      </w:r>
      <w:r w:rsidR="00D6249B">
        <w:rPr>
          <w:rFonts w:ascii="Times New Roman" w:hAnsi="Times New Roman" w:cs="Times New Roman"/>
          <w:sz w:val="24"/>
          <w:szCs w:val="24"/>
          <w:lang w:val="pt-BR"/>
        </w:rPr>
        <w:t>m</w:t>
      </w:r>
      <w:r w:rsidR="00AD3F96">
        <w:rPr>
          <w:rFonts w:ascii="Times New Roman" w:hAnsi="Times New Roman" w:cs="Times New Roman"/>
          <w:sz w:val="24"/>
          <w:szCs w:val="24"/>
          <w:lang w:val="pt-BR"/>
        </w:rPr>
        <w:t xml:space="preserve"> mais ou menos concentrad</w:t>
      </w:r>
      <w:r w:rsidR="00D6249B">
        <w:rPr>
          <w:rFonts w:ascii="Times New Roman" w:hAnsi="Times New Roman" w:cs="Times New Roman"/>
          <w:sz w:val="24"/>
          <w:szCs w:val="24"/>
          <w:lang w:val="pt-BR"/>
        </w:rPr>
        <w:t>os</w:t>
      </w:r>
      <w:r w:rsidR="00AD3F96">
        <w:rPr>
          <w:rFonts w:ascii="Times New Roman" w:hAnsi="Times New Roman" w:cs="Times New Roman"/>
          <w:sz w:val="24"/>
          <w:szCs w:val="24"/>
          <w:lang w:val="pt-BR"/>
        </w:rPr>
        <w:t xml:space="preserve"> ao longo do tempo</w:t>
      </w:r>
      <w:r w:rsidR="00D6249B">
        <w:rPr>
          <w:rFonts w:ascii="Times New Roman" w:hAnsi="Times New Roman" w:cs="Times New Roman"/>
          <w:sz w:val="24"/>
          <w:szCs w:val="24"/>
          <w:lang w:val="pt-BR"/>
        </w:rPr>
        <w:t xml:space="preserve"> e se há mudança dos parceiros comerciais ao longo do tempo.</w:t>
      </w:r>
      <w:r>
        <w:rPr>
          <w:rFonts w:ascii="Times New Roman" w:hAnsi="Times New Roman" w:cs="Times New Roman"/>
          <w:sz w:val="24"/>
          <w:szCs w:val="24"/>
          <w:lang w:val="pt-BR"/>
        </w:rPr>
        <w:t xml:space="preserve"> </w:t>
      </w:r>
    </w:p>
    <w:p w14:paraId="29FE620A" w14:textId="32DE80E4" w:rsidR="006A5E70" w:rsidRDefault="00D6249B" w:rsidP="008B0E7D">
      <w:pPr>
        <w:spacing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Para a construção da amostra dos países a serem pesquisados elencamos os seguintes critérios para seleção da amostra</w:t>
      </w:r>
      <w:r w:rsidR="00E53AA3" w:rsidRPr="006A5E70">
        <w:rPr>
          <w:rFonts w:ascii="Times New Roman" w:hAnsi="Times New Roman" w:cs="Times New Roman"/>
          <w:sz w:val="24"/>
          <w:szCs w:val="24"/>
          <w:lang w:val="pt-BR"/>
        </w:rPr>
        <w:t>: 1)</w:t>
      </w:r>
      <w:r w:rsidR="00CB0FEA" w:rsidRPr="006A5E70">
        <w:rPr>
          <w:rFonts w:ascii="Times New Roman" w:hAnsi="Times New Roman" w:cs="Times New Roman"/>
          <w:sz w:val="24"/>
          <w:szCs w:val="24"/>
          <w:lang w:val="pt-BR"/>
        </w:rPr>
        <w:t xml:space="preserve"> </w:t>
      </w:r>
      <w:r>
        <w:rPr>
          <w:rFonts w:ascii="Times New Roman" w:hAnsi="Times New Roman" w:cs="Times New Roman"/>
          <w:sz w:val="24"/>
          <w:szCs w:val="24"/>
          <w:lang w:val="pt-BR"/>
        </w:rPr>
        <w:t>países</w:t>
      </w:r>
      <w:r w:rsidR="00CB0FEA" w:rsidRPr="006A5E70">
        <w:rPr>
          <w:rFonts w:ascii="Times New Roman" w:hAnsi="Times New Roman" w:cs="Times New Roman"/>
          <w:sz w:val="24"/>
          <w:szCs w:val="24"/>
          <w:lang w:val="pt-BR"/>
        </w:rPr>
        <w:t xml:space="preserve"> que concentram </w:t>
      </w:r>
      <w:r w:rsidR="00E53AA3" w:rsidRPr="006A5E70">
        <w:rPr>
          <w:rFonts w:ascii="Times New Roman" w:hAnsi="Times New Roman" w:cs="Times New Roman"/>
          <w:sz w:val="24"/>
          <w:szCs w:val="24"/>
          <w:lang w:val="pt-BR"/>
        </w:rPr>
        <w:t>a maior parte d</w:t>
      </w:r>
      <w:r w:rsidR="00CB0FEA" w:rsidRPr="006A5E70">
        <w:rPr>
          <w:rFonts w:ascii="Times New Roman" w:hAnsi="Times New Roman" w:cs="Times New Roman"/>
          <w:sz w:val="24"/>
          <w:szCs w:val="24"/>
          <w:lang w:val="pt-BR"/>
        </w:rPr>
        <w:t>os fluxos de trocas internacionais nas contas examinadas</w:t>
      </w:r>
      <w:r w:rsidR="00E53AA3" w:rsidRPr="006A5E70">
        <w:rPr>
          <w:rFonts w:ascii="Times New Roman" w:hAnsi="Times New Roman" w:cs="Times New Roman"/>
          <w:sz w:val="24"/>
          <w:szCs w:val="24"/>
          <w:lang w:val="pt-BR"/>
        </w:rPr>
        <w:t xml:space="preserve"> (c</w:t>
      </w:r>
      <w:r w:rsidR="00EF2B9D" w:rsidRPr="006A5E70">
        <w:rPr>
          <w:rFonts w:ascii="Times New Roman" w:hAnsi="Times New Roman" w:cs="Times New Roman"/>
          <w:sz w:val="24"/>
          <w:szCs w:val="24"/>
          <w:lang w:val="pt-BR"/>
        </w:rPr>
        <w:t xml:space="preserve">omo os fluxos destes tipos de trocas se provaram extremamente concentradas em poucos países, iremos focar em buscar dados nos 20 </w:t>
      </w:r>
      <w:r w:rsidR="00E53AA3" w:rsidRPr="006A5E70">
        <w:rPr>
          <w:rFonts w:ascii="Times New Roman" w:hAnsi="Times New Roman" w:cs="Times New Roman"/>
          <w:sz w:val="24"/>
          <w:szCs w:val="24"/>
          <w:lang w:val="pt-BR"/>
        </w:rPr>
        <w:t xml:space="preserve">primeiros </w:t>
      </w:r>
      <w:r w:rsidR="00EF2B9D" w:rsidRPr="006A5E70">
        <w:rPr>
          <w:rFonts w:ascii="Times New Roman" w:hAnsi="Times New Roman" w:cs="Times New Roman"/>
          <w:sz w:val="24"/>
          <w:szCs w:val="24"/>
          <w:lang w:val="pt-BR"/>
        </w:rPr>
        <w:t xml:space="preserve">países </w:t>
      </w:r>
      <w:r w:rsidR="00E53AA3" w:rsidRPr="006A5E70">
        <w:rPr>
          <w:rFonts w:ascii="Times New Roman" w:hAnsi="Times New Roman" w:cs="Times New Roman"/>
          <w:sz w:val="24"/>
          <w:szCs w:val="24"/>
          <w:lang w:val="pt-BR"/>
        </w:rPr>
        <w:t xml:space="preserve">com maior fluxo de trocas o </w:t>
      </w:r>
      <w:r>
        <w:rPr>
          <w:rFonts w:ascii="Times New Roman" w:hAnsi="Times New Roman" w:cs="Times New Roman"/>
          <w:sz w:val="24"/>
          <w:szCs w:val="24"/>
          <w:lang w:val="pt-BR"/>
        </w:rPr>
        <w:t xml:space="preserve">que </w:t>
      </w:r>
      <w:r w:rsidR="00E53AA3" w:rsidRPr="006A5E70">
        <w:rPr>
          <w:rFonts w:ascii="Times New Roman" w:hAnsi="Times New Roman" w:cs="Times New Roman"/>
          <w:sz w:val="24"/>
          <w:szCs w:val="24"/>
          <w:lang w:val="pt-BR"/>
        </w:rPr>
        <w:t>cobre cerca de 90% dos fluxos mundiais em cada conta); 2)</w:t>
      </w:r>
      <w:r w:rsidR="00EF2B9D" w:rsidRPr="006A5E70">
        <w:rPr>
          <w:rFonts w:ascii="Times New Roman" w:hAnsi="Times New Roman" w:cs="Times New Roman"/>
          <w:sz w:val="24"/>
          <w:szCs w:val="24"/>
          <w:lang w:val="pt-BR"/>
        </w:rPr>
        <w:t xml:space="preserve"> países ditos emergentes</w:t>
      </w:r>
      <w:r w:rsidR="00E53AA3" w:rsidRPr="006A5E70">
        <w:rPr>
          <w:rFonts w:ascii="Times New Roman" w:hAnsi="Times New Roman" w:cs="Times New Roman"/>
          <w:sz w:val="24"/>
          <w:szCs w:val="24"/>
          <w:lang w:val="pt-BR"/>
        </w:rPr>
        <w:t xml:space="preserve">, os quais foram selecionados de acordo com o livro “The </w:t>
      </w:r>
      <w:proofErr w:type="spellStart"/>
      <w:r w:rsidR="00E53AA3" w:rsidRPr="006A5E70">
        <w:rPr>
          <w:rFonts w:ascii="Times New Roman" w:hAnsi="Times New Roman" w:cs="Times New Roman"/>
          <w:sz w:val="24"/>
          <w:szCs w:val="24"/>
          <w:lang w:val="pt-BR"/>
        </w:rPr>
        <w:t>Rise</w:t>
      </w:r>
      <w:proofErr w:type="spellEnd"/>
      <w:r w:rsidR="00E53AA3" w:rsidRPr="006A5E70">
        <w:rPr>
          <w:rFonts w:ascii="Times New Roman" w:hAnsi="Times New Roman" w:cs="Times New Roman"/>
          <w:sz w:val="24"/>
          <w:szCs w:val="24"/>
          <w:lang w:val="pt-BR"/>
        </w:rPr>
        <w:t xml:space="preserve"> </w:t>
      </w:r>
      <w:proofErr w:type="spellStart"/>
      <w:r w:rsidR="00E53AA3" w:rsidRPr="006A5E70">
        <w:rPr>
          <w:rFonts w:ascii="Times New Roman" w:hAnsi="Times New Roman" w:cs="Times New Roman"/>
          <w:sz w:val="24"/>
          <w:szCs w:val="24"/>
          <w:lang w:val="pt-BR"/>
        </w:rPr>
        <w:t>of</w:t>
      </w:r>
      <w:proofErr w:type="spellEnd"/>
      <w:r w:rsidR="00E53AA3" w:rsidRPr="006A5E70">
        <w:rPr>
          <w:rFonts w:ascii="Times New Roman" w:hAnsi="Times New Roman" w:cs="Times New Roman"/>
          <w:sz w:val="24"/>
          <w:szCs w:val="24"/>
          <w:lang w:val="pt-BR"/>
        </w:rPr>
        <w:t xml:space="preserve"> The </w:t>
      </w:r>
      <w:proofErr w:type="spellStart"/>
      <w:r w:rsidR="00E53AA3" w:rsidRPr="006A5E70">
        <w:rPr>
          <w:rFonts w:ascii="Times New Roman" w:hAnsi="Times New Roman" w:cs="Times New Roman"/>
          <w:sz w:val="24"/>
          <w:szCs w:val="24"/>
          <w:lang w:val="pt-BR"/>
        </w:rPr>
        <w:t>Rest</w:t>
      </w:r>
      <w:proofErr w:type="spellEnd"/>
      <w:r w:rsidR="00E53AA3" w:rsidRPr="006A5E70">
        <w:rPr>
          <w:rFonts w:ascii="Times New Roman" w:hAnsi="Times New Roman" w:cs="Times New Roman"/>
          <w:sz w:val="24"/>
          <w:szCs w:val="24"/>
          <w:lang w:val="pt-BR"/>
        </w:rPr>
        <w:t xml:space="preserve">" da autora Alice H. </w:t>
      </w:r>
      <w:proofErr w:type="spellStart"/>
      <w:r w:rsidR="00E53AA3" w:rsidRPr="006A5E70">
        <w:rPr>
          <w:rFonts w:ascii="Times New Roman" w:hAnsi="Times New Roman" w:cs="Times New Roman"/>
          <w:sz w:val="24"/>
          <w:szCs w:val="24"/>
          <w:lang w:val="pt-BR"/>
        </w:rPr>
        <w:t>Amsden</w:t>
      </w:r>
      <w:proofErr w:type="spellEnd"/>
      <w:r w:rsidR="004604A1">
        <w:rPr>
          <w:rFonts w:ascii="Times New Roman" w:hAnsi="Times New Roman" w:cs="Times New Roman"/>
          <w:sz w:val="24"/>
          <w:szCs w:val="24"/>
          <w:lang w:val="pt-BR"/>
        </w:rPr>
        <w:t xml:space="preserve"> (2001)</w:t>
      </w:r>
      <w:r w:rsidR="00E53AA3" w:rsidRPr="006A5E70">
        <w:rPr>
          <w:rFonts w:ascii="Times New Roman" w:hAnsi="Times New Roman" w:cs="Times New Roman"/>
          <w:sz w:val="24"/>
          <w:szCs w:val="24"/>
          <w:lang w:val="pt-BR"/>
        </w:rPr>
        <w:t xml:space="preserve">; 3) </w:t>
      </w:r>
      <w:r w:rsidR="00BA6DEC" w:rsidRPr="006A5E70">
        <w:rPr>
          <w:rFonts w:ascii="Times New Roman" w:hAnsi="Times New Roman" w:cs="Times New Roman"/>
          <w:sz w:val="24"/>
          <w:szCs w:val="24"/>
          <w:lang w:val="pt-BR"/>
        </w:rPr>
        <w:t xml:space="preserve">e por fim os países do grupo dos BRICS, selecionados </w:t>
      </w:r>
      <w:r w:rsidR="00E53AA3" w:rsidRPr="006A5E70">
        <w:rPr>
          <w:rFonts w:ascii="Times New Roman" w:hAnsi="Times New Roman" w:cs="Times New Roman"/>
          <w:sz w:val="24"/>
          <w:szCs w:val="24"/>
          <w:lang w:val="pt-BR"/>
        </w:rPr>
        <w:t>com o objetivo secundário de escrever um estudo sobre o papel dos poderes emergentes (“</w:t>
      </w:r>
      <w:proofErr w:type="spellStart"/>
      <w:r w:rsidR="00E53AA3" w:rsidRPr="006A5E70">
        <w:rPr>
          <w:rFonts w:ascii="Times New Roman" w:hAnsi="Times New Roman" w:cs="Times New Roman"/>
          <w:sz w:val="24"/>
          <w:szCs w:val="24"/>
          <w:lang w:val="pt-BR"/>
        </w:rPr>
        <w:t>rising</w:t>
      </w:r>
      <w:proofErr w:type="spellEnd"/>
      <w:r w:rsidR="00E53AA3" w:rsidRPr="006A5E70">
        <w:rPr>
          <w:rFonts w:ascii="Times New Roman" w:hAnsi="Times New Roman" w:cs="Times New Roman"/>
          <w:sz w:val="24"/>
          <w:szCs w:val="24"/>
          <w:lang w:val="pt-BR"/>
        </w:rPr>
        <w:t xml:space="preserve"> </w:t>
      </w:r>
      <w:proofErr w:type="spellStart"/>
      <w:r w:rsidR="00E53AA3" w:rsidRPr="006A5E70">
        <w:rPr>
          <w:rFonts w:ascii="Times New Roman" w:hAnsi="Times New Roman" w:cs="Times New Roman"/>
          <w:sz w:val="24"/>
          <w:szCs w:val="24"/>
          <w:lang w:val="pt-BR"/>
        </w:rPr>
        <w:t>powers</w:t>
      </w:r>
      <w:proofErr w:type="spellEnd"/>
      <w:r w:rsidR="00E53AA3" w:rsidRPr="006A5E70">
        <w:rPr>
          <w:rFonts w:ascii="Times New Roman" w:hAnsi="Times New Roman" w:cs="Times New Roman"/>
          <w:sz w:val="24"/>
          <w:szCs w:val="24"/>
          <w:lang w:val="pt-BR"/>
        </w:rPr>
        <w:t>”)</w:t>
      </w:r>
      <w:r w:rsidR="006720E3">
        <w:rPr>
          <w:rFonts w:ascii="Times New Roman" w:hAnsi="Times New Roman" w:cs="Times New Roman"/>
          <w:sz w:val="24"/>
          <w:szCs w:val="24"/>
          <w:lang w:val="pt-BR"/>
        </w:rPr>
        <w:t xml:space="preserve"> no comércio relativo à PI</w:t>
      </w:r>
      <w:r w:rsidR="00E53AA3" w:rsidRPr="006A5E70">
        <w:rPr>
          <w:rFonts w:ascii="Times New Roman" w:hAnsi="Times New Roman" w:cs="Times New Roman"/>
          <w:sz w:val="24"/>
          <w:szCs w:val="24"/>
          <w:lang w:val="pt-BR"/>
        </w:rPr>
        <w:t xml:space="preserve">. </w:t>
      </w:r>
      <w:proofErr w:type="gramStart"/>
      <w:r w:rsidR="00E53AA3" w:rsidRPr="006A5E70">
        <w:rPr>
          <w:rFonts w:ascii="Times New Roman" w:hAnsi="Times New Roman" w:cs="Times New Roman"/>
          <w:sz w:val="24"/>
          <w:szCs w:val="24"/>
          <w:lang w:val="pt-BR"/>
        </w:rPr>
        <w:t>À</w:t>
      </w:r>
      <w:proofErr w:type="gramEnd"/>
      <w:r w:rsidR="00E53AA3" w:rsidRPr="006A5E70">
        <w:rPr>
          <w:rFonts w:ascii="Times New Roman" w:hAnsi="Times New Roman" w:cs="Times New Roman"/>
          <w:sz w:val="24"/>
          <w:szCs w:val="24"/>
          <w:lang w:val="pt-BR"/>
        </w:rPr>
        <w:t xml:space="preserve"> partir destes critérios montou-se uma amostra contendo </w:t>
      </w:r>
      <w:r w:rsidR="00502ACF" w:rsidRPr="006A5E70">
        <w:rPr>
          <w:rFonts w:ascii="Times New Roman" w:hAnsi="Times New Roman" w:cs="Times New Roman"/>
          <w:sz w:val="24"/>
          <w:szCs w:val="24"/>
          <w:lang w:val="pt-BR"/>
        </w:rPr>
        <w:t xml:space="preserve">30 países, sendo eles: Argentina, </w:t>
      </w:r>
      <w:proofErr w:type="spellStart"/>
      <w:r w:rsidR="00502ACF" w:rsidRPr="006A5E70">
        <w:rPr>
          <w:rFonts w:ascii="Times New Roman" w:hAnsi="Times New Roman" w:cs="Times New Roman"/>
          <w:sz w:val="24"/>
          <w:szCs w:val="24"/>
          <w:lang w:val="pt-BR"/>
        </w:rPr>
        <w:t>Australia</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Austria</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Belgium</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Brazil</w:t>
      </w:r>
      <w:proofErr w:type="spellEnd"/>
      <w:r w:rsidR="00502ACF" w:rsidRPr="006A5E70">
        <w:rPr>
          <w:rFonts w:ascii="Times New Roman" w:hAnsi="Times New Roman" w:cs="Times New Roman"/>
          <w:sz w:val="24"/>
          <w:szCs w:val="24"/>
          <w:lang w:val="pt-BR"/>
        </w:rPr>
        <w:t xml:space="preserve">, Canada, Chile, China, </w:t>
      </w:r>
      <w:proofErr w:type="spellStart"/>
      <w:r w:rsidR="00502ACF" w:rsidRPr="006A5E70">
        <w:rPr>
          <w:rFonts w:ascii="Times New Roman" w:hAnsi="Times New Roman" w:cs="Times New Roman"/>
          <w:sz w:val="24"/>
          <w:szCs w:val="24"/>
          <w:lang w:val="pt-BR"/>
        </w:rPr>
        <w:t>Denmark</w:t>
      </w:r>
      <w:proofErr w:type="spellEnd"/>
      <w:r w:rsidR="00502ACF" w:rsidRPr="006A5E70">
        <w:rPr>
          <w:rFonts w:ascii="Times New Roman" w:hAnsi="Times New Roman" w:cs="Times New Roman"/>
          <w:sz w:val="24"/>
          <w:szCs w:val="24"/>
          <w:lang w:val="pt-BR"/>
        </w:rPr>
        <w:t xml:space="preserve">, France, </w:t>
      </w:r>
      <w:proofErr w:type="spellStart"/>
      <w:r w:rsidR="00502ACF" w:rsidRPr="006A5E70">
        <w:rPr>
          <w:rFonts w:ascii="Times New Roman" w:hAnsi="Times New Roman" w:cs="Times New Roman"/>
          <w:sz w:val="24"/>
          <w:szCs w:val="24"/>
          <w:lang w:val="pt-BR"/>
        </w:rPr>
        <w:t>Germany</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India</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Indonesia</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Ireland</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Italy</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Japan</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Korea</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Malaysia</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Mexico</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Netherlands</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Russian</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Federation</w:t>
      </w:r>
      <w:proofErr w:type="spellEnd"/>
      <w:r w:rsidR="00502ACF" w:rsidRPr="006A5E70">
        <w:rPr>
          <w:rFonts w:ascii="Times New Roman" w:hAnsi="Times New Roman" w:cs="Times New Roman"/>
          <w:sz w:val="24"/>
          <w:szCs w:val="24"/>
          <w:lang w:val="pt-BR"/>
        </w:rPr>
        <w:t xml:space="preserve">, Singapore, South </w:t>
      </w:r>
      <w:proofErr w:type="spellStart"/>
      <w:r w:rsidR="00502ACF" w:rsidRPr="006A5E70">
        <w:rPr>
          <w:rFonts w:ascii="Times New Roman" w:hAnsi="Times New Roman" w:cs="Times New Roman"/>
          <w:sz w:val="24"/>
          <w:szCs w:val="24"/>
          <w:lang w:val="pt-BR"/>
        </w:rPr>
        <w:t>Africa</w:t>
      </w:r>
      <w:proofErr w:type="spellEnd"/>
      <w:r w:rsidR="00502ACF" w:rsidRPr="006A5E70">
        <w:rPr>
          <w:rFonts w:ascii="Times New Roman" w:hAnsi="Times New Roman" w:cs="Times New Roman"/>
          <w:sz w:val="24"/>
          <w:szCs w:val="24"/>
          <w:lang w:val="pt-BR"/>
        </w:rPr>
        <w:t xml:space="preserve">, Spain, </w:t>
      </w:r>
      <w:proofErr w:type="spellStart"/>
      <w:r w:rsidR="00502ACF" w:rsidRPr="006A5E70">
        <w:rPr>
          <w:rFonts w:ascii="Times New Roman" w:hAnsi="Times New Roman" w:cs="Times New Roman"/>
          <w:sz w:val="24"/>
          <w:szCs w:val="24"/>
          <w:lang w:val="pt-BR"/>
        </w:rPr>
        <w:t>Sweden</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Switzerland</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Thailand</w:t>
      </w:r>
      <w:proofErr w:type="spellEnd"/>
      <w:r w:rsidR="00502ACF" w:rsidRPr="006A5E70">
        <w:rPr>
          <w:rFonts w:ascii="Times New Roman" w:hAnsi="Times New Roman" w:cs="Times New Roman"/>
          <w:sz w:val="24"/>
          <w:szCs w:val="24"/>
          <w:lang w:val="pt-BR"/>
        </w:rPr>
        <w:t xml:space="preserve">, </w:t>
      </w:r>
      <w:proofErr w:type="spellStart"/>
      <w:r w:rsidR="00502ACF" w:rsidRPr="006A5E70">
        <w:rPr>
          <w:rFonts w:ascii="Times New Roman" w:hAnsi="Times New Roman" w:cs="Times New Roman"/>
          <w:sz w:val="24"/>
          <w:szCs w:val="24"/>
          <w:lang w:val="pt-BR"/>
        </w:rPr>
        <w:t>Turkey</w:t>
      </w:r>
      <w:proofErr w:type="spellEnd"/>
      <w:r w:rsidR="00502ACF" w:rsidRPr="006A5E70">
        <w:rPr>
          <w:rFonts w:ascii="Times New Roman" w:hAnsi="Times New Roman" w:cs="Times New Roman"/>
          <w:sz w:val="24"/>
          <w:szCs w:val="24"/>
          <w:lang w:val="pt-BR"/>
        </w:rPr>
        <w:t xml:space="preserve">, United </w:t>
      </w:r>
      <w:proofErr w:type="spellStart"/>
      <w:r w:rsidR="00502ACF" w:rsidRPr="006A5E70">
        <w:rPr>
          <w:rFonts w:ascii="Times New Roman" w:hAnsi="Times New Roman" w:cs="Times New Roman"/>
          <w:sz w:val="24"/>
          <w:szCs w:val="24"/>
          <w:lang w:val="pt-BR"/>
        </w:rPr>
        <w:t>Kingdom</w:t>
      </w:r>
      <w:proofErr w:type="spellEnd"/>
      <w:r w:rsidR="00502ACF" w:rsidRPr="006A5E70">
        <w:rPr>
          <w:rFonts w:ascii="Times New Roman" w:hAnsi="Times New Roman" w:cs="Times New Roman"/>
          <w:sz w:val="24"/>
          <w:szCs w:val="24"/>
          <w:lang w:val="pt-BR"/>
        </w:rPr>
        <w:t xml:space="preserve">, United </w:t>
      </w:r>
      <w:proofErr w:type="spellStart"/>
      <w:r w:rsidR="00502ACF" w:rsidRPr="006A5E70">
        <w:rPr>
          <w:rFonts w:ascii="Times New Roman" w:hAnsi="Times New Roman" w:cs="Times New Roman"/>
          <w:sz w:val="24"/>
          <w:szCs w:val="24"/>
          <w:lang w:val="pt-BR"/>
        </w:rPr>
        <w:t>States</w:t>
      </w:r>
      <w:proofErr w:type="spellEnd"/>
      <w:r w:rsidR="00502ACF" w:rsidRPr="006A5E70">
        <w:rPr>
          <w:rFonts w:ascii="Times New Roman" w:hAnsi="Times New Roman" w:cs="Times New Roman"/>
          <w:sz w:val="24"/>
          <w:szCs w:val="24"/>
          <w:lang w:val="pt-BR"/>
        </w:rPr>
        <w:t>.</w:t>
      </w:r>
      <w:r w:rsidR="00BA6DEC" w:rsidRPr="006A5E70">
        <w:rPr>
          <w:rFonts w:ascii="Times New Roman" w:hAnsi="Times New Roman" w:cs="Times New Roman"/>
          <w:sz w:val="24"/>
          <w:szCs w:val="24"/>
          <w:lang w:val="pt-BR"/>
        </w:rPr>
        <w:t xml:space="preserve"> </w:t>
      </w:r>
    </w:p>
    <w:p w14:paraId="0C975DDD" w14:textId="6CB205F5" w:rsidR="00CB0FEA" w:rsidRPr="006A5E70" w:rsidRDefault="00BA6DEC" w:rsidP="008B0E7D">
      <w:pPr>
        <w:spacing w:after="0" w:line="360" w:lineRule="auto"/>
        <w:ind w:firstLine="720"/>
        <w:jc w:val="both"/>
        <w:rPr>
          <w:rFonts w:ascii="Times New Roman" w:hAnsi="Times New Roman" w:cs="Times New Roman"/>
          <w:sz w:val="24"/>
          <w:szCs w:val="24"/>
          <w:lang w:val="pt-BR"/>
        </w:rPr>
      </w:pPr>
      <w:r w:rsidRPr="006A5E70">
        <w:rPr>
          <w:rFonts w:ascii="Times New Roman" w:hAnsi="Times New Roman" w:cs="Times New Roman"/>
          <w:sz w:val="24"/>
          <w:szCs w:val="24"/>
          <w:lang w:val="pt-BR"/>
        </w:rPr>
        <w:t>Neste momento</w:t>
      </w:r>
      <w:r w:rsidR="006720E3">
        <w:rPr>
          <w:rFonts w:ascii="Times New Roman" w:hAnsi="Times New Roman" w:cs="Times New Roman"/>
          <w:sz w:val="24"/>
          <w:szCs w:val="24"/>
          <w:lang w:val="pt-BR"/>
        </w:rPr>
        <w:t xml:space="preserve">, </w:t>
      </w:r>
      <w:proofErr w:type="gramStart"/>
      <w:r w:rsidR="006720E3">
        <w:rPr>
          <w:rFonts w:ascii="Times New Roman" w:hAnsi="Times New Roman" w:cs="Times New Roman"/>
          <w:sz w:val="24"/>
          <w:szCs w:val="24"/>
          <w:lang w:val="pt-BR"/>
        </w:rPr>
        <w:t>pós pesquisa</w:t>
      </w:r>
      <w:proofErr w:type="gramEnd"/>
      <w:r w:rsidR="006720E3">
        <w:rPr>
          <w:rFonts w:ascii="Times New Roman" w:hAnsi="Times New Roman" w:cs="Times New Roman"/>
          <w:sz w:val="24"/>
          <w:szCs w:val="24"/>
          <w:lang w:val="pt-BR"/>
        </w:rPr>
        <w:t xml:space="preserve"> na LSE,</w:t>
      </w:r>
      <w:r w:rsidRPr="006A5E70">
        <w:rPr>
          <w:rFonts w:ascii="Times New Roman" w:hAnsi="Times New Roman" w:cs="Times New Roman"/>
          <w:sz w:val="24"/>
          <w:szCs w:val="24"/>
          <w:lang w:val="pt-BR"/>
        </w:rPr>
        <w:t xml:space="preserve"> estamos procurando dados sobre as trocas bilater</w:t>
      </w:r>
      <w:r w:rsidR="00D6249B">
        <w:rPr>
          <w:rFonts w:ascii="Times New Roman" w:hAnsi="Times New Roman" w:cs="Times New Roman"/>
          <w:sz w:val="24"/>
          <w:szCs w:val="24"/>
          <w:lang w:val="pt-BR"/>
        </w:rPr>
        <w:t>a</w:t>
      </w:r>
      <w:r w:rsidRPr="006A5E70">
        <w:rPr>
          <w:rFonts w:ascii="Times New Roman" w:hAnsi="Times New Roman" w:cs="Times New Roman"/>
          <w:sz w:val="24"/>
          <w:szCs w:val="24"/>
          <w:lang w:val="pt-BR"/>
        </w:rPr>
        <w:t>is de cada país</w:t>
      </w:r>
      <w:r w:rsidR="006720E3">
        <w:rPr>
          <w:rFonts w:ascii="Times New Roman" w:hAnsi="Times New Roman" w:cs="Times New Roman"/>
          <w:sz w:val="24"/>
          <w:szCs w:val="24"/>
          <w:lang w:val="pt-BR"/>
        </w:rPr>
        <w:t xml:space="preserve"> em cada tipo de comércio selecionado</w:t>
      </w:r>
      <w:r w:rsidRPr="006A5E70">
        <w:rPr>
          <w:rFonts w:ascii="Times New Roman" w:hAnsi="Times New Roman" w:cs="Times New Roman"/>
          <w:sz w:val="24"/>
          <w:szCs w:val="24"/>
          <w:lang w:val="pt-BR"/>
        </w:rPr>
        <w:t xml:space="preserve">, em bases mais amplas (OCDE, </w:t>
      </w:r>
      <w:proofErr w:type="spellStart"/>
      <w:r w:rsidRPr="006A5E70">
        <w:rPr>
          <w:rFonts w:ascii="Times New Roman" w:hAnsi="Times New Roman" w:cs="Times New Roman"/>
          <w:sz w:val="24"/>
          <w:szCs w:val="24"/>
          <w:lang w:val="pt-BR"/>
        </w:rPr>
        <w:t>UNComtrade</w:t>
      </w:r>
      <w:proofErr w:type="spellEnd"/>
      <w:r w:rsidRPr="006A5E70">
        <w:rPr>
          <w:rFonts w:ascii="Times New Roman" w:hAnsi="Times New Roman" w:cs="Times New Roman"/>
          <w:sz w:val="24"/>
          <w:szCs w:val="24"/>
          <w:lang w:val="pt-BR"/>
        </w:rPr>
        <w:t>, Banco Mundial) e</w:t>
      </w:r>
      <w:r w:rsidR="006720E3">
        <w:rPr>
          <w:rFonts w:ascii="Times New Roman" w:hAnsi="Times New Roman" w:cs="Times New Roman"/>
          <w:sz w:val="24"/>
          <w:szCs w:val="24"/>
          <w:lang w:val="pt-BR"/>
        </w:rPr>
        <w:t>, principalmente,</w:t>
      </w:r>
      <w:r w:rsidRPr="006A5E70">
        <w:rPr>
          <w:rFonts w:ascii="Times New Roman" w:hAnsi="Times New Roman" w:cs="Times New Roman"/>
          <w:sz w:val="24"/>
          <w:szCs w:val="24"/>
          <w:lang w:val="pt-BR"/>
        </w:rPr>
        <w:t xml:space="preserve"> em bases </w:t>
      </w:r>
      <w:r w:rsidR="006720E3">
        <w:rPr>
          <w:rFonts w:ascii="Times New Roman" w:hAnsi="Times New Roman" w:cs="Times New Roman"/>
          <w:sz w:val="24"/>
          <w:szCs w:val="24"/>
          <w:lang w:val="pt-BR"/>
        </w:rPr>
        <w:t xml:space="preserve">de dados </w:t>
      </w:r>
      <w:r w:rsidRPr="006A5E70">
        <w:rPr>
          <w:rFonts w:ascii="Times New Roman" w:hAnsi="Times New Roman" w:cs="Times New Roman"/>
          <w:sz w:val="24"/>
          <w:szCs w:val="24"/>
          <w:lang w:val="pt-BR"/>
        </w:rPr>
        <w:t xml:space="preserve">nacionais (Bancos Centrais, institutos nacionais de estatística, </w:t>
      </w:r>
      <w:proofErr w:type="spellStart"/>
      <w:r w:rsidRPr="006A5E70">
        <w:rPr>
          <w:rFonts w:ascii="Times New Roman" w:hAnsi="Times New Roman" w:cs="Times New Roman"/>
          <w:sz w:val="24"/>
          <w:szCs w:val="24"/>
          <w:lang w:val="pt-BR"/>
        </w:rPr>
        <w:t>etc</w:t>
      </w:r>
      <w:proofErr w:type="spellEnd"/>
      <w:r w:rsidRPr="006A5E70">
        <w:rPr>
          <w:rFonts w:ascii="Times New Roman" w:hAnsi="Times New Roman" w:cs="Times New Roman"/>
          <w:sz w:val="24"/>
          <w:szCs w:val="24"/>
          <w:lang w:val="pt-BR"/>
        </w:rPr>
        <w:t>).</w:t>
      </w:r>
    </w:p>
    <w:p w14:paraId="3143D712" w14:textId="77777777" w:rsidR="00D6249B" w:rsidRDefault="00D6249B" w:rsidP="008B0E7D">
      <w:pPr>
        <w:spacing w:after="0" w:line="360" w:lineRule="auto"/>
        <w:jc w:val="both"/>
        <w:rPr>
          <w:rFonts w:ascii="Times New Roman" w:hAnsi="Times New Roman" w:cs="Times New Roman"/>
          <w:b/>
          <w:i/>
          <w:sz w:val="24"/>
          <w:szCs w:val="24"/>
          <w:lang w:val="pt-BR"/>
        </w:rPr>
      </w:pPr>
    </w:p>
    <w:p w14:paraId="25F8A75A" w14:textId="3BBBDE16" w:rsidR="00502ACF" w:rsidRPr="004604A1" w:rsidRDefault="00502ACF" w:rsidP="008B0E7D">
      <w:pPr>
        <w:spacing w:after="0" w:line="360" w:lineRule="auto"/>
        <w:jc w:val="both"/>
        <w:rPr>
          <w:rFonts w:ascii="Times New Roman" w:hAnsi="Times New Roman" w:cs="Times New Roman"/>
          <w:b/>
          <w:i/>
          <w:sz w:val="24"/>
          <w:szCs w:val="24"/>
          <w:lang w:val="pt-BR"/>
        </w:rPr>
      </w:pPr>
      <w:r w:rsidRPr="004604A1">
        <w:rPr>
          <w:rFonts w:ascii="Times New Roman" w:hAnsi="Times New Roman" w:cs="Times New Roman"/>
          <w:b/>
          <w:i/>
          <w:sz w:val="24"/>
          <w:szCs w:val="24"/>
          <w:lang w:val="pt-BR"/>
        </w:rPr>
        <w:t>Escrever o segundo relatório técnico com a metodologia de escolha dos países.</w:t>
      </w:r>
    </w:p>
    <w:p w14:paraId="4F38E6C9" w14:textId="643A25E9" w:rsidR="00502ACF" w:rsidRPr="003C6D45" w:rsidRDefault="00502ACF" w:rsidP="008B0E7D">
      <w:pPr>
        <w:spacing w:after="0" w:line="360" w:lineRule="auto"/>
        <w:ind w:firstLine="720"/>
        <w:jc w:val="both"/>
        <w:rPr>
          <w:rFonts w:ascii="Times New Roman" w:hAnsi="Times New Roman" w:cs="Times New Roman"/>
          <w:sz w:val="24"/>
          <w:szCs w:val="24"/>
          <w:lang w:val="pt-BR"/>
        </w:rPr>
      </w:pPr>
      <w:r w:rsidRPr="003C6D45">
        <w:rPr>
          <w:rFonts w:ascii="Times New Roman" w:hAnsi="Times New Roman" w:cs="Times New Roman"/>
          <w:sz w:val="24"/>
          <w:szCs w:val="24"/>
          <w:lang w:val="pt-BR"/>
        </w:rPr>
        <w:t>Julgamos não haver necessidade de escrever um novo relatório técnico</w:t>
      </w:r>
      <w:proofErr w:type="gramStart"/>
      <w:r w:rsidRPr="003C6D45">
        <w:rPr>
          <w:rFonts w:ascii="Times New Roman" w:hAnsi="Times New Roman" w:cs="Times New Roman"/>
          <w:sz w:val="24"/>
          <w:szCs w:val="24"/>
          <w:lang w:val="pt-BR"/>
        </w:rPr>
        <w:t xml:space="preserve"> pois</w:t>
      </w:r>
      <w:proofErr w:type="gramEnd"/>
      <w:r w:rsidRPr="003C6D45">
        <w:rPr>
          <w:rFonts w:ascii="Times New Roman" w:hAnsi="Times New Roman" w:cs="Times New Roman"/>
          <w:sz w:val="24"/>
          <w:szCs w:val="24"/>
          <w:lang w:val="pt-BR"/>
        </w:rPr>
        <w:t xml:space="preserve"> a escolha dos países foi realizada de acordo com critérios claros, simples e objetivos, conforme expostos </w:t>
      </w:r>
      <w:r w:rsidR="003C6D45">
        <w:rPr>
          <w:rFonts w:ascii="Times New Roman" w:hAnsi="Times New Roman" w:cs="Times New Roman"/>
          <w:sz w:val="24"/>
          <w:szCs w:val="24"/>
          <w:lang w:val="pt-BR"/>
        </w:rPr>
        <w:t>anteriormente</w:t>
      </w:r>
      <w:r w:rsidRPr="003C6D45">
        <w:rPr>
          <w:rFonts w:ascii="Times New Roman" w:hAnsi="Times New Roman" w:cs="Times New Roman"/>
          <w:sz w:val="24"/>
          <w:szCs w:val="24"/>
          <w:lang w:val="pt-BR"/>
        </w:rPr>
        <w:t xml:space="preserve">. </w:t>
      </w:r>
      <w:r w:rsidR="003C6D45">
        <w:rPr>
          <w:rFonts w:ascii="Times New Roman" w:hAnsi="Times New Roman" w:cs="Times New Roman"/>
          <w:sz w:val="24"/>
          <w:szCs w:val="24"/>
          <w:lang w:val="pt-BR"/>
        </w:rPr>
        <w:t xml:space="preserve">Julgamos que os </w:t>
      </w:r>
      <w:r w:rsidRPr="003C6D45">
        <w:rPr>
          <w:rFonts w:ascii="Times New Roman" w:hAnsi="Times New Roman" w:cs="Times New Roman"/>
          <w:sz w:val="24"/>
          <w:szCs w:val="24"/>
          <w:lang w:val="pt-BR"/>
        </w:rPr>
        <w:t xml:space="preserve">critérios </w:t>
      </w:r>
      <w:r w:rsidR="003C6D45">
        <w:rPr>
          <w:rFonts w:ascii="Times New Roman" w:hAnsi="Times New Roman" w:cs="Times New Roman"/>
          <w:sz w:val="24"/>
          <w:szCs w:val="24"/>
          <w:lang w:val="pt-BR"/>
        </w:rPr>
        <w:t>escolhidos basta</w:t>
      </w:r>
      <w:r w:rsidR="0015487B">
        <w:rPr>
          <w:rFonts w:ascii="Times New Roman" w:hAnsi="Times New Roman" w:cs="Times New Roman"/>
          <w:sz w:val="24"/>
          <w:szCs w:val="24"/>
          <w:lang w:val="pt-BR"/>
        </w:rPr>
        <w:t>ra</w:t>
      </w:r>
      <w:r w:rsidR="003C6D45">
        <w:rPr>
          <w:rFonts w:ascii="Times New Roman" w:hAnsi="Times New Roman" w:cs="Times New Roman"/>
          <w:sz w:val="24"/>
          <w:szCs w:val="24"/>
          <w:lang w:val="pt-BR"/>
        </w:rPr>
        <w:t xml:space="preserve">m para justificar a escolha da amostra </w:t>
      </w:r>
      <w:r w:rsidRPr="003C6D45">
        <w:rPr>
          <w:rFonts w:ascii="Times New Roman" w:hAnsi="Times New Roman" w:cs="Times New Roman"/>
          <w:sz w:val="24"/>
          <w:szCs w:val="24"/>
          <w:lang w:val="pt-BR"/>
        </w:rPr>
        <w:t xml:space="preserve">na elaboração de artigos e </w:t>
      </w:r>
      <w:r w:rsidR="003C6D45">
        <w:rPr>
          <w:rFonts w:ascii="Times New Roman" w:hAnsi="Times New Roman" w:cs="Times New Roman"/>
          <w:sz w:val="24"/>
          <w:szCs w:val="24"/>
          <w:lang w:val="pt-BR"/>
        </w:rPr>
        <w:t xml:space="preserve">relatórios derivados desta pesquisa. </w:t>
      </w:r>
    </w:p>
    <w:p w14:paraId="54FA849C" w14:textId="27292C5D" w:rsidR="00BA6DEC" w:rsidRDefault="00BA6DEC" w:rsidP="008B0E7D">
      <w:pPr>
        <w:spacing w:after="0" w:line="360" w:lineRule="auto"/>
        <w:jc w:val="both"/>
        <w:rPr>
          <w:rFonts w:ascii="Times New Roman" w:hAnsi="Times New Roman" w:cs="Times New Roman"/>
          <w:b/>
          <w:sz w:val="24"/>
          <w:szCs w:val="24"/>
          <w:lang w:val="pt-BR"/>
        </w:rPr>
      </w:pPr>
    </w:p>
    <w:p w14:paraId="7197BAD5" w14:textId="5CBAE795" w:rsidR="00FE3562" w:rsidRPr="004604A1" w:rsidRDefault="00FE3562" w:rsidP="008B0E7D">
      <w:pPr>
        <w:spacing w:after="0" w:line="360" w:lineRule="auto"/>
        <w:jc w:val="both"/>
        <w:rPr>
          <w:rFonts w:ascii="Times New Roman" w:hAnsi="Times New Roman" w:cs="Times New Roman"/>
          <w:b/>
          <w:i/>
          <w:sz w:val="24"/>
          <w:szCs w:val="24"/>
          <w:lang w:val="pt-BR"/>
        </w:rPr>
      </w:pPr>
      <w:r w:rsidRPr="004604A1">
        <w:rPr>
          <w:rFonts w:ascii="Times New Roman" w:hAnsi="Times New Roman" w:cs="Times New Roman"/>
          <w:b/>
          <w:i/>
          <w:sz w:val="24"/>
          <w:szCs w:val="24"/>
          <w:lang w:val="pt-BR"/>
        </w:rPr>
        <w:t>Redação de dois artigos sobre a pesquisa.</w:t>
      </w:r>
    </w:p>
    <w:p w14:paraId="03B583EC" w14:textId="1BB5C7EB" w:rsidR="00FE3562" w:rsidRDefault="00FE3562" w:rsidP="008B0E7D">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ab/>
        <w:t xml:space="preserve">O primeiro artigo </w:t>
      </w:r>
      <w:r w:rsidR="004604A1">
        <w:rPr>
          <w:rFonts w:ascii="Times New Roman" w:hAnsi="Times New Roman" w:cs="Times New Roman"/>
          <w:sz w:val="24"/>
          <w:szCs w:val="24"/>
          <w:lang w:val="pt-BR"/>
        </w:rPr>
        <w:t>(</w:t>
      </w:r>
      <w:r w:rsidR="004604A1" w:rsidRPr="004604A1">
        <w:rPr>
          <w:rFonts w:ascii="Times New Roman" w:hAnsi="Times New Roman" w:cs="Times New Roman"/>
          <w:b/>
          <w:sz w:val="24"/>
          <w:szCs w:val="24"/>
          <w:lang w:val="pt-BR"/>
        </w:rPr>
        <w:t xml:space="preserve">anexo </w:t>
      </w:r>
      <w:proofErr w:type="gramStart"/>
      <w:r w:rsidR="004604A1" w:rsidRPr="004604A1">
        <w:rPr>
          <w:rFonts w:ascii="Times New Roman" w:hAnsi="Times New Roman" w:cs="Times New Roman"/>
          <w:b/>
          <w:sz w:val="24"/>
          <w:szCs w:val="24"/>
          <w:lang w:val="pt-BR"/>
        </w:rPr>
        <w:t>2</w:t>
      </w:r>
      <w:proofErr w:type="gramEnd"/>
      <w:r w:rsidR="004604A1">
        <w:rPr>
          <w:rFonts w:ascii="Times New Roman" w:hAnsi="Times New Roman" w:cs="Times New Roman"/>
          <w:sz w:val="24"/>
          <w:szCs w:val="24"/>
          <w:lang w:val="pt-BR"/>
        </w:rPr>
        <w:t xml:space="preserve">) </w:t>
      </w:r>
      <w:r>
        <w:rPr>
          <w:rFonts w:ascii="Times New Roman" w:hAnsi="Times New Roman" w:cs="Times New Roman"/>
          <w:sz w:val="24"/>
          <w:szCs w:val="24"/>
          <w:lang w:val="pt-BR"/>
        </w:rPr>
        <w:t>intitulado “</w:t>
      </w:r>
      <w:r w:rsidRPr="00FE3562">
        <w:rPr>
          <w:rFonts w:ascii="Times New Roman" w:hAnsi="Times New Roman" w:cs="Times New Roman"/>
          <w:sz w:val="24"/>
          <w:szCs w:val="24"/>
          <w:lang w:val="pt-BR"/>
        </w:rPr>
        <w:t>Cross-</w:t>
      </w:r>
      <w:proofErr w:type="spellStart"/>
      <w:r w:rsidRPr="00FE3562">
        <w:rPr>
          <w:rFonts w:ascii="Times New Roman" w:hAnsi="Times New Roman" w:cs="Times New Roman"/>
          <w:sz w:val="24"/>
          <w:szCs w:val="24"/>
          <w:lang w:val="pt-BR"/>
        </w:rPr>
        <w:t>border</w:t>
      </w:r>
      <w:proofErr w:type="spellEnd"/>
      <w:r w:rsidR="00722D73"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flows</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of</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goods</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and</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services</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associated</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with</w:t>
      </w:r>
      <w:proofErr w:type="spellEnd"/>
      <w:r w:rsidR="00722D73"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intellectual</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property</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highlighting</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the</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asymmetries</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among</w:t>
      </w:r>
      <w:proofErr w:type="spellEnd"/>
      <w:r w:rsidRPr="00FE3562">
        <w:rPr>
          <w:rFonts w:ascii="Times New Roman" w:hAnsi="Times New Roman" w:cs="Times New Roman"/>
          <w:sz w:val="24"/>
          <w:szCs w:val="24"/>
          <w:lang w:val="pt-BR"/>
        </w:rPr>
        <w:t xml:space="preserve"> countries </w:t>
      </w:r>
      <w:proofErr w:type="spellStart"/>
      <w:r w:rsidRPr="00FE3562">
        <w:rPr>
          <w:rFonts w:ascii="Times New Roman" w:hAnsi="Times New Roman" w:cs="Times New Roman"/>
          <w:sz w:val="24"/>
          <w:szCs w:val="24"/>
          <w:lang w:val="pt-BR"/>
        </w:rPr>
        <w:t>and</w:t>
      </w:r>
      <w:proofErr w:type="spellEnd"/>
      <w:r w:rsidRPr="00FE3562">
        <w:rPr>
          <w:rFonts w:ascii="Times New Roman" w:hAnsi="Times New Roman" w:cs="Times New Roman"/>
          <w:sz w:val="24"/>
          <w:szCs w:val="24"/>
          <w:lang w:val="pt-BR"/>
        </w:rPr>
        <w:t xml:space="preserve"> </w:t>
      </w:r>
      <w:proofErr w:type="spellStart"/>
      <w:r w:rsidRPr="00FE3562">
        <w:rPr>
          <w:rFonts w:ascii="Times New Roman" w:hAnsi="Times New Roman" w:cs="Times New Roman"/>
          <w:sz w:val="24"/>
          <w:szCs w:val="24"/>
          <w:lang w:val="pt-BR"/>
        </w:rPr>
        <w:t>regions</w:t>
      </w:r>
      <w:proofErr w:type="spellEnd"/>
      <w:r>
        <w:rPr>
          <w:rFonts w:ascii="Times New Roman" w:hAnsi="Times New Roman" w:cs="Times New Roman"/>
          <w:sz w:val="24"/>
          <w:szCs w:val="24"/>
          <w:lang w:val="pt-BR"/>
        </w:rPr>
        <w:t xml:space="preserve">” está sendo elaborado em colaboração com o supervisor desta pesquisa na LSE, o professor </w:t>
      </w:r>
      <w:r w:rsidRPr="00FE3562">
        <w:rPr>
          <w:rFonts w:ascii="Times New Roman" w:hAnsi="Times New Roman" w:cs="Times New Roman"/>
          <w:sz w:val="24"/>
          <w:szCs w:val="24"/>
          <w:lang w:val="pt-BR"/>
        </w:rPr>
        <w:t xml:space="preserve">Kenneth C. </w:t>
      </w:r>
      <w:proofErr w:type="spellStart"/>
      <w:r w:rsidRPr="00FE3562">
        <w:rPr>
          <w:rFonts w:ascii="Times New Roman" w:hAnsi="Times New Roman" w:cs="Times New Roman"/>
          <w:sz w:val="24"/>
          <w:szCs w:val="24"/>
          <w:lang w:val="pt-BR"/>
        </w:rPr>
        <w:t>Shadlen</w:t>
      </w:r>
      <w:proofErr w:type="spellEnd"/>
      <w:r>
        <w:rPr>
          <w:rFonts w:ascii="Times New Roman" w:hAnsi="Times New Roman" w:cs="Times New Roman"/>
          <w:sz w:val="24"/>
          <w:szCs w:val="24"/>
          <w:lang w:val="pt-BR"/>
        </w:rPr>
        <w:t xml:space="preserve"> e deverá ser submetid</w:t>
      </w:r>
      <w:r w:rsidR="004604A1">
        <w:rPr>
          <w:rFonts w:ascii="Times New Roman" w:hAnsi="Times New Roman" w:cs="Times New Roman"/>
          <w:sz w:val="24"/>
          <w:szCs w:val="24"/>
          <w:lang w:val="pt-BR"/>
        </w:rPr>
        <w:t>o</w:t>
      </w:r>
      <w:r>
        <w:rPr>
          <w:rFonts w:ascii="Times New Roman" w:hAnsi="Times New Roman" w:cs="Times New Roman"/>
          <w:sz w:val="24"/>
          <w:szCs w:val="24"/>
          <w:lang w:val="pt-BR"/>
        </w:rPr>
        <w:t xml:space="preserve"> para a revista </w:t>
      </w:r>
      <w:proofErr w:type="spellStart"/>
      <w:r w:rsidRPr="00FE3562">
        <w:rPr>
          <w:rFonts w:ascii="Times New Roman" w:hAnsi="Times New Roman" w:cs="Times New Roman"/>
          <w:sz w:val="24"/>
          <w:szCs w:val="24"/>
          <w:lang w:val="pt-BR"/>
        </w:rPr>
        <w:t>I</w:t>
      </w:r>
      <w:r w:rsidR="004604A1">
        <w:rPr>
          <w:rFonts w:ascii="Times New Roman" w:hAnsi="Times New Roman" w:cs="Times New Roman"/>
          <w:sz w:val="24"/>
          <w:szCs w:val="24"/>
          <w:lang w:val="pt-BR"/>
        </w:rPr>
        <w:t>nternational</w:t>
      </w:r>
      <w:proofErr w:type="spellEnd"/>
      <w:r w:rsidR="004604A1">
        <w:rPr>
          <w:rFonts w:ascii="Times New Roman" w:hAnsi="Times New Roman" w:cs="Times New Roman"/>
          <w:sz w:val="24"/>
          <w:szCs w:val="24"/>
          <w:lang w:val="pt-BR"/>
        </w:rPr>
        <w:t xml:space="preserve"> </w:t>
      </w:r>
      <w:proofErr w:type="spellStart"/>
      <w:r w:rsidR="004604A1">
        <w:rPr>
          <w:rFonts w:ascii="Times New Roman" w:hAnsi="Times New Roman" w:cs="Times New Roman"/>
          <w:sz w:val="24"/>
          <w:szCs w:val="24"/>
          <w:lang w:val="pt-BR"/>
        </w:rPr>
        <w:t>Journal</w:t>
      </w:r>
      <w:proofErr w:type="spellEnd"/>
      <w:r w:rsidR="004604A1">
        <w:rPr>
          <w:rFonts w:ascii="Times New Roman" w:hAnsi="Times New Roman" w:cs="Times New Roman"/>
          <w:sz w:val="24"/>
          <w:szCs w:val="24"/>
          <w:lang w:val="pt-BR"/>
        </w:rPr>
        <w:t xml:space="preserve"> </w:t>
      </w:r>
      <w:proofErr w:type="spellStart"/>
      <w:r w:rsidR="004604A1">
        <w:rPr>
          <w:rFonts w:ascii="Times New Roman" w:hAnsi="Times New Roman" w:cs="Times New Roman"/>
          <w:sz w:val="24"/>
          <w:szCs w:val="24"/>
          <w:lang w:val="pt-BR"/>
        </w:rPr>
        <w:t>of</w:t>
      </w:r>
      <w:proofErr w:type="spellEnd"/>
      <w:r w:rsidR="004604A1">
        <w:rPr>
          <w:rFonts w:ascii="Times New Roman" w:hAnsi="Times New Roman" w:cs="Times New Roman"/>
          <w:sz w:val="24"/>
          <w:szCs w:val="24"/>
          <w:lang w:val="pt-BR"/>
        </w:rPr>
        <w:t xml:space="preserve"> </w:t>
      </w:r>
      <w:proofErr w:type="spellStart"/>
      <w:r w:rsidR="004604A1">
        <w:rPr>
          <w:rFonts w:ascii="Times New Roman" w:hAnsi="Times New Roman" w:cs="Times New Roman"/>
          <w:sz w:val="24"/>
          <w:szCs w:val="24"/>
          <w:lang w:val="pt-BR"/>
        </w:rPr>
        <w:t>Political</w:t>
      </w:r>
      <w:proofErr w:type="spellEnd"/>
      <w:r w:rsidR="004604A1">
        <w:rPr>
          <w:rFonts w:ascii="Times New Roman" w:hAnsi="Times New Roman" w:cs="Times New Roman"/>
          <w:sz w:val="24"/>
          <w:szCs w:val="24"/>
          <w:lang w:val="pt-BR"/>
        </w:rPr>
        <w:t xml:space="preserve"> </w:t>
      </w:r>
      <w:proofErr w:type="spellStart"/>
      <w:r w:rsidR="004604A1">
        <w:rPr>
          <w:rFonts w:ascii="Times New Roman" w:hAnsi="Times New Roman" w:cs="Times New Roman"/>
          <w:sz w:val="24"/>
          <w:szCs w:val="24"/>
          <w:lang w:val="pt-BR"/>
        </w:rPr>
        <w:t>Economy</w:t>
      </w:r>
      <w:proofErr w:type="spellEnd"/>
      <w:r w:rsidR="004604A1">
        <w:rPr>
          <w:rFonts w:ascii="Times New Roman" w:hAnsi="Times New Roman" w:cs="Times New Roman"/>
          <w:sz w:val="24"/>
          <w:szCs w:val="24"/>
          <w:lang w:val="pt-BR"/>
        </w:rPr>
        <w:t xml:space="preserve"> </w:t>
      </w:r>
      <w:r>
        <w:rPr>
          <w:rFonts w:ascii="Times New Roman" w:hAnsi="Times New Roman" w:cs="Times New Roman"/>
          <w:sz w:val="24"/>
          <w:szCs w:val="24"/>
          <w:lang w:val="pt-BR"/>
        </w:rPr>
        <w:t>ainda no mês de Outubro de 2018.</w:t>
      </w:r>
    </w:p>
    <w:p w14:paraId="09532A21" w14:textId="63D979C8" w:rsidR="00FE3562" w:rsidRDefault="00FE3562" w:rsidP="008B0E7D">
      <w:pPr>
        <w:spacing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segundo artigo está em sua fase inicial de elaboração </w:t>
      </w:r>
      <w:r w:rsidR="004604A1">
        <w:rPr>
          <w:rFonts w:ascii="Times New Roman" w:hAnsi="Times New Roman" w:cs="Times New Roman"/>
          <w:sz w:val="24"/>
          <w:szCs w:val="24"/>
          <w:lang w:val="pt-BR"/>
        </w:rPr>
        <w:t xml:space="preserve">e </w:t>
      </w:r>
      <w:r>
        <w:rPr>
          <w:rFonts w:ascii="Times New Roman" w:hAnsi="Times New Roman" w:cs="Times New Roman"/>
          <w:sz w:val="24"/>
          <w:szCs w:val="24"/>
          <w:lang w:val="pt-BR"/>
        </w:rPr>
        <w:t>utiliza os dados relativos ao preço por quilo dos medicamentos</w:t>
      </w:r>
      <w:r w:rsidR="004604A1">
        <w:rPr>
          <w:rFonts w:ascii="Times New Roman" w:hAnsi="Times New Roman" w:cs="Times New Roman"/>
          <w:sz w:val="24"/>
          <w:szCs w:val="24"/>
          <w:lang w:val="pt-BR"/>
        </w:rPr>
        <w:t xml:space="preserve">. O objetivo é </w:t>
      </w:r>
      <w:r>
        <w:rPr>
          <w:rFonts w:ascii="Times New Roman" w:hAnsi="Times New Roman" w:cs="Times New Roman"/>
          <w:sz w:val="24"/>
          <w:szCs w:val="24"/>
          <w:lang w:val="pt-BR"/>
        </w:rPr>
        <w:t>correlacion</w:t>
      </w:r>
      <w:r w:rsidR="004604A1">
        <w:rPr>
          <w:rFonts w:ascii="Times New Roman" w:hAnsi="Times New Roman" w:cs="Times New Roman"/>
          <w:sz w:val="24"/>
          <w:szCs w:val="24"/>
          <w:lang w:val="pt-BR"/>
        </w:rPr>
        <w:t xml:space="preserve">ar estes dados </w:t>
      </w:r>
      <w:r>
        <w:rPr>
          <w:rFonts w:ascii="Times New Roman" w:hAnsi="Times New Roman" w:cs="Times New Roman"/>
          <w:sz w:val="24"/>
          <w:szCs w:val="24"/>
          <w:lang w:val="pt-BR"/>
        </w:rPr>
        <w:t xml:space="preserve">com os </w:t>
      </w:r>
      <w:r w:rsidR="004604A1">
        <w:rPr>
          <w:rFonts w:ascii="Times New Roman" w:hAnsi="Times New Roman" w:cs="Times New Roman"/>
          <w:sz w:val="24"/>
          <w:szCs w:val="24"/>
          <w:lang w:val="pt-BR"/>
        </w:rPr>
        <w:t xml:space="preserve">dados sobre os </w:t>
      </w:r>
      <w:r>
        <w:rPr>
          <w:rFonts w:ascii="Times New Roman" w:hAnsi="Times New Roman" w:cs="Times New Roman"/>
          <w:sz w:val="24"/>
          <w:szCs w:val="24"/>
          <w:lang w:val="pt-BR"/>
        </w:rPr>
        <w:t xml:space="preserve">níveis de proteção de PI de cada país. </w:t>
      </w:r>
      <w:r w:rsidR="004604A1">
        <w:rPr>
          <w:rFonts w:ascii="Times New Roman" w:hAnsi="Times New Roman" w:cs="Times New Roman"/>
          <w:sz w:val="24"/>
          <w:szCs w:val="24"/>
          <w:lang w:val="pt-BR"/>
        </w:rPr>
        <w:t>Embora já tenha ocorrido diversos encontros</w:t>
      </w:r>
      <w:r w:rsidR="00E227DE">
        <w:rPr>
          <w:rFonts w:ascii="Times New Roman" w:hAnsi="Times New Roman" w:cs="Times New Roman"/>
          <w:sz w:val="24"/>
          <w:szCs w:val="24"/>
          <w:lang w:val="pt-BR"/>
        </w:rPr>
        <w:t xml:space="preserve"> com o professor</w:t>
      </w:r>
      <w:proofErr w:type="gramStart"/>
      <w:r w:rsidR="00E227DE">
        <w:rPr>
          <w:rFonts w:ascii="Times New Roman" w:hAnsi="Times New Roman" w:cs="Times New Roman"/>
          <w:sz w:val="24"/>
          <w:szCs w:val="24"/>
          <w:lang w:val="pt-BR"/>
        </w:rPr>
        <w:t xml:space="preserve"> </w:t>
      </w:r>
      <w:r w:rsidR="004604A1">
        <w:rPr>
          <w:rFonts w:ascii="Times New Roman" w:hAnsi="Times New Roman" w:cs="Times New Roman"/>
          <w:sz w:val="24"/>
          <w:szCs w:val="24"/>
          <w:lang w:val="pt-BR"/>
        </w:rPr>
        <w:t xml:space="preserve"> </w:t>
      </w:r>
      <w:proofErr w:type="gramEnd"/>
      <w:r w:rsidR="00E227DE" w:rsidRPr="00FE3562">
        <w:rPr>
          <w:rFonts w:ascii="Times New Roman" w:hAnsi="Times New Roman" w:cs="Times New Roman"/>
          <w:sz w:val="24"/>
          <w:szCs w:val="24"/>
          <w:lang w:val="pt-BR"/>
        </w:rPr>
        <w:t xml:space="preserve">Kenneth C. </w:t>
      </w:r>
      <w:proofErr w:type="spellStart"/>
      <w:r w:rsidR="00E227DE" w:rsidRPr="00FE3562">
        <w:rPr>
          <w:rFonts w:ascii="Times New Roman" w:hAnsi="Times New Roman" w:cs="Times New Roman"/>
          <w:sz w:val="24"/>
          <w:szCs w:val="24"/>
          <w:lang w:val="pt-BR"/>
        </w:rPr>
        <w:t>Shadlen</w:t>
      </w:r>
      <w:proofErr w:type="spellEnd"/>
      <w:r w:rsidR="00E227DE">
        <w:rPr>
          <w:rFonts w:ascii="Times New Roman" w:hAnsi="Times New Roman" w:cs="Times New Roman"/>
          <w:sz w:val="24"/>
          <w:szCs w:val="24"/>
          <w:lang w:val="pt-BR"/>
        </w:rPr>
        <w:t xml:space="preserve"> </w:t>
      </w:r>
      <w:r w:rsidR="004604A1">
        <w:rPr>
          <w:rFonts w:ascii="Times New Roman" w:hAnsi="Times New Roman" w:cs="Times New Roman"/>
          <w:sz w:val="24"/>
          <w:szCs w:val="24"/>
          <w:lang w:val="pt-BR"/>
        </w:rPr>
        <w:t xml:space="preserve">para a discussão </w:t>
      </w:r>
      <w:r w:rsidR="00E227DE">
        <w:rPr>
          <w:rFonts w:ascii="Times New Roman" w:hAnsi="Times New Roman" w:cs="Times New Roman"/>
          <w:sz w:val="24"/>
          <w:szCs w:val="24"/>
          <w:lang w:val="pt-BR"/>
        </w:rPr>
        <w:t xml:space="preserve">e elaboração </w:t>
      </w:r>
      <w:proofErr w:type="spellStart"/>
      <w:r w:rsidR="00E227DE">
        <w:rPr>
          <w:rFonts w:ascii="Times New Roman" w:hAnsi="Times New Roman" w:cs="Times New Roman"/>
          <w:sz w:val="24"/>
          <w:szCs w:val="24"/>
          <w:lang w:val="pt-BR"/>
        </w:rPr>
        <w:t>incial</w:t>
      </w:r>
      <w:proofErr w:type="spellEnd"/>
      <w:r w:rsidR="00E227DE">
        <w:rPr>
          <w:rFonts w:ascii="Times New Roman" w:hAnsi="Times New Roman" w:cs="Times New Roman"/>
          <w:sz w:val="24"/>
          <w:szCs w:val="24"/>
          <w:lang w:val="pt-BR"/>
        </w:rPr>
        <w:t xml:space="preserve"> </w:t>
      </w:r>
      <w:r w:rsidR="004604A1">
        <w:rPr>
          <w:rFonts w:ascii="Times New Roman" w:hAnsi="Times New Roman" w:cs="Times New Roman"/>
          <w:sz w:val="24"/>
          <w:szCs w:val="24"/>
          <w:lang w:val="pt-BR"/>
        </w:rPr>
        <w:t>deste artigo, o</w:t>
      </w:r>
      <w:r>
        <w:rPr>
          <w:rFonts w:ascii="Times New Roman" w:hAnsi="Times New Roman" w:cs="Times New Roman"/>
          <w:sz w:val="24"/>
          <w:szCs w:val="24"/>
          <w:lang w:val="pt-BR"/>
        </w:rPr>
        <w:t xml:space="preserve"> artigo </w:t>
      </w:r>
      <w:r w:rsidR="004604A1">
        <w:rPr>
          <w:rFonts w:ascii="Times New Roman" w:hAnsi="Times New Roman" w:cs="Times New Roman"/>
          <w:sz w:val="24"/>
          <w:szCs w:val="24"/>
          <w:lang w:val="pt-BR"/>
        </w:rPr>
        <w:t>em si ainda está em sua fase inicial de elaboração</w:t>
      </w:r>
      <w:r w:rsidR="00E227DE">
        <w:rPr>
          <w:rFonts w:ascii="Times New Roman" w:hAnsi="Times New Roman" w:cs="Times New Roman"/>
          <w:sz w:val="24"/>
          <w:szCs w:val="24"/>
          <w:lang w:val="pt-BR"/>
        </w:rPr>
        <w:t>. Ainda não</w:t>
      </w:r>
      <w:r>
        <w:rPr>
          <w:rFonts w:ascii="Times New Roman" w:hAnsi="Times New Roman" w:cs="Times New Roman"/>
          <w:sz w:val="24"/>
          <w:szCs w:val="24"/>
          <w:lang w:val="pt-BR"/>
        </w:rPr>
        <w:t xml:space="preserve"> definimos a revista para qual devemos submetê-lo. </w:t>
      </w:r>
    </w:p>
    <w:p w14:paraId="72029469" w14:textId="2A3DDA21" w:rsidR="00FE3562" w:rsidRDefault="00FE3562" w:rsidP="008B0E7D">
      <w:pPr>
        <w:spacing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Um artigo de opinião intitulado </w:t>
      </w:r>
      <w:r w:rsidRPr="00FE3562">
        <w:rPr>
          <w:rFonts w:ascii="Times New Roman" w:hAnsi="Times New Roman" w:cs="Times New Roman"/>
          <w:sz w:val="24"/>
          <w:szCs w:val="24"/>
          <w:lang w:val="pt-BR"/>
        </w:rPr>
        <w:t>“A cura da Hepatite C no centro do debate eleitoral”</w:t>
      </w:r>
      <w:r>
        <w:rPr>
          <w:rFonts w:ascii="Times New Roman" w:hAnsi="Times New Roman" w:cs="Times New Roman"/>
          <w:sz w:val="24"/>
          <w:szCs w:val="24"/>
          <w:lang w:val="pt-BR"/>
        </w:rPr>
        <w:t>, que utiliza dados desta pesquisa,</w:t>
      </w:r>
      <w:r w:rsidRPr="00FE3562">
        <w:rPr>
          <w:rFonts w:ascii="Times New Roman" w:hAnsi="Times New Roman" w:cs="Times New Roman"/>
          <w:sz w:val="24"/>
          <w:szCs w:val="24"/>
          <w:lang w:val="pt-BR"/>
        </w:rPr>
        <w:t xml:space="preserve"> será </w:t>
      </w:r>
      <w:r w:rsidR="006720E3">
        <w:rPr>
          <w:rFonts w:ascii="Times New Roman" w:hAnsi="Times New Roman" w:cs="Times New Roman"/>
          <w:sz w:val="24"/>
          <w:szCs w:val="24"/>
          <w:lang w:val="pt-BR"/>
        </w:rPr>
        <w:t xml:space="preserve">certamente </w:t>
      </w:r>
      <w:r w:rsidRPr="00FE3562">
        <w:rPr>
          <w:rFonts w:ascii="Times New Roman" w:hAnsi="Times New Roman" w:cs="Times New Roman"/>
          <w:sz w:val="24"/>
          <w:szCs w:val="24"/>
          <w:lang w:val="pt-BR"/>
        </w:rPr>
        <w:t xml:space="preserve">publicado pelo jornal Le Monde </w:t>
      </w:r>
      <w:proofErr w:type="spellStart"/>
      <w:r w:rsidRPr="00FE3562">
        <w:rPr>
          <w:rFonts w:ascii="Times New Roman" w:hAnsi="Times New Roman" w:cs="Times New Roman"/>
          <w:sz w:val="24"/>
          <w:szCs w:val="24"/>
          <w:lang w:val="pt-BR"/>
        </w:rPr>
        <w:t>Diplomatique</w:t>
      </w:r>
      <w:proofErr w:type="spellEnd"/>
      <w:r w:rsidRPr="00FE3562">
        <w:rPr>
          <w:rFonts w:ascii="Times New Roman" w:hAnsi="Times New Roman" w:cs="Times New Roman"/>
          <w:sz w:val="24"/>
          <w:szCs w:val="24"/>
          <w:lang w:val="pt-BR"/>
        </w:rPr>
        <w:t xml:space="preserve"> Brasil na edição de Novembro </w:t>
      </w:r>
      <w:r w:rsidR="00DF468E">
        <w:rPr>
          <w:rFonts w:ascii="Times New Roman" w:hAnsi="Times New Roman" w:cs="Times New Roman"/>
          <w:sz w:val="24"/>
          <w:szCs w:val="24"/>
          <w:lang w:val="pt-BR"/>
        </w:rPr>
        <w:t xml:space="preserve">ou Dezembro </w:t>
      </w:r>
      <w:r w:rsidRPr="00FE3562">
        <w:rPr>
          <w:rFonts w:ascii="Times New Roman" w:hAnsi="Times New Roman" w:cs="Times New Roman"/>
          <w:sz w:val="24"/>
          <w:szCs w:val="24"/>
          <w:lang w:val="pt-BR"/>
        </w:rPr>
        <w:t>de 2018</w:t>
      </w:r>
      <w:r w:rsidR="00E227DE">
        <w:rPr>
          <w:rFonts w:ascii="Times New Roman" w:hAnsi="Times New Roman" w:cs="Times New Roman"/>
          <w:sz w:val="24"/>
          <w:szCs w:val="24"/>
          <w:lang w:val="pt-BR"/>
        </w:rPr>
        <w:t xml:space="preserve"> (</w:t>
      </w:r>
      <w:r w:rsidR="00E227DE" w:rsidRPr="00E227DE">
        <w:rPr>
          <w:rFonts w:ascii="Times New Roman" w:hAnsi="Times New Roman" w:cs="Times New Roman"/>
          <w:b/>
          <w:sz w:val="24"/>
          <w:szCs w:val="24"/>
          <w:lang w:val="pt-BR"/>
        </w:rPr>
        <w:t>anexo 11</w:t>
      </w:r>
      <w:r w:rsidR="00E227DE">
        <w:rPr>
          <w:rFonts w:ascii="Times New Roman" w:hAnsi="Times New Roman" w:cs="Times New Roman"/>
          <w:sz w:val="24"/>
          <w:szCs w:val="24"/>
          <w:lang w:val="pt-BR"/>
        </w:rPr>
        <w:t>)</w:t>
      </w:r>
      <w:r w:rsidRPr="00FE3562">
        <w:rPr>
          <w:rFonts w:ascii="Times New Roman" w:hAnsi="Times New Roman" w:cs="Times New Roman"/>
          <w:sz w:val="24"/>
          <w:szCs w:val="24"/>
          <w:lang w:val="pt-BR"/>
        </w:rPr>
        <w:t xml:space="preserve">. </w:t>
      </w:r>
    </w:p>
    <w:p w14:paraId="2A552293" w14:textId="77777777" w:rsidR="008B0E7D" w:rsidRDefault="008B0E7D" w:rsidP="008B0E7D">
      <w:pPr>
        <w:spacing w:after="0" w:line="240" w:lineRule="auto"/>
        <w:ind w:right="-1"/>
        <w:jc w:val="both"/>
        <w:rPr>
          <w:rFonts w:ascii="Times New Roman" w:hAnsi="Times New Roman" w:cs="Times New Roman"/>
          <w:b/>
          <w:sz w:val="26"/>
          <w:szCs w:val="26"/>
          <w:lang w:val="pt-BR"/>
        </w:rPr>
      </w:pPr>
    </w:p>
    <w:p w14:paraId="29BE3B7A" w14:textId="02DE6F01" w:rsidR="00502ACF" w:rsidRPr="008B0E7D" w:rsidRDefault="00502ACF" w:rsidP="008B0E7D">
      <w:pPr>
        <w:spacing w:after="0" w:line="240" w:lineRule="auto"/>
        <w:ind w:right="-1"/>
        <w:jc w:val="both"/>
        <w:rPr>
          <w:rFonts w:ascii="Times New Roman" w:hAnsi="Times New Roman" w:cs="Times New Roman"/>
          <w:b/>
          <w:sz w:val="26"/>
          <w:szCs w:val="26"/>
          <w:lang w:val="pt-BR"/>
        </w:rPr>
      </w:pPr>
      <w:r w:rsidRPr="008B0E7D">
        <w:rPr>
          <w:rFonts w:ascii="Times New Roman" w:hAnsi="Times New Roman" w:cs="Times New Roman"/>
          <w:b/>
          <w:sz w:val="26"/>
          <w:szCs w:val="26"/>
          <w:lang w:val="pt-BR"/>
        </w:rPr>
        <w:t>Outras atividades relacionadas</w:t>
      </w:r>
      <w:r w:rsidR="007A74EF" w:rsidRPr="008B0E7D">
        <w:rPr>
          <w:rFonts w:ascii="Times New Roman" w:hAnsi="Times New Roman" w:cs="Times New Roman"/>
          <w:b/>
          <w:sz w:val="26"/>
          <w:szCs w:val="26"/>
          <w:lang w:val="pt-BR"/>
        </w:rPr>
        <w:t xml:space="preserve"> à pesquisa</w:t>
      </w:r>
    </w:p>
    <w:p w14:paraId="01FC72E4" w14:textId="72858214" w:rsidR="00A120BB" w:rsidRPr="0014716E" w:rsidRDefault="00C27CCC" w:rsidP="00D6249B">
      <w:pPr>
        <w:spacing w:after="0" w:line="360" w:lineRule="auto"/>
        <w:ind w:firstLine="720"/>
        <w:jc w:val="both"/>
        <w:rPr>
          <w:rFonts w:ascii="Times New Roman" w:hAnsi="Times New Roman" w:cs="Times New Roman"/>
          <w:sz w:val="24"/>
          <w:szCs w:val="24"/>
          <w:lang w:val="pt-BR"/>
        </w:rPr>
      </w:pPr>
      <w:r w:rsidRPr="0014716E">
        <w:rPr>
          <w:rFonts w:ascii="Times New Roman" w:hAnsi="Times New Roman" w:cs="Times New Roman"/>
          <w:sz w:val="24"/>
          <w:szCs w:val="24"/>
          <w:lang w:val="pt-BR"/>
        </w:rPr>
        <w:t>Outras</w:t>
      </w:r>
      <w:r w:rsidR="00A120BB" w:rsidRPr="0014716E">
        <w:rPr>
          <w:rFonts w:ascii="Times New Roman" w:hAnsi="Times New Roman" w:cs="Times New Roman"/>
          <w:sz w:val="24"/>
          <w:szCs w:val="24"/>
          <w:lang w:val="pt-BR"/>
        </w:rPr>
        <w:t xml:space="preserve"> atividades relacionadas </w:t>
      </w:r>
      <w:r w:rsidR="00B9491B">
        <w:rPr>
          <w:rFonts w:ascii="Times New Roman" w:hAnsi="Times New Roman" w:cs="Times New Roman"/>
          <w:sz w:val="24"/>
          <w:szCs w:val="24"/>
          <w:lang w:val="pt-BR"/>
        </w:rPr>
        <w:t>ou</w:t>
      </w:r>
      <w:r w:rsidR="00A120BB" w:rsidRPr="0014716E">
        <w:rPr>
          <w:rFonts w:ascii="Times New Roman" w:hAnsi="Times New Roman" w:cs="Times New Roman"/>
          <w:sz w:val="24"/>
          <w:szCs w:val="24"/>
          <w:lang w:val="pt-BR"/>
        </w:rPr>
        <w:t xml:space="preserve"> decorrentes desta pesquisa foram realizadas</w:t>
      </w:r>
      <w:r w:rsidR="00476CC0" w:rsidRPr="0014716E">
        <w:rPr>
          <w:rFonts w:ascii="Times New Roman" w:hAnsi="Times New Roman" w:cs="Times New Roman"/>
          <w:sz w:val="24"/>
          <w:szCs w:val="24"/>
          <w:lang w:val="pt-BR"/>
        </w:rPr>
        <w:t xml:space="preserve"> ao longo do período considerado neste relatório</w:t>
      </w:r>
      <w:r w:rsidR="00D6249B">
        <w:rPr>
          <w:rFonts w:ascii="Times New Roman" w:hAnsi="Times New Roman" w:cs="Times New Roman"/>
          <w:sz w:val="24"/>
          <w:szCs w:val="24"/>
          <w:lang w:val="pt-BR"/>
        </w:rPr>
        <w:t>:</w:t>
      </w:r>
    </w:p>
    <w:p w14:paraId="75613347" w14:textId="281D5BB6" w:rsidR="00722D73" w:rsidRDefault="0048574C" w:rsidP="00093B2C">
      <w:pPr>
        <w:pStyle w:val="PargrafodaLista"/>
        <w:numPr>
          <w:ilvl w:val="0"/>
          <w:numId w:val="10"/>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Cursei</w:t>
      </w:r>
      <w:r w:rsidR="00476CC0" w:rsidRPr="00722D73">
        <w:rPr>
          <w:rFonts w:ascii="Times New Roman" w:hAnsi="Times New Roman" w:cs="Times New Roman"/>
          <w:sz w:val="24"/>
          <w:szCs w:val="24"/>
          <w:lang w:val="pt-BR"/>
        </w:rPr>
        <w:t xml:space="preserve"> a disciplina </w:t>
      </w:r>
      <w:r w:rsidR="00ED1A79" w:rsidRPr="00722D73">
        <w:rPr>
          <w:rFonts w:ascii="Times New Roman" w:hAnsi="Times New Roman" w:cs="Times New Roman"/>
          <w:sz w:val="24"/>
          <w:szCs w:val="24"/>
          <w:lang w:val="pt-BR"/>
        </w:rPr>
        <w:t>“</w:t>
      </w:r>
      <w:proofErr w:type="spellStart"/>
      <w:r w:rsidR="00A120BB" w:rsidRPr="00722D73">
        <w:rPr>
          <w:rFonts w:ascii="Times New Roman" w:hAnsi="Times New Roman" w:cs="Times New Roman"/>
          <w:sz w:val="24"/>
          <w:szCs w:val="24"/>
          <w:lang w:val="pt-BR"/>
        </w:rPr>
        <w:t>English</w:t>
      </w:r>
      <w:proofErr w:type="spellEnd"/>
      <w:r w:rsidR="00A120BB" w:rsidRPr="00722D73">
        <w:rPr>
          <w:rFonts w:ascii="Times New Roman" w:hAnsi="Times New Roman" w:cs="Times New Roman"/>
          <w:sz w:val="24"/>
          <w:szCs w:val="24"/>
          <w:lang w:val="pt-BR"/>
        </w:rPr>
        <w:t xml:space="preserve"> for </w:t>
      </w:r>
      <w:proofErr w:type="spellStart"/>
      <w:r w:rsidR="00A120BB" w:rsidRPr="00722D73">
        <w:rPr>
          <w:rFonts w:ascii="Times New Roman" w:hAnsi="Times New Roman" w:cs="Times New Roman"/>
          <w:sz w:val="24"/>
          <w:szCs w:val="24"/>
          <w:lang w:val="pt-BR"/>
        </w:rPr>
        <w:t>Teaching</w:t>
      </w:r>
      <w:proofErr w:type="spellEnd"/>
      <w:r w:rsidR="00A120BB" w:rsidRPr="00722D73">
        <w:rPr>
          <w:rFonts w:ascii="Times New Roman" w:hAnsi="Times New Roman" w:cs="Times New Roman"/>
          <w:sz w:val="24"/>
          <w:szCs w:val="24"/>
          <w:lang w:val="pt-BR"/>
        </w:rPr>
        <w:t xml:space="preserve"> </w:t>
      </w:r>
      <w:proofErr w:type="spellStart"/>
      <w:r w:rsidR="00A120BB" w:rsidRPr="00722D73">
        <w:rPr>
          <w:rFonts w:ascii="Times New Roman" w:hAnsi="Times New Roman" w:cs="Times New Roman"/>
          <w:sz w:val="24"/>
          <w:szCs w:val="24"/>
          <w:lang w:val="pt-BR"/>
        </w:rPr>
        <w:t>Purposes</w:t>
      </w:r>
      <w:proofErr w:type="spellEnd"/>
      <w:r w:rsidR="00ED1A79" w:rsidRPr="00722D73">
        <w:rPr>
          <w:rFonts w:ascii="Times New Roman" w:hAnsi="Times New Roman" w:cs="Times New Roman"/>
          <w:sz w:val="24"/>
          <w:szCs w:val="24"/>
          <w:lang w:val="pt-BR"/>
        </w:rPr>
        <w:t>”</w:t>
      </w:r>
      <w:r w:rsidR="00A120BB" w:rsidRPr="00722D73">
        <w:rPr>
          <w:rFonts w:ascii="Times New Roman" w:hAnsi="Times New Roman" w:cs="Times New Roman"/>
          <w:sz w:val="24"/>
          <w:szCs w:val="24"/>
          <w:lang w:val="pt-BR"/>
        </w:rPr>
        <w:t xml:space="preserve"> </w:t>
      </w:r>
      <w:r w:rsidR="00E84E14" w:rsidRPr="00722D73">
        <w:rPr>
          <w:rFonts w:ascii="Times New Roman" w:hAnsi="Times New Roman" w:cs="Times New Roman"/>
          <w:sz w:val="24"/>
          <w:szCs w:val="24"/>
          <w:lang w:val="pt-BR"/>
        </w:rPr>
        <w:t>oferecida pelo centro de línguas d</w:t>
      </w:r>
      <w:r w:rsidR="00A120BB" w:rsidRPr="00722D73">
        <w:rPr>
          <w:rFonts w:ascii="Times New Roman" w:hAnsi="Times New Roman" w:cs="Times New Roman"/>
          <w:sz w:val="24"/>
          <w:szCs w:val="24"/>
          <w:lang w:val="pt-BR"/>
        </w:rPr>
        <w:t xml:space="preserve">a própria LSE que teve a duração de dois quadrimestres letivos </w:t>
      </w:r>
      <w:r w:rsidR="00E84E14" w:rsidRPr="00722D73">
        <w:rPr>
          <w:rFonts w:ascii="Times New Roman" w:hAnsi="Times New Roman" w:cs="Times New Roman"/>
          <w:sz w:val="24"/>
          <w:szCs w:val="24"/>
          <w:lang w:val="pt-BR"/>
        </w:rPr>
        <w:t>no</w:t>
      </w:r>
      <w:r w:rsidR="00A120BB" w:rsidRPr="00722D73">
        <w:rPr>
          <w:rFonts w:ascii="Times New Roman" w:hAnsi="Times New Roman" w:cs="Times New Roman"/>
          <w:sz w:val="24"/>
          <w:szCs w:val="24"/>
          <w:lang w:val="pt-BR"/>
        </w:rPr>
        <w:t xml:space="preserve"> ano 2017/2018 (Setembro a Dezembro de 2017 e Janeiro a Março de 2018). </w:t>
      </w:r>
      <w:r w:rsidR="00ED1A79" w:rsidRPr="00722D73">
        <w:rPr>
          <w:rFonts w:ascii="Times New Roman" w:hAnsi="Times New Roman" w:cs="Times New Roman"/>
          <w:sz w:val="24"/>
          <w:szCs w:val="24"/>
          <w:lang w:val="pt-BR"/>
        </w:rPr>
        <w:t>Este curso de inglês instrumental acadêmico é voltado</w:t>
      </w:r>
      <w:r w:rsidR="00476CC0" w:rsidRPr="00722D73">
        <w:rPr>
          <w:rFonts w:ascii="Times New Roman" w:hAnsi="Times New Roman" w:cs="Times New Roman"/>
          <w:sz w:val="24"/>
          <w:szCs w:val="24"/>
          <w:lang w:val="pt-BR"/>
        </w:rPr>
        <w:t xml:space="preserve"> para professores e pesquisadores em início de carreira na universidade, </w:t>
      </w:r>
      <w:r w:rsidR="00ED1A79" w:rsidRPr="00722D73">
        <w:rPr>
          <w:rFonts w:ascii="Times New Roman" w:hAnsi="Times New Roman" w:cs="Times New Roman"/>
          <w:sz w:val="24"/>
          <w:szCs w:val="24"/>
          <w:lang w:val="pt-BR"/>
        </w:rPr>
        <w:t xml:space="preserve">com foco na aplicação prática de pronúncia, uso de voz, ritmo, projeção, linguagem </w:t>
      </w:r>
      <w:r w:rsidR="00B9491B" w:rsidRPr="00722D73">
        <w:rPr>
          <w:rFonts w:ascii="Times New Roman" w:hAnsi="Times New Roman" w:cs="Times New Roman"/>
          <w:sz w:val="24"/>
          <w:szCs w:val="24"/>
          <w:lang w:val="pt-BR"/>
        </w:rPr>
        <w:t>apropriada à</w:t>
      </w:r>
      <w:r w:rsidR="00ED1A79" w:rsidRPr="00722D73">
        <w:rPr>
          <w:rFonts w:ascii="Times New Roman" w:hAnsi="Times New Roman" w:cs="Times New Roman"/>
          <w:sz w:val="24"/>
          <w:szCs w:val="24"/>
          <w:lang w:val="pt-BR"/>
        </w:rPr>
        <w:t xml:space="preserve"> sala de aula, registro, adaptabilidade, estratégias interrogativas, argumentação persuasiva, aulas práticas e apresentações. </w:t>
      </w:r>
      <w:r w:rsidR="00941BE3" w:rsidRPr="00722D73">
        <w:rPr>
          <w:rFonts w:ascii="Times New Roman" w:hAnsi="Times New Roman" w:cs="Times New Roman"/>
          <w:sz w:val="24"/>
          <w:szCs w:val="24"/>
          <w:lang w:val="pt-BR"/>
        </w:rPr>
        <w:t>O curso</w:t>
      </w:r>
      <w:r w:rsidR="00B9491B" w:rsidRPr="00722D73">
        <w:rPr>
          <w:rFonts w:ascii="Times New Roman" w:hAnsi="Times New Roman" w:cs="Times New Roman"/>
          <w:sz w:val="24"/>
          <w:szCs w:val="24"/>
          <w:lang w:val="pt-BR"/>
        </w:rPr>
        <w:t xml:space="preserve"> t</w:t>
      </w:r>
      <w:r w:rsidR="00941BE3" w:rsidRPr="00722D73">
        <w:rPr>
          <w:rFonts w:ascii="Times New Roman" w:hAnsi="Times New Roman" w:cs="Times New Roman"/>
          <w:sz w:val="24"/>
          <w:szCs w:val="24"/>
          <w:lang w:val="pt-BR"/>
        </w:rPr>
        <w:t>eve uma duração de 22 semanas,</w:t>
      </w:r>
      <w:r w:rsidR="00ED1A79" w:rsidRPr="00722D73">
        <w:rPr>
          <w:rFonts w:ascii="Times New Roman" w:hAnsi="Times New Roman" w:cs="Times New Roman"/>
          <w:sz w:val="24"/>
          <w:szCs w:val="24"/>
          <w:lang w:val="pt-BR"/>
        </w:rPr>
        <w:t xml:space="preserve"> uma hora por semana</w:t>
      </w:r>
      <w:r w:rsidR="00941BE3" w:rsidRPr="00722D73">
        <w:rPr>
          <w:rFonts w:ascii="Times New Roman" w:hAnsi="Times New Roman" w:cs="Times New Roman"/>
          <w:sz w:val="24"/>
          <w:szCs w:val="24"/>
          <w:lang w:val="pt-BR"/>
        </w:rPr>
        <w:t xml:space="preserve"> e estive lotado em </w:t>
      </w:r>
      <w:r w:rsidR="00ED1A79" w:rsidRPr="00722D73">
        <w:rPr>
          <w:rFonts w:ascii="Times New Roman" w:hAnsi="Times New Roman" w:cs="Times New Roman"/>
          <w:sz w:val="24"/>
          <w:szCs w:val="24"/>
          <w:lang w:val="pt-BR"/>
        </w:rPr>
        <w:t xml:space="preserve">uma classe com </w:t>
      </w:r>
      <w:proofErr w:type="gramStart"/>
      <w:r w:rsidR="00ED1A79" w:rsidRPr="00722D73">
        <w:rPr>
          <w:rFonts w:ascii="Times New Roman" w:hAnsi="Times New Roman" w:cs="Times New Roman"/>
          <w:sz w:val="24"/>
          <w:szCs w:val="24"/>
          <w:lang w:val="pt-BR"/>
        </w:rPr>
        <w:t>3</w:t>
      </w:r>
      <w:proofErr w:type="gramEnd"/>
      <w:r w:rsidR="00ED1A79" w:rsidRPr="00722D73">
        <w:rPr>
          <w:rFonts w:ascii="Times New Roman" w:hAnsi="Times New Roman" w:cs="Times New Roman"/>
          <w:sz w:val="24"/>
          <w:szCs w:val="24"/>
          <w:lang w:val="pt-BR"/>
        </w:rPr>
        <w:t xml:space="preserve"> professores/alunos</w:t>
      </w:r>
      <w:r w:rsidR="00941BE3" w:rsidRPr="00722D73">
        <w:rPr>
          <w:rFonts w:ascii="Times New Roman" w:hAnsi="Times New Roman" w:cs="Times New Roman"/>
          <w:sz w:val="24"/>
          <w:szCs w:val="24"/>
          <w:lang w:val="pt-BR"/>
        </w:rPr>
        <w:t>. N</w:t>
      </w:r>
      <w:r w:rsidR="00A120BB" w:rsidRPr="00722D73">
        <w:rPr>
          <w:rFonts w:ascii="Times New Roman" w:hAnsi="Times New Roman" w:cs="Times New Roman"/>
          <w:sz w:val="24"/>
          <w:szCs w:val="24"/>
          <w:lang w:val="pt-BR"/>
        </w:rPr>
        <w:t xml:space="preserve">este curso pude aperfeiçoar a escrita e </w:t>
      </w:r>
      <w:r w:rsidR="00941BE3" w:rsidRPr="00722D73">
        <w:rPr>
          <w:rFonts w:ascii="Times New Roman" w:hAnsi="Times New Roman" w:cs="Times New Roman"/>
          <w:sz w:val="24"/>
          <w:szCs w:val="24"/>
          <w:lang w:val="pt-BR"/>
        </w:rPr>
        <w:t xml:space="preserve">a </w:t>
      </w:r>
      <w:r w:rsidR="00A120BB" w:rsidRPr="00722D73">
        <w:rPr>
          <w:rFonts w:ascii="Times New Roman" w:hAnsi="Times New Roman" w:cs="Times New Roman"/>
          <w:sz w:val="24"/>
          <w:szCs w:val="24"/>
          <w:lang w:val="pt-BR"/>
        </w:rPr>
        <w:t xml:space="preserve">fala em inglês voltada para a academia, </w:t>
      </w:r>
      <w:r w:rsidR="00941BE3" w:rsidRPr="00722D73">
        <w:rPr>
          <w:rFonts w:ascii="Times New Roman" w:hAnsi="Times New Roman" w:cs="Times New Roman"/>
          <w:sz w:val="24"/>
          <w:szCs w:val="24"/>
          <w:lang w:val="pt-BR"/>
        </w:rPr>
        <w:t xml:space="preserve">pude elaborar minhas apresentações da pesquisa (descritas abaixo), além de ter sido útil para melhorar </w:t>
      </w:r>
      <w:r w:rsidR="00A120BB" w:rsidRPr="00722D73">
        <w:rPr>
          <w:rFonts w:ascii="Times New Roman" w:hAnsi="Times New Roman" w:cs="Times New Roman"/>
          <w:sz w:val="24"/>
          <w:szCs w:val="24"/>
          <w:lang w:val="pt-BR"/>
        </w:rPr>
        <w:t xml:space="preserve">a elaboração de artigos e relatórios ao longo do período de </w:t>
      </w:r>
      <w:proofErr w:type="gramStart"/>
      <w:r w:rsidR="00A120BB" w:rsidRPr="00722D73">
        <w:rPr>
          <w:rFonts w:ascii="Times New Roman" w:hAnsi="Times New Roman" w:cs="Times New Roman"/>
          <w:sz w:val="24"/>
          <w:szCs w:val="24"/>
          <w:lang w:val="pt-BR"/>
        </w:rPr>
        <w:t>pós doutorado</w:t>
      </w:r>
      <w:proofErr w:type="gramEnd"/>
      <w:r>
        <w:rPr>
          <w:rFonts w:ascii="Times New Roman" w:hAnsi="Times New Roman" w:cs="Times New Roman"/>
          <w:sz w:val="24"/>
          <w:szCs w:val="24"/>
          <w:lang w:val="pt-BR"/>
        </w:rPr>
        <w:t xml:space="preserve"> (</w:t>
      </w:r>
      <w:r w:rsidRPr="002B4FC4">
        <w:rPr>
          <w:rFonts w:ascii="Times New Roman" w:hAnsi="Times New Roman" w:cs="Times New Roman"/>
          <w:b/>
          <w:sz w:val="24"/>
          <w:szCs w:val="24"/>
          <w:lang w:val="pt-BR"/>
        </w:rPr>
        <w:t>comprovante 1</w:t>
      </w:r>
      <w:r>
        <w:rPr>
          <w:rFonts w:ascii="Times New Roman" w:hAnsi="Times New Roman" w:cs="Times New Roman"/>
          <w:sz w:val="24"/>
          <w:szCs w:val="24"/>
          <w:lang w:val="pt-BR"/>
        </w:rPr>
        <w:t>)</w:t>
      </w:r>
      <w:r w:rsidR="00A120BB" w:rsidRPr="00722D73">
        <w:rPr>
          <w:rFonts w:ascii="Times New Roman" w:hAnsi="Times New Roman" w:cs="Times New Roman"/>
          <w:sz w:val="24"/>
          <w:szCs w:val="24"/>
          <w:lang w:val="pt-BR"/>
        </w:rPr>
        <w:t>.</w:t>
      </w:r>
    </w:p>
    <w:p w14:paraId="5B73C344" w14:textId="48C07A6C" w:rsidR="00722D73" w:rsidRDefault="00B9491B" w:rsidP="00093B2C">
      <w:pPr>
        <w:pStyle w:val="PargrafodaLista"/>
        <w:numPr>
          <w:ilvl w:val="0"/>
          <w:numId w:val="10"/>
        </w:numPr>
        <w:spacing w:after="0" w:line="360" w:lineRule="auto"/>
        <w:jc w:val="both"/>
        <w:rPr>
          <w:rFonts w:ascii="Times New Roman" w:hAnsi="Times New Roman" w:cs="Times New Roman"/>
          <w:sz w:val="24"/>
          <w:szCs w:val="24"/>
          <w:lang w:val="pt-BR"/>
        </w:rPr>
      </w:pPr>
      <w:r w:rsidRPr="00722D73">
        <w:rPr>
          <w:rFonts w:ascii="Times New Roman" w:hAnsi="Times New Roman" w:cs="Times New Roman"/>
          <w:sz w:val="24"/>
          <w:szCs w:val="24"/>
          <w:lang w:val="pt-BR"/>
        </w:rPr>
        <w:t>A</w:t>
      </w:r>
      <w:r w:rsidR="00A120BB" w:rsidRPr="00722D73">
        <w:rPr>
          <w:rFonts w:ascii="Times New Roman" w:hAnsi="Times New Roman" w:cs="Times New Roman"/>
          <w:sz w:val="24"/>
          <w:szCs w:val="24"/>
          <w:lang w:val="pt-BR"/>
        </w:rPr>
        <w:t>presentação dos resultados parciais d</w:t>
      </w:r>
      <w:r w:rsidR="00941BE3" w:rsidRPr="00722D73">
        <w:rPr>
          <w:rFonts w:ascii="Times New Roman" w:hAnsi="Times New Roman" w:cs="Times New Roman"/>
          <w:sz w:val="24"/>
          <w:szCs w:val="24"/>
          <w:lang w:val="pt-BR"/>
        </w:rPr>
        <w:t>est</w:t>
      </w:r>
      <w:r w:rsidR="00A120BB" w:rsidRPr="00722D73">
        <w:rPr>
          <w:rFonts w:ascii="Times New Roman" w:hAnsi="Times New Roman" w:cs="Times New Roman"/>
          <w:sz w:val="24"/>
          <w:szCs w:val="24"/>
          <w:lang w:val="pt-BR"/>
        </w:rPr>
        <w:t xml:space="preserve">a pesquisa perante professores e estudantes de doutorado lotados no </w:t>
      </w:r>
      <w:proofErr w:type="spellStart"/>
      <w:r w:rsidR="00A120BB" w:rsidRPr="00722D73">
        <w:rPr>
          <w:rFonts w:ascii="Times New Roman" w:hAnsi="Times New Roman" w:cs="Times New Roman"/>
          <w:sz w:val="24"/>
          <w:szCs w:val="24"/>
          <w:lang w:val="pt-BR"/>
        </w:rPr>
        <w:t>Department</w:t>
      </w:r>
      <w:proofErr w:type="spellEnd"/>
      <w:r w:rsidR="00A120BB" w:rsidRPr="00722D73">
        <w:rPr>
          <w:rFonts w:ascii="Times New Roman" w:hAnsi="Times New Roman" w:cs="Times New Roman"/>
          <w:sz w:val="24"/>
          <w:szCs w:val="24"/>
          <w:lang w:val="pt-BR"/>
        </w:rPr>
        <w:t xml:space="preserve"> </w:t>
      </w:r>
      <w:proofErr w:type="spellStart"/>
      <w:r w:rsidR="00A120BB" w:rsidRPr="00722D73">
        <w:rPr>
          <w:rFonts w:ascii="Times New Roman" w:hAnsi="Times New Roman" w:cs="Times New Roman"/>
          <w:sz w:val="24"/>
          <w:szCs w:val="24"/>
          <w:lang w:val="pt-BR"/>
        </w:rPr>
        <w:t>of</w:t>
      </w:r>
      <w:proofErr w:type="spellEnd"/>
      <w:r w:rsidR="00A120BB" w:rsidRPr="00722D73">
        <w:rPr>
          <w:rFonts w:ascii="Times New Roman" w:hAnsi="Times New Roman" w:cs="Times New Roman"/>
          <w:sz w:val="24"/>
          <w:szCs w:val="24"/>
          <w:lang w:val="pt-BR"/>
        </w:rPr>
        <w:t xml:space="preserve"> </w:t>
      </w:r>
      <w:proofErr w:type="spellStart"/>
      <w:r w:rsidR="00A120BB" w:rsidRPr="00722D73">
        <w:rPr>
          <w:rFonts w:ascii="Times New Roman" w:hAnsi="Times New Roman" w:cs="Times New Roman"/>
          <w:sz w:val="24"/>
          <w:szCs w:val="24"/>
          <w:lang w:val="pt-BR"/>
        </w:rPr>
        <w:t>International</w:t>
      </w:r>
      <w:proofErr w:type="spellEnd"/>
      <w:r w:rsidR="00A120BB" w:rsidRPr="00722D73">
        <w:rPr>
          <w:rFonts w:ascii="Times New Roman" w:hAnsi="Times New Roman" w:cs="Times New Roman"/>
          <w:sz w:val="24"/>
          <w:szCs w:val="24"/>
          <w:lang w:val="pt-BR"/>
        </w:rPr>
        <w:t xml:space="preserve"> </w:t>
      </w:r>
      <w:proofErr w:type="spellStart"/>
      <w:r w:rsidR="00A120BB" w:rsidRPr="00722D73">
        <w:rPr>
          <w:rFonts w:ascii="Times New Roman" w:hAnsi="Times New Roman" w:cs="Times New Roman"/>
          <w:sz w:val="24"/>
          <w:szCs w:val="24"/>
          <w:lang w:val="pt-BR"/>
        </w:rPr>
        <w:t>Development</w:t>
      </w:r>
      <w:proofErr w:type="spellEnd"/>
      <w:r w:rsidR="00A120BB" w:rsidRPr="00722D73">
        <w:rPr>
          <w:rFonts w:ascii="Times New Roman" w:hAnsi="Times New Roman" w:cs="Times New Roman"/>
          <w:sz w:val="24"/>
          <w:szCs w:val="24"/>
          <w:lang w:val="pt-BR"/>
        </w:rPr>
        <w:t xml:space="preserve"> da LSE no dia 28 de fevereiro de 2018. Nesta ocasião tive a oportunidade de apresentar os resultados iniciais da pesquisa em </w:t>
      </w:r>
      <w:proofErr w:type="gramStart"/>
      <w:r w:rsidR="00A120BB" w:rsidRPr="00722D73">
        <w:rPr>
          <w:rFonts w:ascii="Times New Roman" w:hAnsi="Times New Roman" w:cs="Times New Roman"/>
          <w:sz w:val="24"/>
          <w:szCs w:val="24"/>
          <w:lang w:val="pt-BR"/>
        </w:rPr>
        <w:t>cerca de 45</w:t>
      </w:r>
      <w:proofErr w:type="gramEnd"/>
      <w:r w:rsidR="00A120BB" w:rsidRPr="00722D73">
        <w:rPr>
          <w:rFonts w:ascii="Times New Roman" w:hAnsi="Times New Roman" w:cs="Times New Roman"/>
          <w:sz w:val="24"/>
          <w:szCs w:val="24"/>
          <w:lang w:val="pt-BR"/>
        </w:rPr>
        <w:t xml:space="preserve"> minutos e pude ouvir comentários e sugestões </w:t>
      </w:r>
      <w:r w:rsidR="006720E3">
        <w:rPr>
          <w:rFonts w:ascii="Times New Roman" w:hAnsi="Times New Roman" w:cs="Times New Roman"/>
          <w:sz w:val="24"/>
          <w:szCs w:val="24"/>
          <w:lang w:val="pt-BR"/>
        </w:rPr>
        <w:lastRenderedPageBreak/>
        <w:t xml:space="preserve">extremamente </w:t>
      </w:r>
      <w:r w:rsidR="00941BE3" w:rsidRPr="00722D73">
        <w:rPr>
          <w:rFonts w:ascii="Times New Roman" w:hAnsi="Times New Roman" w:cs="Times New Roman"/>
          <w:sz w:val="24"/>
          <w:szCs w:val="24"/>
          <w:lang w:val="pt-BR"/>
        </w:rPr>
        <w:t>construtiv</w:t>
      </w:r>
      <w:r w:rsidR="006720E3">
        <w:rPr>
          <w:rFonts w:ascii="Times New Roman" w:hAnsi="Times New Roman" w:cs="Times New Roman"/>
          <w:sz w:val="24"/>
          <w:szCs w:val="24"/>
          <w:lang w:val="pt-BR"/>
        </w:rPr>
        <w:t>a</w:t>
      </w:r>
      <w:r w:rsidR="00941BE3" w:rsidRPr="00722D73">
        <w:rPr>
          <w:rFonts w:ascii="Times New Roman" w:hAnsi="Times New Roman" w:cs="Times New Roman"/>
          <w:sz w:val="24"/>
          <w:szCs w:val="24"/>
          <w:lang w:val="pt-BR"/>
        </w:rPr>
        <w:t xml:space="preserve">s </w:t>
      </w:r>
      <w:r w:rsidR="00A120BB" w:rsidRPr="00722D73">
        <w:rPr>
          <w:rFonts w:ascii="Times New Roman" w:hAnsi="Times New Roman" w:cs="Times New Roman"/>
          <w:sz w:val="24"/>
          <w:szCs w:val="24"/>
          <w:lang w:val="pt-BR"/>
        </w:rPr>
        <w:t>por cerca de mais 45 minutos dos(as) colegas interessados(as</w:t>
      </w:r>
      <w:r w:rsidR="00D6249B" w:rsidRPr="00722D73">
        <w:rPr>
          <w:rFonts w:ascii="Times New Roman" w:hAnsi="Times New Roman" w:cs="Times New Roman"/>
          <w:sz w:val="24"/>
          <w:szCs w:val="24"/>
          <w:lang w:val="pt-BR"/>
        </w:rPr>
        <w:t>)</w:t>
      </w:r>
      <w:r w:rsidR="006720E3">
        <w:rPr>
          <w:rFonts w:ascii="Times New Roman" w:hAnsi="Times New Roman" w:cs="Times New Roman"/>
          <w:sz w:val="24"/>
          <w:szCs w:val="24"/>
          <w:lang w:val="pt-BR"/>
        </w:rPr>
        <w:t xml:space="preserve"> o que teve um profundo impacto no desenvolvimento ulterior desta pesquisa</w:t>
      </w:r>
      <w:r w:rsidR="0048574C">
        <w:rPr>
          <w:rFonts w:ascii="Times New Roman" w:hAnsi="Times New Roman" w:cs="Times New Roman"/>
          <w:sz w:val="24"/>
          <w:szCs w:val="24"/>
          <w:lang w:val="pt-BR"/>
        </w:rPr>
        <w:t xml:space="preserve"> (</w:t>
      </w:r>
      <w:r w:rsidR="0048574C" w:rsidRPr="002B4FC4">
        <w:rPr>
          <w:rFonts w:ascii="Times New Roman" w:hAnsi="Times New Roman" w:cs="Times New Roman"/>
          <w:b/>
          <w:sz w:val="24"/>
          <w:szCs w:val="24"/>
          <w:lang w:val="pt-BR"/>
        </w:rPr>
        <w:t>comprovante 2</w:t>
      </w:r>
      <w:r w:rsidR="0048574C">
        <w:rPr>
          <w:rFonts w:ascii="Times New Roman" w:hAnsi="Times New Roman" w:cs="Times New Roman"/>
          <w:sz w:val="24"/>
          <w:szCs w:val="24"/>
          <w:lang w:val="pt-BR"/>
        </w:rPr>
        <w:t>)</w:t>
      </w:r>
      <w:r w:rsidR="00A120BB" w:rsidRPr="00722D73">
        <w:rPr>
          <w:rFonts w:ascii="Times New Roman" w:hAnsi="Times New Roman" w:cs="Times New Roman"/>
          <w:sz w:val="24"/>
          <w:szCs w:val="24"/>
          <w:lang w:val="pt-BR"/>
        </w:rPr>
        <w:t xml:space="preserve">. </w:t>
      </w:r>
    </w:p>
    <w:p w14:paraId="46C0D3CC" w14:textId="4D4182C6" w:rsidR="00722D73" w:rsidRDefault="00E84E14" w:rsidP="00093B2C">
      <w:pPr>
        <w:pStyle w:val="PargrafodaLista"/>
        <w:numPr>
          <w:ilvl w:val="0"/>
          <w:numId w:val="10"/>
        </w:numPr>
        <w:spacing w:after="0" w:line="360" w:lineRule="auto"/>
        <w:jc w:val="both"/>
        <w:rPr>
          <w:rFonts w:ascii="Times New Roman" w:hAnsi="Times New Roman" w:cs="Times New Roman"/>
          <w:sz w:val="24"/>
          <w:szCs w:val="24"/>
          <w:lang w:val="pt-BR"/>
        </w:rPr>
      </w:pPr>
      <w:r w:rsidRPr="00722D73">
        <w:rPr>
          <w:rFonts w:ascii="Times New Roman" w:hAnsi="Times New Roman" w:cs="Times New Roman"/>
          <w:sz w:val="24"/>
          <w:szCs w:val="24"/>
          <w:lang w:val="pt-BR"/>
        </w:rPr>
        <w:t>P</w:t>
      </w:r>
      <w:r w:rsidR="00A120BB" w:rsidRPr="00722D73">
        <w:rPr>
          <w:rFonts w:ascii="Times New Roman" w:hAnsi="Times New Roman" w:cs="Times New Roman"/>
          <w:sz w:val="24"/>
          <w:szCs w:val="24"/>
          <w:lang w:val="pt-BR"/>
        </w:rPr>
        <w:t>articip</w:t>
      </w:r>
      <w:r w:rsidR="00B9491B" w:rsidRPr="00722D73">
        <w:rPr>
          <w:rFonts w:ascii="Times New Roman" w:hAnsi="Times New Roman" w:cs="Times New Roman"/>
          <w:sz w:val="24"/>
          <w:szCs w:val="24"/>
          <w:lang w:val="pt-BR"/>
        </w:rPr>
        <w:t>ação no</w:t>
      </w:r>
      <w:r w:rsidRPr="00722D73">
        <w:rPr>
          <w:rFonts w:ascii="Times New Roman" w:hAnsi="Times New Roman" w:cs="Times New Roman"/>
          <w:sz w:val="24"/>
          <w:szCs w:val="24"/>
          <w:lang w:val="pt-BR"/>
        </w:rPr>
        <w:t xml:space="preserve">s </w:t>
      </w:r>
      <w:r w:rsidR="00A120BB" w:rsidRPr="00722D73">
        <w:rPr>
          <w:rFonts w:ascii="Times New Roman" w:hAnsi="Times New Roman" w:cs="Times New Roman"/>
          <w:sz w:val="24"/>
          <w:szCs w:val="24"/>
          <w:lang w:val="pt-BR"/>
        </w:rPr>
        <w:t xml:space="preserve">seminários </w:t>
      </w:r>
      <w:r w:rsidR="00DC5297" w:rsidRPr="00722D73">
        <w:rPr>
          <w:rFonts w:ascii="Times New Roman" w:hAnsi="Times New Roman" w:cs="Times New Roman"/>
          <w:sz w:val="24"/>
          <w:szCs w:val="24"/>
          <w:lang w:val="pt-BR"/>
        </w:rPr>
        <w:t xml:space="preserve">de pesquisa </w:t>
      </w:r>
      <w:r w:rsidRPr="00722D73">
        <w:rPr>
          <w:rFonts w:ascii="Times New Roman" w:hAnsi="Times New Roman" w:cs="Times New Roman"/>
          <w:sz w:val="24"/>
          <w:szCs w:val="24"/>
          <w:lang w:val="pt-BR"/>
        </w:rPr>
        <w:t xml:space="preserve">semanais liderados pelo pesquisador Alfredo Saad-Filho lotado no </w:t>
      </w:r>
      <w:proofErr w:type="spellStart"/>
      <w:r w:rsidRPr="00722D73">
        <w:rPr>
          <w:rFonts w:ascii="Times New Roman" w:hAnsi="Times New Roman" w:cs="Times New Roman"/>
          <w:sz w:val="24"/>
          <w:szCs w:val="24"/>
          <w:lang w:val="pt-BR"/>
        </w:rPr>
        <w:t>Department</w:t>
      </w:r>
      <w:proofErr w:type="spellEnd"/>
      <w:r w:rsidRPr="00722D73">
        <w:rPr>
          <w:rFonts w:ascii="Times New Roman" w:hAnsi="Times New Roman" w:cs="Times New Roman"/>
          <w:sz w:val="24"/>
          <w:szCs w:val="24"/>
          <w:lang w:val="pt-BR"/>
        </w:rPr>
        <w:t xml:space="preserve"> </w:t>
      </w:r>
      <w:proofErr w:type="spellStart"/>
      <w:r w:rsidRPr="00722D73">
        <w:rPr>
          <w:rFonts w:ascii="Times New Roman" w:hAnsi="Times New Roman" w:cs="Times New Roman"/>
          <w:sz w:val="24"/>
          <w:szCs w:val="24"/>
          <w:lang w:val="pt-BR"/>
        </w:rPr>
        <w:t>of</w:t>
      </w:r>
      <w:proofErr w:type="spellEnd"/>
      <w:r w:rsidRPr="00722D73">
        <w:rPr>
          <w:rFonts w:ascii="Times New Roman" w:hAnsi="Times New Roman" w:cs="Times New Roman"/>
          <w:sz w:val="24"/>
          <w:szCs w:val="24"/>
          <w:lang w:val="pt-BR"/>
        </w:rPr>
        <w:t xml:space="preserve"> </w:t>
      </w:r>
      <w:proofErr w:type="spellStart"/>
      <w:r w:rsidRPr="00722D73">
        <w:rPr>
          <w:rFonts w:ascii="Times New Roman" w:hAnsi="Times New Roman" w:cs="Times New Roman"/>
          <w:sz w:val="24"/>
          <w:szCs w:val="24"/>
          <w:lang w:val="pt-BR"/>
        </w:rPr>
        <w:t>Development</w:t>
      </w:r>
      <w:proofErr w:type="spellEnd"/>
      <w:r w:rsidRPr="00722D73">
        <w:rPr>
          <w:rFonts w:ascii="Times New Roman" w:hAnsi="Times New Roman" w:cs="Times New Roman"/>
          <w:sz w:val="24"/>
          <w:szCs w:val="24"/>
          <w:lang w:val="pt-BR"/>
        </w:rPr>
        <w:t xml:space="preserve"> </w:t>
      </w:r>
      <w:proofErr w:type="spellStart"/>
      <w:r w:rsidRPr="00722D73">
        <w:rPr>
          <w:rFonts w:ascii="Times New Roman" w:hAnsi="Times New Roman" w:cs="Times New Roman"/>
          <w:sz w:val="24"/>
          <w:szCs w:val="24"/>
          <w:lang w:val="pt-BR"/>
        </w:rPr>
        <w:t>Studies</w:t>
      </w:r>
      <w:proofErr w:type="spellEnd"/>
      <w:r w:rsidRPr="00722D73">
        <w:rPr>
          <w:rFonts w:ascii="Times New Roman" w:hAnsi="Times New Roman" w:cs="Times New Roman"/>
          <w:sz w:val="24"/>
          <w:szCs w:val="24"/>
          <w:lang w:val="pt-BR"/>
        </w:rPr>
        <w:t xml:space="preserve"> da </w:t>
      </w:r>
      <w:proofErr w:type="spellStart"/>
      <w:r w:rsidRPr="00722D73">
        <w:rPr>
          <w:rFonts w:ascii="Times New Roman" w:hAnsi="Times New Roman" w:cs="Times New Roman"/>
          <w:sz w:val="24"/>
          <w:szCs w:val="24"/>
          <w:lang w:val="pt-BR"/>
        </w:rPr>
        <w:t>School</w:t>
      </w:r>
      <w:proofErr w:type="spellEnd"/>
      <w:r w:rsidRPr="00722D73">
        <w:rPr>
          <w:rFonts w:ascii="Times New Roman" w:hAnsi="Times New Roman" w:cs="Times New Roman"/>
          <w:sz w:val="24"/>
          <w:szCs w:val="24"/>
          <w:lang w:val="pt-BR"/>
        </w:rPr>
        <w:t xml:space="preserve"> </w:t>
      </w:r>
      <w:proofErr w:type="spellStart"/>
      <w:r w:rsidRPr="00722D73">
        <w:rPr>
          <w:rFonts w:ascii="Times New Roman" w:hAnsi="Times New Roman" w:cs="Times New Roman"/>
          <w:sz w:val="24"/>
          <w:szCs w:val="24"/>
          <w:lang w:val="pt-BR"/>
        </w:rPr>
        <w:t>of</w:t>
      </w:r>
      <w:proofErr w:type="spellEnd"/>
      <w:r w:rsidRPr="00722D73">
        <w:rPr>
          <w:rFonts w:ascii="Times New Roman" w:hAnsi="Times New Roman" w:cs="Times New Roman"/>
          <w:sz w:val="24"/>
          <w:szCs w:val="24"/>
          <w:lang w:val="pt-BR"/>
        </w:rPr>
        <w:t xml:space="preserve"> Oriental </w:t>
      </w:r>
      <w:proofErr w:type="spellStart"/>
      <w:r w:rsidRPr="00722D73">
        <w:rPr>
          <w:rFonts w:ascii="Times New Roman" w:hAnsi="Times New Roman" w:cs="Times New Roman"/>
          <w:sz w:val="24"/>
          <w:szCs w:val="24"/>
          <w:lang w:val="pt-BR"/>
        </w:rPr>
        <w:t>and</w:t>
      </w:r>
      <w:proofErr w:type="spellEnd"/>
      <w:r w:rsidRPr="00722D73">
        <w:rPr>
          <w:rFonts w:ascii="Times New Roman" w:hAnsi="Times New Roman" w:cs="Times New Roman"/>
          <w:sz w:val="24"/>
          <w:szCs w:val="24"/>
          <w:lang w:val="pt-BR"/>
        </w:rPr>
        <w:t xml:space="preserve"> </w:t>
      </w:r>
      <w:proofErr w:type="spellStart"/>
      <w:r w:rsidRPr="00722D73">
        <w:rPr>
          <w:rFonts w:ascii="Times New Roman" w:hAnsi="Times New Roman" w:cs="Times New Roman"/>
          <w:sz w:val="24"/>
          <w:szCs w:val="24"/>
          <w:lang w:val="pt-BR"/>
        </w:rPr>
        <w:t>African</w:t>
      </w:r>
      <w:proofErr w:type="spellEnd"/>
      <w:r w:rsidRPr="00722D73">
        <w:rPr>
          <w:rFonts w:ascii="Times New Roman" w:hAnsi="Times New Roman" w:cs="Times New Roman"/>
          <w:sz w:val="24"/>
          <w:szCs w:val="24"/>
          <w:lang w:val="pt-BR"/>
        </w:rPr>
        <w:t xml:space="preserve"> </w:t>
      </w:r>
      <w:proofErr w:type="spellStart"/>
      <w:r w:rsidRPr="00722D73">
        <w:rPr>
          <w:rFonts w:ascii="Times New Roman" w:hAnsi="Times New Roman" w:cs="Times New Roman"/>
          <w:sz w:val="24"/>
          <w:szCs w:val="24"/>
          <w:lang w:val="pt-BR"/>
        </w:rPr>
        <w:t>Studies</w:t>
      </w:r>
      <w:proofErr w:type="spellEnd"/>
      <w:r w:rsidRPr="00722D73">
        <w:rPr>
          <w:rFonts w:ascii="Times New Roman" w:hAnsi="Times New Roman" w:cs="Times New Roman"/>
          <w:sz w:val="24"/>
          <w:szCs w:val="24"/>
          <w:lang w:val="pt-BR"/>
        </w:rPr>
        <w:t xml:space="preserve"> </w:t>
      </w:r>
      <w:proofErr w:type="spellStart"/>
      <w:r w:rsidRPr="00722D73">
        <w:rPr>
          <w:rFonts w:ascii="Times New Roman" w:hAnsi="Times New Roman" w:cs="Times New Roman"/>
          <w:sz w:val="24"/>
          <w:szCs w:val="24"/>
          <w:lang w:val="pt-BR"/>
        </w:rPr>
        <w:t>University</w:t>
      </w:r>
      <w:proofErr w:type="spellEnd"/>
      <w:r w:rsidRPr="00722D73">
        <w:rPr>
          <w:rFonts w:ascii="Times New Roman" w:hAnsi="Times New Roman" w:cs="Times New Roman"/>
          <w:sz w:val="24"/>
          <w:szCs w:val="24"/>
          <w:lang w:val="pt-BR"/>
        </w:rPr>
        <w:t xml:space="preserve"> </w:t>
      </w:r>
      <w:proofErr w:type="spellStart"/>
      <w:r w:rsidRPr="00722D73">
        <w:rPr>
          <w:rFonts w:ascii="Times New Roman" w:hAnsi="Times New Roman" w:cs="Times New Roman"/>
          <w:sz w:val="24"/>
          <w:szCs w:val="24"/>
          <w:lang w:val="pt-BR"/>
        </w:rPr>
        <w:t>of</w:t>
      </w:r>
      <w:proofErr w:type="spellEnd"/>
      <w:r w:rsidRPr="00722D73">
        <w:rPr>
          <w:rFonts w:ascii="Times New Roman" w:hAnsi="Times New Roman" w:cs="Times New Roman"/>
          <w:sz w:val="24"/>
          <w:szCs w:val="24"/>
          <w:lang w:val="pt-BR"/>
        </w:rPr>
        <w:t xml:space="preserve"> London. Nestes encontros são discutidas diversas pesquisas de professores e </w:t>
      </w:r>
      <w:proofErr w:type="spellStart"/>
      <w:proofErr w:type="gramStart"/>
      <w:r w:rsidR="0048574C" w:rsidRPr="00722D73">
        <w:rPr>
          <w:rFonts w:ascii="Times New Roman" w:hAnsi="Times New Roman" w:cs="Times New Roman"/>
          <w:sz w:val="24"/>
          <w:szCs w:val="24"/>
          <w:lang w:val="pt-BR"/>
        </w:rPr>
        <w:t>P</w:t>
      </w:r>
      <w:r w:rsidR="0048574C">
        <w:rPr>
          <w:rFonts w:ascii="Times New Roman" w:hAnsi="Times New Roman" w:cs="Times New Roman"/>
          <w:sz w:val="24"/>
          <w:szCs w:val="24"/>
          <w:lang w:val="pt-BR"/>
        </w:rPr>
        <w:t>h.</w:t>
      </w:r>
      <w:proofErr w:type="gramEnd"/>
      <w:r w:rsidR="0048574C">
        <w:rPr>
          <w:rFonts w:ascii="Times New Roman" w:hAnsi="Times New Roman" w:cs="Times New Roman"/>
          <w:sz w:val="24"/>
          <w:szCs w:val="24"/>
          <w:lang w:val="pt-BR"/>
        </w:rPr>
        <w:t>D.s</w:t>
      </w:r>
      <w:proofErr w:type="spellEnd"/>
      <w:r w:rsidRPr="00722D73">
        <w:rPr>
          <w:rFonts w:ascii="Times New Roman" w:hAnsi="Times New Roman" w:cs="Times New Roman"/>
          <w:sz w:val="24"/>
          <w:szCs w:val="24"/>
          <w:lang w:val="pt-BR"/>
        </w:rPr>
        <w:t xml:space="preserve"> sobre o tema do desenvolvimento econômico e</w:t>
      </w:r>
      <w:r w:rsidR="0048574C">
        <w:rPr>
          <w:rFonts w:ascii="Times New Roman" w:hAnsi="Times New Roman" w:cs="Times New Roman"/>
          <w:sz w:val="24"/>
          <w:szCs w:val="24"/>
          <w:lang w:val="pt-BR"/>
        </w:rPr>
        <w:t>ntre outros</w:t>
      </w:r>
      <w:r w:rsidRPr="00722D73">
        <w:rPr>
          <w:rFonts w:ascii="Times New Roman" w:hAnsi="Times New Roman" w:cs="Times New Roman"/>
          <w:sz w:val="24"/>
          <w:szCs w:val="24"/>
          <w:lang w:val="pt-BR"/>
        </w:rPr>
        <w:t xml:space="preserve"> temas afins. A apresentação dos resultados parciais desta pesquisa </w:t>
      </w:r>
      <w:r w:rsidR="0048574C">
        <w:rPr>
          <w:rFonts w:ascii="Times New Roman" w:hAnsi="Times New Roman" w:cs="Times New Roman"/>
          <w:sz w:val="24"/>
          <w:szCs w:val="24"/>
          <w:lang w:val="pt-BR"/>
        </w:rPr>
        <w:t xml:space="preserve">foi realizada no </w:t>
      </w:r>
      <w:r w:rsidRPr="00722D73">
        <w:rPr>
          <w:rFonts w:ascii="Times New Roman" w:hAnsi="Times New Roman" w:cs="Times New Roman"/>
          <w:sz w:val="24"/>
          <w:szCs w:val="24"/>
          <w:lang w:val="pt-BR"/>
        </w:rPr>
        <w:t>dia 12 de Mar</w:t>
      </w:r>
      <w:r w:rsidR="00B9491B" w:rsidRPr="00722D73">
        <w:rPr>
          <w:rFonts w:ascii="Times New Roman" w:hAnsi="Times New Roman" w:cs="Times New Roman"/>
          <w:sz w:val="24"/>
          <w:szCs w:val="24"/>
          <w:lang w:val="pt-BR"/>
        </w:rPr>
        <w:t>ç</w:t>
      </w:r>
      <w:r w:rsidRPr="00722D73">
        <w:rPr>
          <w:rFonts w:ascii="Times New Roman" w:hAnsi="Times New Roman" w:cs="Times New Roman"/>
          <w:sz w:val="24"/>
          <w:szCs w:val="24"/>
          <w:lang w:val="pt-BR"/>
        </w:rPr>
        <w:t>o de 2018</w:t>
      </w:r>
      <w:r w:rsidR="0048574C">
        <w:rPr>
          <w:rFonts w:ascii="Times New Roman" w:hAnsi="Times New Roman" w:cs="Times New Roman"/>
          <w:sz w:val="24"/>
          <w:szCs w:val="24"/>
          <w:lang w:val="pt-BR"/>
        </w:rPr>
        <w:t xml:space="preserve"> (</w:t>
      </w:r>
      <w:r w:rsidR="0048574C" w:rsidRPr="002B4FC4">
        <w:rPr>
          <w:rFonts w:ascii="Times New Roman" w:hAnsi="Times New Roman" w:cs="Times New Roman"/>
          <w:b/>
          <w:sz w:val="24"/>
          <w:szCs w:val="24"/>
          <w:lang w:val="pt-BR"/>
        </w:rPr>
        <w:t xml:space="preserve">comprovante </w:t>
      </w:r>
      <w:proofErr w:type="gramStart"/>
      <w:r w:rsidR="0048574C" w:rsidRPr="002B4FC4">
        <w:rPr>
          <w:rFonts w:ascii="Times New Roman" w:hAnsi="Times New Roman" w:cs="Times New Roman"/>
          <w:b/>
          <w:sz w:val="24"/>
          <w:szCs w:val="24"/>
          <w:lang w:val="pt-BR"/>
        </w:rPr>
        <w:t>3</w:t>
      </w:r>
      <w:proofErr w:type="gramEnd"/>
      <w:r w:rsidR="0048574C">
        <w:rPr>
          <w:rFonts w:ascii="Times New Roman" w:hAnsi="Times New Roman" w:cs="Times New Roman"/>
          <w:sz w:val="24"/>
          <w:szCs w:val="24"/>
          <w:lang w:val="pt-BR"/>
        </w:rPr>
        <w:t>)</w:t>
      </w:r>
      <w:r w:rsidR="00855B92" w:rsidRPr="00722D73">
        <w:rPr>
          <w:rFonts w:ascii="Times New Roman" w:hAnsi="Times New Roman" w:cs="Times New Roman"/>
          <w:sz w:val="24"/>
          <w:szCs w:val="24"/>
          <w:lang w:val="pt-BR"/>
        </w:rPr>
        <w:t>.</w:t>
      </w:r>
    </w:p>
    <w:p w14:paraId="57851092" w14:textId="1B25645E" w:rsidR="00722D73" w:rsidRDefault="00B9491B" w:rsidP="00D011C5">
      <w:pPr>
        <w:pStyle w:val="PargrafodaLista"/>
        <w:numPr>
          <w:ilvl w:val="0"/>
          <w:numId w:val="10"/>
        </w:numPr>
        <w:spacing w:after="120" w:line="360" w:lineRule="auto"/>
        <w:jc w:val="both"/>
        <w:rPr>
          <w:rFonts w:ascii="Times New Roman" w:hAnsi="Times New Roman" w:cs="Times New Roman"/>
          <w:sz w:val="24"/>
          <w:szCs w:val="24"/>
          <w:lang w:val="pt-BR"/>
        </w:rPr>
      </w:pPr>
      <w:proofErr w:type="spellStart"/>
      <w:r w:rsidRPr="00722D73">
        <w:rPr>
          <w:rFonts w:ascii="Times New Roman" w:hAnsi="Times New Roman" w:cs="Times New Roman"/>
          <w:sz w:val="24"/>
          <w:szCs w:val="24"/>
        </w:rPr>
        <w:t>Apresentação</w:t>
      </w:r>
      <w:proofErr w:type="spellEnd"/>
      <w:r w:rsidRPr="00722D73">
        <w:rPr>
          <w:rFonts w:ascii="Times New Roman" w:hAnsi="Times New Roman" w:cs="Times New Roman"/>
          <w:sz w:val="24"/>
          <w:szCs w:val="24"/>
        </w:rPr>
        <w:t xml:space="preserve"> do </w:t>
      </w:r>
      <w:proofErr w:type="spellStart"/>
      <w:r w:rsidR="00941BE3" w:rsidRPr="00722D73">
        <w:rPr>
          <w:rFonts w:ascii="Times New Roman" w:hAnsi="Times New Roman" w:cs="Times New Roman"/>
          <w:sz w:val="24"/>
          <w:szCs w:val="24"/>
        </w:rPr>
        <w:t>trabalho</w:t>
      </w:r>
      <w:proofErr w:type="spellEnd"/>
      <w:r w:rsidR="00941BE3" w:rsidRPr="00722D73">
        <w:rPr>
          <w:rFonts w:ascii="Times New Roman" w:hAnsi="Times New Roman" w:cs="Times New Roman"/>
          <w:sz w:val="24"/>
          <w:szCs w:val="24"/>
        </w:rPr>
        <w:t xml:space="preserve"> </w:t>
      </w:r>
      <w:proofErr w:type="spellStart"/>
      <w:r w:rsidR="00941BE3" w:rsidRPr="00722D73">
        <w:rPr>
          <w:rFonts w:ascii="Times New Roman" w:hAnsi="Times New Roman" w:cs="Times New Roman"/>
          <w:sz w:val="24"/>
          <w:szCs w:val="24"/>
        </w:rPr>
        <w:t>intitulado</w:t>
      </w:r>
      <w:proofErr w:type="spellEnd"/>
      <w:r w:rsidR="00941BE3" w:rsidRPr="00722D73">
        <w:rPr>
          <w:rFonts w:ascii="Times New Roman" w:hAnsi="Times New Roman" w:cs="Times New Roman"/>
          <w:sz w:val="24"/>
          <w:szCs w:val="24"/>
        </w:rPr>
        <w:t xml:space="preserve"> “The international political economy of intellectual property: mapping the asymmetries between countries and regions” no workshop “Rising Powers in 2018” </w:t>
      </w:r>
      <w:proofErr w:type="spellStart"/>
      <w:r w:rsidRPr="00722D73">
        <w:rPr>
          <w:rFonts w:ascii="Times New Roman" w:hAnsi="Times New Roman" w:cs="Times New Roman"/>
          <w:sz w:val="24"/>
          <w:szCs w:val="24"/>
        </w:rPr>
        <w:t>dia</w:t>
      </w:r>
      <w:proofErr w:type="spellEnd"/>
      <w:r w:rsidRPr="00722D73">
        <w:rPr>
          <w:rFonts w:ascii="Times New Roman" w:hAnsi="Times New Roman" w:cs="Times New Roman"/>
          <w:sz w:val="24"/>
          <w:szCs w:val="24"/>
        </w:rPr>
        <w:t xml:space="preserve"> 23 de Abril de 2018. </w:t>
      </w:r>
      <w:r w:rsidRPr="00722D73">
        <w:rPr>
          <w:rFonts w:ascii="Times New Roman" w:hAnsi="Times New Roman" w:cs="Times New Roman"/>
          <w:sz w:val="24"/>
          <w:szCs w:val="24"/>
          <w:lang w:val="pt-BR"/>
        </w:rPr>
        <w:t>O workshop foi p</w:t>
      </w:r>
      <w:r w:rsidR="00941BE3" w:rsidRPr="00722D73">
        <w:rPr>
          <w:rFonts w:ascii="Times New Roman" w:hAnsi="Times New Roman" w:cs="Times New Roman"/>
          <w:sz w:val="24"/>
          <w:szCs w:val="24"/>
          <w:lang w:val="pt-BR"/>
        </w:rPr>
        <w:t xml:space="preserve">romovido pelo grupo </w:t>
      </w:r>
      <w:r w:rsidR="00855B92" w:rsidRPr="00722D73">
        <w:rPr>
          <w:rFonts w:ascii="Times New Roman" w:hAnsi="Times New Roman" w:cs="Times New Roman"/>
          <w:sz w:val="24"/>
          <w:szCs w:val="24"/>
          <w:lang w:val="pt-BR"/>
        </w:rPr>
        <w:t>“</w:t>
      </w:r>
      <w:proofErr w:type="spellStart"/>
      <w:r w:rsidR="00941BE3" w:rsidRPr="00722D73">
        <w:rPr>
          <w:rFonts w:ascii="Times New Roman" w:hAnsi="Times New Roman" w:cs="Times New Roman"/>
          <w:sz w:val="24"/>
          <w:szCs w:val="24"/>
          <w:lang w:val="pt-BR"/>
        </w:rPr>
        <w:t>Rising</w:t>
      </w:r>
      <w:proofErr w:type="spellEnd"/>
      <w:r w:rsidR="00941BE3" w:rsidRPr="00722D73">
        <w:rPr>
          <w:rFonts w:ascii="Times New Roman" w:hAnsi="Times New Roman" w:cs="Times New Roman"/>
          <w:sz w:val="24"/>
          <w:szCs w:val="24"/>
          <w:lang w:val="pt-BR"/>
        </w:rPr>
        <w:t xml:space="preserve"> </w:t>
      </w:r>
      <w:proofErr w:type="spellStart"/>
      <w:r w:rsidR="00941BE3" w:rsidRPr="00722D73">
        <w:rPr>
          <w:rFonts w:ascii="Times New Roman" w:hAnsi="Times New Roman" w:cs="Times New Roman"/>
          <w:sz w:val="24"/>
          <w:szCs w:val="24"/>
          <w:lang w:val="pt-BR"/>
        </w:rPr>
        <w:t>Powers</w:t>
      </w:r>
      <w:proofErr w:type="spellEnd"/>
      <w:r w:rsidR="00941BE3" w:rsidRPr="00722D73">
        <w:rPr>
          <w:rFonts w:ascii="Times New Roman" w:hAnsi="Times New Roman" w:cs="Times New Roman"/>
          <w:sz w:val="24"/>
          <w:szCs w:val="24"/>
          <w:lang w:val="pt-BR"/>
        </w:rPr>
        <w:t xml:space="preserve"> </w:t>
      </w:r>
      <w:proofErr w:type="spellStart"/>
      <w:r w:rsidR="00941BE3" w:rsidRPr="00722D73">
        <w:rPr>
          <w:rFonts w:ascii="Times New Roman" w:hAnsi="Times New Roman" w:cs="Times New Roman"/>
          <w:sz w:val="24"/>
          <w:szCs w:val="24"/>
          <w:lang w:val="pt-BR"/>
        </w:rPr>
        <w:t>Study</w:t>
      </w:r>
      <w:proofErr w:type="spellEnd"/>
      <w:r w:rsidR="00941BE3" w:rsidRPr="00722D73">
        <w:rPr>
          <w:rFonts w:ascii="Times New Roman" w:hAnsi="Times New Roman" w:cs="Times New Roman"/>
          <w:sz w:val="24"/>
          <w:szCs w:val="24"/>
          <w:lang w:val="pt-BR"/>
        </w:rPr>
        <w:t xml:space="preserve"> </w:t>
      </w:r>
      <w:proofErr w:type="spellStart"/>
      <w:r w:rsidR="00941BE3" w:rsidRPr="00722D73">
        <w:rPr>
          <w:rFonts w:ascii="Times New Roman" w:hAnsi="Times New Roman" w:cs="Times New Roman"/>
          <w:sz w:val="24"/>
          <w:szCs w:val="24"/>
          <w:lang w:val="pt-BR"/>
        </w:rPr>
        <w:t>Group</w:t>
      </w:r>
      <w:proofErr w:type="spellEnd"/>
      <w:r w:rsidR="00855B92" w:rsidRPr="00722D73">
        <w:rPr>
          <w:rFonts w:ascii="Times New Roman" w:hAnsi="Times New Roman" w:cs="Times New Roman"/>
          <w:sz w:val="24"/>
          <w:szCs w:val="24"/>
          <w:lang w:val="pt-BR"/>
        </w:rPr>
        <w:t>”</w:t>
      </w:r>
      <w:r w:rsidR="00941BE3" w:rsidRPr="00722D73">
        <w:rPr>
          <w:rFonts w:ascii="Times New Roman" w:hAnsi="Times New Roman" w:cs="Times New Roman"/>
          <w:sz w:val="24"/>
          <w:szCs w:val="24"/>
          <w:lang w:val="pt-BR"/>
        </w:rPr>
        <w:t xml:space="preserve"> que é parte da </w:t>
      </w:r>
      <w:r w:rsidR="00855B92" w:rsidRPr="00722D73">
        <w:rPr>
          <w:rFonts w:ascii="Times New Roman" w:hAnsi="Times New Roman" w:cs="Times New Roman"/>
          <w:sz w:val="24"/>
          <w:szCs w:val="24"/>
          <w:lang w:val="pt-BR"/>
        </w:rPr>
        <w:t>“</w:t>
      </w:r>
      <w:proofErr w:type="spellStart"/>
      <w:r w:rsidR="00941BE3" w:rsidRPr="00722D73">
        <w:rPr>
          <w:rFonts w:ascii="Times New Roman" w:hAnsi="Times New Roman" w:cs="Times New Roman"/>
          <w:sz w:val="24"/>
          <w:szCs w:val="24"/>
          <w:lang w:val="pt-BR"/>
        </w:rPr>
        <w:t>Development</w:t>
      </w:r>
      <w:proofErr w:type="spellEnd"/>
      <w:r w:rsidR="00941BE3" w:rsidRPr="00722D73">
        <w:rPr>
          <w:rFonts w:ascii="Times New Roman" w:hAnsi="Times New Roman" w:cs="Times New Roman"/>
          <w:sz w:val="24"/>
          <w:szCs w:val="24"/>
          <w:lang w:val="pt-BR"/>
        </w:rPr>
        <w:t xml:space="preserve"> </w:t>
      </w:r>
      <w:proofErr w:type="spellStart"/>
      <w:r w:rsidR="00941BE3" w:rsidRPr="00722D73">
        <w:rPr>
          <w:rFonts w:ascii="Times New Roman" w:hAnsi="Times New Roman" w:cs="Times New Roman"/>
          <w:sz w:val="24"/>
          <w:szCs w:val="24"/>
          <w:lang w:val="pt-BR"/>
        </w:rPr>
        <w:t>Studies</w:t>
      </w:r>
      <w:proofErr w:type="spellEnd"/>
      <w:r w:rsidR="00941BE3" w:rsidRPr="00722D73">
        <w:rPr>
          <w:rFonts w:ascii="Times New Roman" w:hAnsi="Times New Roman" w:cs="Times New Roman"/>
          <w:sz w:val="24"/>
          <w:szCs w:val="24"/>
          <w:lang w:val="pt-BR"/>
        </w:rPr>
        <w:t xml:space="preserve"> </w:t>
      </w:r>
      <w:proofErr w:type="spellStart"/>
      <w:r w:rsidR="00941BE3" w:rsidRPr="00722D73">
        <w:rPr>
          <w:rFonts w:ascii="Times New Roman" w:hAnsi="Times New Roman" w:cs="Times New Roman"/>
          <w:sz w:val="24"/>
          <w:szCs w:val="24"/>
          <w:lang w:val="pt-BR"/>
        </w:rPr>
        <w:t>Association</w:t>
      </w:r>
      <w:proofErr w:type="spellEnd"/>
      <w:r w:rsidR="00855B92" w:rsidRPr="00722D73">
        <w:rPr>
          <w:rFonts w:ascii="Times New Roman" w:hAnsi="Times New Roman" w:cs="Times New Roman"/>
          <w:sz w:val="24"/>
          <w:szCs w:val="24"/>
          <w:lang w:val="pt-BR"/>
        </w:rPr>
        <w:t>”</w:t>
      </w:r>
      <w:r w:rsidR="00941BE3" w:rsidRPr="00722D73">
        <w:rPr>
          <w:rFonts w:ascii="Times New Roman" w:hAnsi="Times New Roman" w:cs="Times New Roman"/>
          <w:sz w:val="24"/>
          <w:szCs w:val="24"/>
          <w:lang w:val="pt-BR"/>
        </w:rPr>
        <w:t>. A apresentação é uma derivação d</w:t>
      </w:r>
      <w:r w:rsidRPr="00722D73">
        <w:rPr>
          <w:rFonts w:ascii="Times New Roman" w:hAnsi="Times New Roman" w:cs="Times New Roman"/>
          <w:sz w:val="24"/>
          <w:szCs w:val="24"/>
          <w:lang w:val="pt-BR"/>
        </w:rPr>
        <w:t>os</w:t>
      </w:r>
      <w:r w:rsidR="00941BE3" w:rsidRPr="00722D73">
        <w:rPr>
          <w:rFonts w:ascii="Times New Roman" w:hAnsi="Times New Roman" w:cs="Times New Roman"/>
          <w:sz w:val="24"/>
          <w:szCs w:val="24"/>
          <w:lang w:val="pt-BR"/>
        </w:rPr>
        <w:t xml:space="preserve"> resultados encontrados nesta pesquisa tendo como foco </w:t>
      </w:r>
      <w:proofErr w:type="gramStart"/>
      <w:r w:rsidR="00941BE3" w:rsidRPr="00722D73">
        <w:rPr>
          <w:rFonts w:ascii="Times New Roman" w:hAnsi="Times New Roman" w:cs="Times New Roman"/>
          <w:sz w:val="24"/>
          <w:szCs w:val="24"/>
          <w:lang w:val="pt-BR"/>
        </w:rPr>
        <w:t>os desempenho</w:t>
      </w:r>
      <w:proofErr w:type="gramEnd"/>
      <w:r w:rsidR="00941BE3" w:rsidRPr="00722D73">
        <w:rPr>
          <w:rFonts w:ascii="Times New Roman" w:hAnsi="Times New Roman" w:cs="Times New Roman"/>
          <w:sz w:val="24"/>
          <w:szCs w:val="24"/>
          <w:lang w:val="pt-BR"/>
        </w:rPr>
        <w:t xml:space="preserve"> dos países </w:t>
      </w:r>
      <w:r w:rsidR="00855B92" w:rsidRPr="00722D73">
        <w:rPr>
          <w:rFonts w:ascii="Times New Roman" w:hAnsi="Times New Roman" w:cs="Times New Roman"/>
          <w:sz w:val="24"/>
          <w:szCs w:val="24"/>
          <w:lang w:val="pt-BR"/>
        </w:rPr>
        <w:t>que pertencem a</w:t>
      </w:r>
      <w:r w:rsidR="00941BE3" w:rsidRPr="00722D73">
        <w:rPr>
          <w:rFonts w:ascii="Times New Roman" w:hAnsi="Times New Roman" w:cs="Times New Roman"/>
          <w:sz w:val="24"/>
          <w:szCs w:val="24"/>
          <w:lang w:val="pt-BR"/>
        </w:rPr>
        <w:t>o grupo BRICS nos dados levantados até então</w:t>
      </w:r>
      <w:r w:rsidR="0048574C">
        <w:rPr>
          <w:rFonts w:ascii="Times New Roman" w:hAnsi="Times New Roman" w:cs="Times New Roman"/>
          <w:sz w:val="24"/>
          <w:szCs w:val="24"/>
          <w:lang w:val="pt-BR"/>
        </w:rPr>
        <w:t xml:space="preserve"> (</w:t>
      </w:r>
      <w:r w:rsidR="0048574C" w:rsidRPr="002B4FC4">
        <w:rPr>
          <w:rFonts w:ascii="Times New Roman" w:hAnsi="Times New Roman" w:cs="Times New Roman"/>
          <w:b/>
          <w:sz w:val="24"/>
          <w:szCs w:val="24"/>
          <w:lang w:val="pt-BR"/>
        </w:rPr>
        <w:t>comprovante 4</w:t>
      </w:r>
      <w:r w:rsidR="0048574C">
        <w:rPr>
          <w:rFonts w:ascii="Times New Roman" w:hAnsi="Times New Roman" w:cs="Times New Roman"/>
          <w:sz w:val="24"/>
          <w:szCs w:val="24"/>
          <w:lang w:val="pt-BR"/>
        </w:rPr>
        <w:t>)</w:t>
      </w:r>
      <w:r w:rsidR="00941BE3" w:rsidRPr="00722D73">
        <w:rPr>
          <w:rFonts w:ascii="Times New Roman" w:hAnsi="Times New Roman" w:cs="Times New Roman"/>
          <w:sz w:val="24"/>
          <w:szCs w:val="24"/>
          <w:lang w:val="pt-BR"/>
        </w:rPr>
        <w:t xml:space="preserve">. </w:t>
      </w:r>
    </w:p>
    <w:p w14:paraId="1F33D5D7" w14:textId="019EEE3A" w:rsidR="00D011C5" w:rsidRPr="00722D73" w:rsidRDefault="00D6249B" w:rsidP="00D011C5">
      <w:pPr>
        <w:pStyle w:val="PargrafodaLista"/>
        <w:numPr>
          <w:ilvl w:val="0"/>
          <w:numId w:val="10"/>
        </w:numPr>
        <w:spacing w:after="120" w:line="360" w:lineRule="auto"/>
        <w:jc w:val="both"/>
        <w:rPr>
          <w:rFonts w:ascii="Times New Roman" w:hAnsi="Times New Roman" w:cs="Times New Roman"/>
          <w:sz w:val="24"/>
          <w:szCs w:val="24"/>
          <w:lang w:val="pt-BR"/>
        </w:rPr>
      </w:pPr>
      <w:r w:rsidRPr="00722D73">
        <w:rPr>
          <w:rFonts w:ascii="Times New Roman" w:hAnsi="Times New Roman" w:cs="Times New Roman"/>
          <w:sz w:val="24"/>
          <w:szCs w:val="24"/>
          <w:lang w:val="pt-BR"/>
        </w:rPr>
        <w:t>Apresentação</w:t>
      </w:r>
      <w:r w:rsidR="00FE3562" w:rsidRPr="00722D73">
        <w:rPr>
          <w:rFonts w:ascii="Times New Roman" w:hAnsi="Times New Roman" w:cs="Times New Roman"/>
          <w:sz w:val="24"/>
          <w:szCs w:val="24"/>
          <w:lang w:val="pt-BR"/>
        </w:rPr>
        <w:t xml:space="preserve"> do trabalho intitulado “</w:t>
      </w:r>
      <w:proofErr w:type="spellStart"/>
      <w:r w:rsidR="00FE3562" w:rsidRPr="00722D73">
        <w:rPr>
          <w:rFonts w:ascii="Times New Roman" w:hAnsi="Times New Roman" w:cs="Times New Roman"/>
          <w:sz w:val="24"/>
          <w:szCs w:val="24"/>
          <w:lang w:val="pt-BR"/>
        </w:rPr>
        <w:t>International</w:t>
      </w:r>
      <w:proofErr w:type="spellEnd"/>
      <w:r w:rsidR="00FE3562" w:rsidRPr="00722D73">
        <w:rPr>
          <w:rFonts w:ascii="Times New Roman" w:hAnsi="Times New Roman" w:cs="Times New Roman"/>
          <w:sz w:val="24"/>
          <w:szCs w:val="24"/>
          <w:lang w:val="pt-BR"/>
        </w:rPr>
        <w:t xml:space="preserve"> </w:t>
      </w:r>
      <w:proofErr w:type="spellStart"/>
      <w:r w:rsidR="00FE3562" w:rsidRPr="00722D73">
        <w:rPr>
          <w:rFonts w:ascii="Times New Roman" w:hAnsi="Times New Roman" w:cs="Times New Roman"/>
          <w:sz w:val="24"/>
          <w:szCs w:val="24"/>
          <w:lang w:val="pt-BR"/>
        </w:rPr>
        <w:t>flows</w:t>
      </w:r>
      <w:proofErr w:type="spellEnd"/>
      <w:r w:rsidR="00FE3562" w:rsidRPr="00722D73">
        <w:rPr>
          <w:rFonts w:ascii="Times New Roman" w:hAnsi="Times New Roman" w:cs="Times New Roman"/>
          <w:sz w:val="24"/>
          <w:szCs w:val="24"/>
          <w:lang w:val="pt-BR"/>
        </w:rPr>
        <w:t xml:space="preserve"> </w:t>
      </w:r>
      <w:proofErr w:type="spellStart"/>
      <w:r w:rsidR="00FE3562" w:rsidRPr="00722D73">
        <w:rPr>
          <w:rFonts w:ascii="Times New Roman" w:hAnsi="Times New Roman" w:cs="Times New Roman"/>
          <w:sz w:val="24"/>
          <w:szCs w:val="24"/>
          <w:lang w:val="pt-BR"/>
        </w:rPr>
        <w:t>of</w:t>
      </w:r>
      <w:proofErr w:type="spellEnd"/>
      <w:r w:rsidR="00FE3562" w:rsidRPr="00722D73">
        <w:rPr>
          <w:rFonts w:ascii="Times New Roman" w:hAnsi="Times New Roman" w:cs="Times New Roman"/>
          <w:sz w:val="24"/>
          <w:szCs w:val="24"/>
          <w:lang w:val="pt-BR"/>
        </w:rPr>
        <w:t xml:space="preserve"> </w:t>
      </w:r>
      <w:proofErr w:type="spellStart"/>
      <w:r w:rsidR="00FE3562" w:rsidRPr="00722D73">
        <w:rPr>
          <w:rFonts w:ascii="Times New Roman" w:hAnsi="Times New Roman" w:cs="Times New Roman"/>
          <w:sz w:val="24"/>
          <w:szCs w:val="24"/>
          <w:lang w:val="pt-BR"/>
        </w:rPr>
        <w:t>intellectual</w:t>
      </w:r>
      <w:proofErr w:type="spellEnd"/>
      <w:r w:rsidR="00FE3562" w:rsidRPr="00722D73">
        <w:rPr>
          <w:rFonts w:ascii="Times New Roman" w:hAnsi="Times New Roman" w:cs="Times New Roman"/>
          <w:sz w:val="24"/>
          <w:szCs w:val="24"/>
          <w:lang w:val="pt-BR"/>
        </w:rPr>
        <w:t xml:space="preserve"> </w:t>
      </w:r>
      <w:proofErr w:type="spellStart"/>
      <w:r w:rsidR="00FE3562" w:rsidRPr="00722D73">
        <w:rPr>
          <w:rFonts w:ascii="Times New Roman" w:hAnsi="Times New Roman" w:cs="Times New Roman"/>
          <w:sz w:val="24"/>
          <w:szCs w:val="24"/>
          <w:lang w:val="pt-BR"/>
        </w:rPr>
        <w:t>property</w:t>
      </w:r>
      <w:proofErr w:type="spellEnd"/>
      <w:r w:rsidR="00FE3562" w:rsidRPr="00722D73">
        <w:rPr>
          <w:rFonts w:ascii="Times New Roman" w:hAnsi="Times New Roman" w:cs="Times New Roman"/>
          <w:sz w:val="24"/>
          <w:szCs w:val="24"/>
          <w:lang w:val="pt-BR"/>
        </w:rPr>
        <w:t>:</w:t>
      </w:r>
      <w:r w:rsidR="00D011C5" w:rsidRPr="00722D73">
        <w:rPr>
          <w:rFonts w:ascii="Times New Roman" w:hAnsi="Times New Roman" w:cs="Times New Roman"/>
          <w:sz w:val="24"/>
          <w:szCs w:val="24"/>
          <w:lang w:val="pt-BR"/>
        </w:rPr>
        <w:t xml:space="preserve"> </w:t>
      </w:r>
      <w:proofErr w:type="spellStart"/>
      <w:r w:rsidR="00FE3562" w:rsidRPr="00722D73">
        <w:rPr>
          <w:rFonts w:ascii="Times New Roman" w:hAnsi="Times New Roman" w:cs="Times New Roman"/>
          <w:sz w:val="24"/>
          <w:szCs w:val="24"/>
          <w:lang w:val="pt-BR"/>
        </w:rPr>
        <w:t>highlighting</w:t>
      </w:r>
      <w:proofErr w:type="spellEnd"/>
      <w:r w:rsidR="00FE3562" w:rsidRPr="00722D73">
        <w:rPr>
          <w:rFonts w:ascii="Times New Roman" w:hAnsi="Times New Roman" w:cs="Times New Roman"/>
          <w:sz w:val="24"/>
          <w:szCs w:val="24"/>
          <w:lang w:val="pt-BR"/>
        </w:rPr>
        <w:t xml:space="preserve"> </w:t>
      </w:r>
      <w:proofErr w:type="spellStart"/>
      <w:r w:rsidR="00FE3562" w:rsidRPr="00722D73">
        <w:rPr>
          <w:rFonts w:ascii="Times New Roman" w:hAnsi="Times New Roman" w:cs="Times New Roman"/>
          <w:sz w:val="24"/>
          <w:szCs w:val="24"/>
          <w:lang w:val="pt-BR"/>
        </w:rPr>
        <w:t>the</w:t>
      </w:r>
      <w:proofErr w:type="spellEnd"/>
      <w:r w:rsidR="00FE3562" w:rsidRPr="00722D73">
        <w:rPr>
          <w:rFonts w:ascii="Times New Roman" w:hAnsi="Times New Roman" w:cs="Times New Roman"/>
          <w:sz w:val="24"/>
          <w:szCs w:val="24"/>
          <w:lang w:val="pt-BR"/>
        </w:rPr>
        <w:t xml:space="preserve"> </w:t>
      </w:r>
      <w:proofErr w:type="spellStart"/>
      <w:r w:rsidR="00FE3562" w:rsidRPr="00722D73">
        <w:rPr>
          <w:rFonts w:ascii="Times New Roman" w:hAnsi="Times New Roman" w:cs="Times New Roman"/>
          <w:sz w:val="24"/>
          <w:szCs w:val="24"/>
          <w:lang w:val="pt-BR"/>
        </w:rPr>
        <w:t>asymmetries</w:t>
      </w:r>
      <w:proofErr w:type="spellEnd"/>
      <w:r w:rsidR="00D011C5" w:rsidRPr="00722D73">
        <w:rPr>
          <w:rFonts w:ascii="Times New Roman" w:hAnsi="Times New Roman" w:cs="Times New Roman"/>
          <w:sz w:val="24"/>
          <w:szCs w:val="24"/>
          <w:lang w:val="pt-BR"/>
        </w:rPr>
        <w:t xml:space="preserve"> </w:t>
      </w:r>
      <w:proofErr w:type="spellStart"/>
      <w:r w:rsidR="00FE3562" w:rsidRPr="00722D73">
        <w:rPr>
          <w:rFonts w:ascii="Times New Roman" w:hAnsi="Times New Roman" w:cs="Times New Roman"/>
          <w:sz w:val="24"/>
          <w:szCs w:val="24"/>
          <w:lang w:val="pt-BR"/>
        </w:rPr>
        <w:t>among</w:t>
      </w:r>
      <w:proofErr w:type="spellEnd"/>
      <w:r w:rsidR="00FE3562" w:rsidRPr="00722D73">
        <w:rPr>
          <w:rFonts w:ascii="Times New Roman" w:hAnsi="Times New Roman" w:cs="Times New Roman"/>
          <w:sz w:val="24"/>
          <w:szCs w:val="24"/>
          <w:lang w:val="pt-BR"/>
        </w:rPr>
        <w:t xml:space="preserve"> countries </w:t>
      </w:r>
      <w:proofErr w:type="spellStart"/>
      <w:r w:rsidR="00FE3562" w:rsidRPr="00722D73">
        <w:rPr>
          <w:rFonts w:ascii="Times New Roman" w:hAnsi="Times New Roman" w:cs="Times New Roman"/>
          <w:sz w:val="24"/>
          <w:szCs w:val="24"/>
          <w:lang w:val="pt-BR"/>
        </w:rPr>
        <w:t>and</w:t>
      </w:r>
      <w:proofErr w:type="spellEnd"/>
      <w:r w:rsidR="00FE3562" w:rsidRPr="00722D73">
        <w:rPr>
          <w:rFonts w:ascii="Times New Roman" w:hAnsi="Times New Roman" w:cs="Times New Roman"/>
          <w:sz w:val="24"/>
          <w:szCs w:val="24"/>
          <w:lang w:val="pt-BR"/>
        </w:rPr>
        <w:t xml:space="preserve"> </w:t>
      </w:r>
      <w:proofErr w:type="spellStart"/>
      <w:r w:rsidR="00FE3562" w:rsidRPr="00722D73">
        <w:rPr>
          <w:rFonts w:ascii="Times New Roman" w:hAnsi="Times New Roman" w:cs="Times New Roman"/>
          <w:sz w:val="24"/>
          <w:szCs w:val="24"/>
          <w:lang w:val="pt-BR"/>
        </w:rPr>
        <w:t>regions</w:t>
      </w:r>
      <w:proofErr w:type="spellEnd"/>
      <w:r w:rsidR="00D011C5" w:rsidRPr="00722D73">
        <w:rPr>
          <w:rFonts w:ascii="Times New Roman" w:hAnsi="Times New Roman" w:cs="Times New Roman"/>
          <w:sz w:val="24"/>
          <w:szCs w:val="24"/>
          <w:lang w:val="pt-BR"/>
        </w:rPr>
        <w:t xml:space="preserve">” no Young Scholars </w:t>
      </w:r>
      <w:proofErr w:type="spellStart"/>
      <w:r w:rsidR="00D011C5" w:rsidRPr="00722D73">
        <w:rPr>
          <w:rFonts w:ascii="Times New Roman" w:hAnsi="Times New Roman" w:cs="Times New Roman"/>
          <w:sz w:val="24"/>
          <w:szCs w:val="24"/>
          <w:lang w:val="pt-BR"/>
        </w:rPr>
        <w:t>Initiative</w:t>
      </w:r>
      <w:proofErr w:type="spellEnd"/>
      <w:r w:rsidR="00D011C5" w:rsidRPr="00722D73">
        <w:rPr>
          <w:rFonts w:ascii="Times New Roman" w:hAnsi="Times New Roman" w:cs="Times New Roman"/>
          <w:sz w:val="24"/>
          <w:szCs w:val="24"/>
          <w:lang w:val="pt-BR"/>
        </w:rPr>
        <w:t xml:space="preserve"> Workshop “</w:t>
      </w:r>
      <w:proofErr w:type="spellStart"/>
      <w:r w:rsidR="00D011C5" w:rsidRPr="00722D73">
        <w:rPr>
          <w:rFonts w:ascii="Times New Roman" w:hAnsi="Times New Roman" w:cs="Times New Roman"/>
          <w:sz w:val="24"/>
          <w:szCs w:val="24"/>
          <w:lang w:val="pt-BR"/>
        </w:rPr>
        <w:t>Political</w:t>
      </w:r>
      <w:proofErr w:type="spellEnd"/>
      <w:r w:rsidR="00D011C5" w:rsidRPr="00722D73">
        <w:rPr>
          <w:rFonts w:ascii="Times New Roman" w:hAnsi="Times New Roman" w:cs="Times New Roman"/>
          <w:sz w:val="24"/>
          <w:szCs w:val="24"/>
          <w:lang w:val="pt-BR"/>
        </w:rPr>
        <w:t xml:space="preserve"> </w:t>
      </w:r>
      <w:proofErr w:type="spellStart"/>
      <w:r w:rsidR="00D011C5" w:rsidRPr="00722D73">
        <w:rPr>
          <w:rFonts w:ascii="Times New Roman" w:hAnsi="Times New Roman" w:cs="Times New Roman"/>
          <w:sz w:val="24"/>
          <w:szCs w:val="24"/>
          <w:lang w:val="pt-BR"/>
        </w:rPr>
        <w:t>Economy</w:t>
      </w:r>
      <w:proofErr w:type="spellEnd"/>
      <w:r w:rsidR="00D011C5" w:rsidRPr="00722D73">
        <w:rPr>
          <w:rFonts w:ascii="Times New Roman" w:hAnsi="Times New Roman" w:cs="Times New Roman"/>
          <w:sz w:val="24"/>
          <w:szCs w:val="24"/>
          <w:lang w:val="pt-BR"/>
        </w:rPr>
        <w:t xml:space="preserve"> </w:t>
      </w:r>
      <w:proofErr w:type="spellStart"/>
      <w:r w:rsidR="00D011C5" w:rsidRPr="00722D73">
        <w:rPr>
          <w:rFonts w:ascii="Times New Roman" w:hAnsi="Times New Roman" w:cs="Times New Roman"/>
          <w:sz w:val="24"/>
          <w:szCs w:val="24"/>
          <w:lang w:val="pt-BR"/>
        </w:rPr>
        <w:t>of</w:t>
      </w:r>
      <w:proofErr w:type="spellEnd"/>
      <w:r w:rsidR="00D011C5" w:rsidRPr="00722D73">
        <w:rPr>
          <w:rFonts w:ascii="Times New Roman" w:hAnsi="Times New Roman" w:cs="Times New Roman"/>
          <w:sz w:val="24"/>
          <w:szCs w:val="24"/>
          <w:lang w:val="pt-BR"/>
        </w:rPr>
        <w:t xml:space="preserve"> </w:t>
      </w:r>
      <w:proofErr w:type="spellStart"/>
      <w:r w:rsidR="00D011C5" w:rsidRPr="00722D73">
        <w:rPr>
          <w:rFonts w:ascii="Times New Roman" w:hAnsi="Times New Roman" w:cs="Times New Roman"/>
          <w:sz w:val="24"/>
          <w:szCs w:val="24"/>
          <w:lang w:val="pt-BR"/>
        </w:rPr>
        <w:t>Capitalism</w:t>
      </w:r>
      <w:proofErr w:type="spellEnd"/>
      <w:r w:rsidR="00D011C5" w:rsidRPr="00722D73">
        <w:rPr>
          <w:rFonts w:ascii="Times New Roman" w:hAnsi="Times New Roman" w:cs="Times New Roman"/>
          <w:sz w:val="24"/>
          <w:szCs w:val="24"/>
          <w:lang w:val="pt-BR"/>
        </w:rPr>
        <w:t xml:space="preserve">” realizado na Universidade de Genebra entre os dias 27 e 29​ de Agosto de 2018 promovido e patrocinado pelo </w:t>
      </w:r>
      <w:proofErr w:type="spellStart"/>
      <w:r w:rsidR="00D011C5" w:rsidRPr="00722D73">
        <w:rPr>
          <w:rFonts w:ascii="Times New Roman" w:hAnsi="Times New Roman" w:cs="Times New Roman"/>
          <w:sz w:val="24"/>
          <w:szCs w:val="24"/>
          <w:lang w:val="pt-BR"/>
        </w:rPr>
        <w:t>Institute</w:t>
      </w:r>
      <w:proofErr w:type="spellEnd"/>
      <w:r w:rsidR="00D011C5" w:rsidRPr="00722D73">
        <w:rPr>
          <w:rFonts w:ascii="Times New Roman" w:hAnsi="Times New Roman" w:cs="Times New Roman"/>
          <w:sz w:val="24"/>
          <w:szCs w:val="24"/>
          <w:lang w:val="pt-BR"/>
        </w:rPr>
        <w:t xml:space="preserve"> for New </w:t>
      </w:r>
      <w:proofErr w:type="spellStart"/>
      <w:r w:rsidR="00D011C5" w:rsidRPr="00722D73">
        <w:rPr>
          <w:rFonts w:ascii="Times New Roman" w:hAnsi="Times New Roman" w:cs="Times New Roman"/>
          <w:sz w:val="24"/>
          <w:szCs w:val="24"/>
          <w:lang w:val="pt-BR"/>
        </w:rPr>
        <w:t>Economic</w:t>
      </w:r>
      <w:proofErr w:type="spellEnd"/>
      <w:r w:rsidR="00D011C5" w:rsidRPr="00722D73">
        <w:rPr>
          <w:rFonts w:ascii="Times New Roman" w:hAnsi="Times New Roman" w:cs="Times New Roman"/>
          <w:sz w:val="24"/>
          <w:szCs w:val="24"/>
          <w:lang w:val="pt-BR"/>
        </w:rPr>
        <w:t xml:space="preserve"> </w:t>
      </w:r>
      <w:proofErr w:type="spellStart"/>
      <w:r w:rsidR="00D011C5" w:rsidRPr="00722D73">
        <w:rPr>
          <w:rFonts w:ascii="Times New Roman" w:hAnsi="Times New Roman" w:cs="Times New Roman"/>
          <w:sz w:val="24"/>
          <w:szCs w:val="24"/>
          <w:lang w:val="pt-BR"/>
        </w:rPr>
        <w:t>Thinking</w:t>
      </w:r>
      <w:proofErr w:type="spellEnd"/>
      <w:r w:rsidR="0048574C">
        <w:rPr>
          <w:rFonts w:ascii="Times New Roman" w:hAnsi="Times New Roman" w:cs="Times New Roman"/>
          <w:sz w:val="24"/>
          <w:szCs w:val="24"/>
          <w:lang w:val="pt-BR"/>
        </w:rPr>
        <w:t xml:space="preserve"> (</w:t>
      </w:r>
      <w:r w:rsidR="0048574C" w:rsidRPr="002B4FC4">
        <w:rPr>
          <w:rFonts w:ascii="Times New Roman" w:hAnsi="Times New Roman" w:cs="Times New Roman"/>
          <w:b/>
          <w:sz w:val="24"/>
          <w:szCs w:val="24"/>
          <w:lang w:val="pt-BR"/>
        </w:rPr>
        <w:t xml:space="preserve">comprovante </w:t>
      </w:r>
      <w:proofErr w:type="gramStart"/>
      <w:r w:rsidR="0048574C" w:rsidRPr="002B4FC4">
        <w:rPr>
          <w:rFonts w:ascii="Times New Roman" w:hAnsi="Times New Roman" w:cs="Times New Roman"/>
          <w:b/>
          <w:sz w:val="24"/>
          <w:szCs w:val="24"/>
          <w:lang w:val="pt-BR"/>
        </w:rPr>
        <w:t>5</w:t>
      </w:r>
      <w:proofErr w:type="gramEnd"/>
      <w:r w:rsidR="0048574C">
        <w:rPr>
          <w:rFonts w:ascii="Times New Roman" w:hAnsi="Times New Roman" w:cs="Times New Roman"/>
          <w:sz w:val="24"/>
          <w:szCs w:val="24"/>
          <w:lang w:val="pt-BR"/>
        </w:rPr>
        <w:t>)</w:t>
      </w:r>
      <w:r w:rsidR="00D011C5" w:rsidRPr="00722D73">
        <w:rPr>
          <w:rFonts w:ascii="Times New Roman" w:hAnsi="Times New Roman" w:cs="Times New Roman"/>
          <w:sz w:val="24"/>
          <w:szCs w:val="24"/>
          <w:lang w:val="pt-BR"/>
        </w:rPr>
        <w:t>.</w:t>
      </w:r>
    </w:p>
    <w:p w14:paraId="703D684B" w14:textId="77777777" w:rsidR="006720E3" w:rsidRDefault="006720E3" w:rsidP="008B0E7D">
      <w:pPr>
        <w:spacing w:after="0" w:line="240" w:lineRule="auto"/>
        <w:ind w:right="-1"/>
        <w:jc w:val="both"/>
        <w:rPr>
          <w:rFonts w:ascii="Times New Roman" w:hAnsi="Times New Roman" w:cs="Times New Roman"/>
          <w:b/>
          <w:sz w:val="26"/>
          <w:szCs w:val="26"/>
          <w:lang w:val="pt-BR"/>
        </w:rPr>
      </w:pPr>
    </w:p>
    <w:p w14:paraId="3EB8BA10" w14:textId="46601CCB" w:rsidR="00855B92" w:rsidRPr="00117B92" w:rsidRDefault="00855B92" w:rsidP="008B0E7D">
      <w:pPr>
        <w:spacing w:after="0" w:line="240" w:lineRule="auto"/>
        <w:ind w:right="-1"/>
        <w:jc w:val="both"/>
        <w:rPr>
          <w:rFonts w:ascii="Times New Roman" w:hAnsi="Times New Roman" w:cs="Times New Roman"/>
          <w:b/>
          <w:sz w:val="26"/>
          <w:szCs w:val="26"/>
          <w:lang w:val="en-US"/>
        </w:rPr>
      </w:pPr>
      <w:proofErr w:type="spellStart"/>
      <w:r w:rsidRPr="00117B92">
        <w:rPr>
          <w:rFonts w:ascii="Times New Roman" w:hAnsi="Times New Roman" w:cs="Times New Roman"/>
          <w:b/>
          <w:sz w:val="26"/>
          <w:szCs w:val="26"/>
          <w:lang w:val="en-US"/>
        </w:rPr>
        <w:t>Referências</w:t>
      </w:r>
      <w:proofErr w:type="spellEnd"/>
    </w:p>
    <w:p w14:paraId="76AE603B" w14:textId="77777777" w:rsidR="006720E3" w:rsidRPr="00117B92" w:rsidRDefault="006720E3" w:rsidP="008B0E7D">
      <w:pPr>
        <w:spacing w:after="0" w:line="240" w:lineRule="auto"/>
        <w:ind w:right="-1"/>
        <w:jc w:val="both"/>
        <w:rPr>
          <w:rFonts w:ascii="Times New Roman" w:hAnsi="Times New Roman" w:cs="Times New Roman"/>
          <w:b/>
          <w:sz w:val="26"/>
          <w:szCs w:val="26"/>
          <w:lang w:val="en-US"/>
        </w:rPr>
      </w:pPr>
    </w:p>
    <w:p w14:paraId="7D1E07B0" w14:textId="77777777" w:rsidR="00BC7BD4" w:rsidRDefault="00BC7BD4" w:rsidP="00BC7BD4">
      <w:pPr>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Abrams, D. 2009. Did TRIPS Spur Innovation? </w:t>
      </w:r>
      <w:proofErr w:type="gramStart"/>
      <w:r>
        <w:rPr>
          <w:rFonts w:ascii="Times New Roman" w:hAnsi="Times New Roman" w:cs="Times New Roman"/>
          <w:color w:val="333333"/>
          <w:sz w:val="24"/>
          <w:szCs w:val="24"/>
          <w:shd w:val="clear" w:color="auto" w:fill="FFFFFF"/>
        </w:rPr>
        <w:t>An Analysis of Patent Duration and Incentives to Innovate.</w:t>
      </w:r>
      <w:proofErr w:type="gramEnd"/>
      <w:r>
        <w:rPr>
          <w:rFonts w:ascii="Times New Roman" w:hAnsi="Times New Roman" w:cs="Times New Roman"/>
          <w:color w:val="333333"/>
          <w:sz w:val="24"/>
          <w:szCs w:val="24"/>
          <w:shd w:val="clear" w:color="auto" w:fill="FFFFFF"/>
        </w:rPr>
        <w:t> </w:t>
      </w:r>
      <w:proofErr w:type="gramStart"/>
      <w:r>
        <w:rPr>
          <w:rFonts w:ascii="Times New Roman" w:hAnsi="Times New Roman" w:cs="Times New Roman"/>
          <w:i/>
          <w:iCs/>
          <w:color w:val="333333"/>
          <w:sz w:val="24"/>
          <w:szCs w:val="24"/>
          <w:shd w:val="clear" w:color="auto" w:fill="FFFFFF"/>
        </w:rPr>
        <w:t>University of Pennsylvania Law Review.</w:t>
      </w:r>
      <w:proofErr w:type="gramEnd"/>
      <w:r>
        <w:rPr>
          <w:rFonts w:ascii="Times New Roman" w:hAnsi="Times New Roman" w:cs="Times New Roman"/>
          <w:i/>
          <w:iCs/>
          <w:color w:val="333333"/>
          <w:sz w:val="24"/>
          <w:szCs w:val="24"/>
          <w:shd w:val="clear" w:color="auto" w:fill="FFFFFF"/>
        </w:rPr>
        <w:t xml:space="preserve"> </w:t>
      </w:r>
      <w:r>
        <w:rPr>
          <w:rFonts w:ascii="Times New Roman" w:hAnsi="Times New Roman" w:cs="Times New Roman"/>
          <w:iCs/>
          <w:color w:val="333333"/>
          <w:sz w:val="24"/>
          <w:szCs w:val="24"/>
          <w:shd w:val="clear" w:color="auto" w:fill="FFFFFF"/>
        </w:rPr>
        <w:t>[Online]</w:t>
      </w:r>
      <w:r>
        <w:rPr>
          <w:rFonts w:ascii="Times New Roman" w:hAnsi="Times New Roman" w:cs="Times New Roman"/>
          <w:i/>
          <w:iCs/>
          <w:color w:val="333333"/>
          <w:sz w:val="24"/>
          <w:szCs w:val="24"/>
          <w:shd w:val="clear" w:color="auto" w:fill="FFFFFF"/>
        </w:rPr>
        <w:t>,</w:t>
      </w:r>
      <w:r>
        <w:rPr>
          <w:rFonts w:ascii="Times New Roman" w:hAnsi="Times New Roman" w:cs="Times New Roman"/>
          <w:color w:val="333333"/>
          <w:sz w:val="24"/>
          <w:szCs w:val="24"/>
          <w:shd w:val="clear" w:color="auto" w:fill="FFFFFF"/>
        </w:rPr>
        <w:t> </w:t>
      </w:r>
      <w:r>
        <w:rPr>
          <w:rFonts w:ascii="Times New Roman" w:hAnsi="Times New Roman" w:cs="Times New Roman"/>
          <w:i/>
          <w:iCs/>
          <w:color w:val="333333"/>
          <w:sz w:val="24"/>
          <w:szCs w:val="24"/>
          <w:shd w:val="clear" w:color="auto" w:fill="FFFFFF"/>
        </w:rPr>
        <w:t>157</w:t>
      </w:r>
      <w:r>
        <w:rPr>
          <w:rFonts w:ascii="Times New Roman" w:hAnsi="Times New Roman" w:cs="Times New Roman"/>
          <w:color w:val="333333"/>
          <w:sz w:val="24"/>
          <w:szCs w:val="24"/>
          <w:shd w:val="clear" w:color="auto" w:fill="FFFFFF"/>
        </w:rPr>
        <w:t xml:space="preserve">(6), pp. 1613-1647. Available from: </w:t>
      </w:r>
      <w:hyperlink r:id="rId15" w:history="1">
        <w:r>
          <w:rPr>
            <w:rStyle w:val="Hyperlink"/>
            <w:rFonts w:ascii="Times New Roman" w:hAnsi="Times New Roman" w:cs="Times New Roman"/>
            <w:sz w:val="24"/>
            <w:szCs w:val="24"/>
            <w:shd w:val="clear" w:color="auto" w:fill="FFFFFF"/>
          </w:rPr>
          <w:t>http://www.jstor.org/stable/40380275</w:t>
        </w:r>
      </w:hyperlink>
      <w:r>
        <w:rPr>
          <w:rFonts w:ascii="Times New Roman" w:hAnsi="Times New Roman" w:cs="Times New Roman"/>
          <w:color w:val="333333"/>
          <w:sz w:val="24"/>
          <w:szCs w:val="24"/>
          <w:shd w:val="clear" w:color="auto" w:fill="FFFFFF"/>
        </w:rPr>
        <w:t xml:space="preserve"> </w:t>
      </w:r>
      <w:r>
        <w:rPr>
          <w:rFonts w:ascii="Times New Roman" w:hAnsi="Times New Roman" w:cs="Times New Roman"/>
          <w:sz w:val="24"/>
          <w:szCs w:val="24"/>
          <w:lang w:val="en-US"/>
        </w:rPr>
        <w:t>[Accessed 23 May 2018].</w:t>
      </w:r>
    </w:p>
    <w:p w14:paraId="0419E5C0" w14:textId="77777777" w:rsidR="00BC7BD4" w:rsidRDefault="00BC7BD4" w:rsidP="00BC7BD4">
      <w:pPr>
        <w:spacing w:after="0" w:line="240" w:lineRule="auto"/>
        <w:rPr>
          <w:rFonts w:ascii="Times New Roman" w:hAnsi="Times New Roman" w:cs="Times New Roman"/>
          <w:sz w:val="24"/>
          <w:szCs w:val="24"/>
        </w:rPr>
      </w:pPr>
    </w:p>
    <w:p w14:paraId="708F9F22" w14:textId="77777777" w:rsidR="00BC7BD4" w:rsidRDefault="00BC7BD4" w:rsidP="00BC7BD4">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Amsden</w:t>
      </w:r>
      <w:proofErr w:type="spellEnd"/>
      <w:r>
        <w:rPr>
          <w:rFonts w:ascii="Times New Roman" w:hAnsi="Times New Roman" w:cs="Times New Roman"/>
          <w:sz w:val="24"/>
          <w:szCs w:val="24"/>
        </w:rPr>
        <w:t>, A. 2001.</w:t>
      </w:r>
      <w:proofErr w:type="gramEnd"/>
      <w:r>
        <w:rPr>
          <w:rFonts w:ascii="Times New Roman" w:hAnsi="Times New Roman" w:cs="Times New Roman"/>
          <w:sz w:val="24"/>
          <w:szCs w:val="24"/>
        </w:rPr>
        <w:t xml:space="preserve"> </w:t>
      </w:r>
      <w:r>
        <w:rPr>
          <w:rFonts w:ascii="Times New Roman" w:hAnsi="Times New Roman" w:cs="Times New Roman"/>
          <w:i/>
          <w:sz w:val="24"/>
          <w:szCs w:val="24"/>
        </w:rPr>
        <w:t>The Rise of 'the Rest': Challenges to the West from Late-Industrializing Economies.</w:t>
      </w:r>
      <w:r>
        <w:rPr>
          <w:rFonts w:ascii="Times New Roman" w:hAnsi="Times New Roman" w:cs="Times New Roman"/>
          <w:sz w:val="24"/>
          <w:szCs w:val="24"/>
        </w:rPr>
        <w:t xml:space="preserve"> Oxford: Oxford University Press.</w:t>
      </w:r>
    </w:p>
    <w:p w14:paraId="50D8D7E2" w14:textId="77777777" w:rsidR="00BC7BD4" w:rsidRDefault="00BC7BD4" w:rsidP="00BC7BD4">
      <w:pPr>
        <w:spacing w:after="0" w:line="240" w:lineRule="auto"/>
        <w:rPr>
          <w:rFonts w:ascii="Times New Roman" w:hAnsi="Times New Roman" w:cs="Times New Roman"/>
          <w:sz w:val="24"/>
          <w:szCs w:val="24"/>
        </w:rPr>
      </w:pPr>
    </w:p>
    <w:p w14:paraId="29DECEBF" w14:textId="6DC86F1D" w:rsidR="00BC7BD4" w:rsidRDefault="00BC7BD4" w:rsidP="00BC7BD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Andrieux</w:t>
      </w:r>
      <w:proofErr w:type="spellEnd"/>
      <w:r>
        <w:rPr>
          <w:rFonts w:ascii="Times New Roman" w:hAnsi="Times New Roman" w:cs="Times New Roman"/>
          <w:sz w:val="24"/>
          <w:szCs w:val="24"/>
        </w:rPr>
        <w:t xml:space="preserve">-Meyer, I., Cohn, J. </w:t>
      </w:r>
      <w:proofErr w:type="spellStart"/>
      <w:r>
        <w:rPr>
          <w:rFonts w:ascii="Times New Roman" w:hAnsi="Times New Roman" w:cs="Times New Roman"/>
          <w:sz w:val="24"/>
          <w:szCs w:val="24"/>
        </w:rPr>
        <w:t>Affonso</w:t>
      </w:r>
      <w:proofErr w:type="spellEnd"/>
      <w:r>
        <w:rPr>
          <w:rFonts w:ascii="Times New Roman" w:hAnsi="Times New Roman" w:cs="Times New Roman"/>
          <w:sz w:val="24"/>
          <w:szCs w:val="24"/>
        </w:rPr>
        <w:t xml:space="preserve">, E. S. de A. and Hamid, S. S. Disparity in market prices for hepatitis C virus direct-acting drugs. </w:t>
      </w:r>
      <w:proofErr w:type="gramStart"/>
      <w:r>
        <w:rPr>
          <w:rFonts w:ascii="Times New Roman" w:hAnsi="Times New Roman" w:cs="Times New Roman"/>
          <w:i/>
          <w:sz w:val="24"/>
          <w:szCs w:val="24"/>
        </w:rPr>
        <w:t>The Lancet Global Health</w:t>
      </w:r>
      <w:r>
        <w:rPr>
          <w:rFonts w:ascii="Times New Roman" w:hAnsi="Times New Roman" w:cs="Times New Roman"/>
          <w:sz w:val="24"/>
          <w:szCs w:val="24"/>
        </w:rPr>
        <w:t>.</w:t>
      </w:r>
      <w:proofErr w:type="gramEnd"/>
      <w:r>
        <w:rPr>
          <w:rFonts w:ascii="Times New Roman" w:hAnsi="Times New Roman" w:cs="Times New Roman"/>
          <w:sz w:val="24"/>
          <w:szCs w:val="24"/>
        </w:rPr>
        <w:t xml:space="preserve"> [Online], volume 3, issue 11, pp. e676 - e677. Available from: </w:t>
      </w:r>
      <w:hyperlink r:id="rId16" w:history="1">
        <w:r>
          <w:rPr>
            <w:rStyle w:val="Hyperlink"/>
            <w:rFonts w:ascii="Times New Roman" w:hAnsi="Times New Roman" w:cs="Times New Roman"/>
            <w:sz w:val="24"/>
            <w:szCs w:val="24"/>
          </w:rPr>
          <w:t>https://www.thelancet.com/journals/langlo/article/PIIS2214-109X(15)00156-4/fulltext</w:t>
        </w:r>
      </w:hyperlink>
      <w:r>
        <w:rPr>
          <w:rFonts w:ascii="Times New Roman" w:hAnsi="Times New Roman" w:cs="Times New Roman"/>
          <w:sz w:val="24"/>
          <w:szCs w:val="24"/>
        </w:rPr>
        <w:t xml:space="preserve"> . </w:t>
      </w:r>
      <w:proofErr w:type="gramStart"/>
      <w:r>
        <w:rPr>
          <w:rFonts w:ascii="Times New Roman" w:hAnsi="Times New Roman" w:cs="Times New Roman"/>
          <w:sz w:val="24"/>
          <w:szCs w:val="24"/>
          <w:lang w:val="en-US"/>
        </w:rPr>
        <w:t>[Accessed 23 May 2018].</w:t>
      </w:r>
      <w:proofErr w:type="gramEnd"/>
    </w:p>
    <w:p w14:paraId="63AE4077" w14:textId="77777777" w:rsidR="00BC7BD4" w:rsidRDefault="00BC7BD4" w:rsidP="00BC7BD4">
      <w:pPr>
        <w:spacing w:after="0" w:line="240" w:lineRule="auto"/>
        <w:rPr>
          <w:rFonts w:ascii="Times New Roman" w:hAnsi="Times New Roman" w:cs="Times New Roman"/>
          <w:sz w:val="24"/>
          <w:szCs w:val="24"/>
          <w:lang w:val="en-US"/>
        </w:rPr>
      </w:pPr>
    </w:p>
    <w:p w14:paraId="2EEBEF39" w14:textId="77777777" w:rsidR="00BC7BD4" w:rsidRDefault="00BC7BD4" w:rsidP="00BC7BD4">
      <w:pPr>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Athreye</w:t>
      </w:r>
      <w:proofErr w:type="spellEnd"/>
      <w:r>
        <w:rPr>
          <w:rFonts w:ascii="Times New Roman" w:hAnsi="Times New Roman" w:cs="Times New Roman"/>
          <w:sz w:val="24"/>
          <w:szCs w:val="24"/>
        </w:rPr>
        <w:t>, S. and J. Cantwell.</w:t>
      </w:r>
      <w:proofErr w:type="gramEnd"/>
      <w:r>
        <w:rPr>
          <w:rFonts w:ascii="Times New Roman" w:hAnsi="Times New Roman" w:cs="Times New Roman"/>
          <w:sz w:val="24"/>
          <w:szCs w:val="24"/>
        </w:rPr>
        <w:t xml:space="preserve"> 2007. Creating Competition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Globalisation and the Emergence of New Technology Producers. </w:t>
      </w:r>
      <w:proofErr w:type="gramStart"/>
      <w:r>
        <w:rPr>
          <w:rFonts w:ascii="Times New Roman" w:hAnsi="Times New Roman" w:cs="Times New Roman"/>
          <w:i/>
          <w:sz w:val="24"/>
          <w:szCs w:val="24"/>
        </w:rPr>
        <w:t>Research Policy</w:t>
      </w:r>
      <w:r>
        <w:rPr>
          <w:rFonts w:ascii="Times New Roman" w:hAnsi="Times New Roman" w:cs="Times New Roman"/>
          <w:sz w:val="24"/>
          <w:szCs w:val="24"/>
        </w:rPr>
        <w:t>.</w:t>
      </w:r>
      <w:proofErr w:type="gramEnd"/>
      <w:r>
        <w:rPr>
          <w:rFonts w:ascii="Times New Roman" w:hAnsi="Times New Roman" w:cs="Times New Roman"/>
          <w:sz w:val="24"/>
          <w:szCs w:val="24"/>
        </w:rPr>
        <w:t xml:space="preserve"> 36 (2), pp. 209-226. Available from: http://isiarticles.com/bundles/Article/pre/pdf/18038.pdf. [Accessed 7 June 2018]</w:t>
      </w:r>
    </w:p>
    <w:p w14:paraId="2C4516F4" w14:textId="77777777" w:rsidR="00BC7BD4" w:rsidRDefault="00BC7BD4" w:rsidP="00BC7BD4">
      <w:pPr>
        <w:spacing w:after="0" w:line="240" w:lineRule="auto"/>
        <w:jc w:val="both"/>
        <w:rPr>
          <w:rFonts w:ascii="Times New Roman" w:hAnsi="Times New Roman" w:cs="Times New Roman"/>
          <w:sz w:val="24"/>
          <w:szCs w:val="24"/>
        </w:rPr>
      </w:pPr>
    </w:p>
    <w:p w14:paraId="718E5FC9" w14:textId="77777777" w:rsidR="00BC7BD4" w:rsidRDefault="00BC7BD4" w:rsidP="00BC7B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Australia. 1995. </w:t>
      </w:r>
      <w:r>
        <w:rPr>
          <w:rFonts w:ascii="Times New Roman" w:hAnsi="Times New Roman" w:cs="Times New Roman"/>
          <w:i/>
          <w:sz w:val="24"/>
          <w:szCs w:val="24"/>
        </w:rPr>
        <w:t>An Economic Analysis of Copyright Reform</w:t>
      </w:r>
      <w:r>
        <w:rPr>
          <w:rFonts w:ascii="Times New Roman" w:hAnsi="Times New Roman" w:cs="Times New Roman"/>
          <w:sz w:val="24"/>
          <w:szCs w:val="24"/>
        </w:rPr>
        <w:t xml:space="preserve">. </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Office of Regulation Review.</w:t>
      </w:r>
      <w:proofErr w:type="gramEnd"/>
      <w:r>
        <w:rPr>
          <w:rFonts w:ascii="Times New Roman" w:hAnsi="Times New Roman" w:cs="Times New Roman"/>
          <w:sz w:val="24"/>
          <w:szCs w:val="24"/>
        </w:rPr>
        <w:t xml:space="preserve"> Available from:  </w:t>
      </w:r>
      <w:hyperlink r:id="rId17" w:history="1">
        <w:r>
          <w:rPr>
            <w:rStyle w:val="Hyperlink"/>
            <w:rFonts w:ascii="Times New Roman" w:hAnsi="Times New Roman" w:cs="Times New Roman"/>
            <w:sz w:val="24"/>
            <w:szCs w:val="24"/>
          </w:rPr>
          <w:t>http://www.pc.gov.au/research/supporting/copyright-reform/ecoanala.pdf</w:t>
        </w:r>
      </w:hyperlink>
      <w:r>
        <w:rPr>
          <w:rFonts w:ascii="Times New Roman" w:hAnsi="Times New Roman" w:cs="Times New Roman"/>
          <w:sz w:val="24"/>
          <w:szCs w:val="24"/>
        </w:rPr>
        <w:t xml:space="preserve"> [Accessed 16 March 2018]. </w:t>
      </w:r>
    </w:p>
    <w:p w14:paraId="7DFD975B" w14:textId="77777777" w:rsidR="00BC7BD4" w:rsidRDefault="00BC7BD4" w:rsidP="00BC7BD4">
      <w:pPr>
        <w:spacing w:after="0" w:line="240" w:lineRule="auto"/>
        <w:rPr>
          <w:rFonts w:ascii="Times New Roman" w:hAnsi="Times New Roman" w:cs="Times New Roman"/>
          <w:sz w:val="24"/>
          <w:szCs w:val="24"/>
        </w:rPr>
      </w:pPr>
    </w:p>
    <w:p w14:paraId="04A46949" w14:textId="77777777" w:rsidR="00BC7BD4" w:rsidRDefault="00BC7BD4" w:rsidP="00BC7BD4">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Basu</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Joglekar</w:t>
      </w:r>
      <w:proofErr w:type="spellEnd"/>
      <w:r>
        <w:rPr>
          <w:rFonts w:ascii="Times New Roman" w:hAnsi="Times New Roman" w:cs="Times New Roman"/>
          <w:sz w:val="24"/>
          <w:szCs w:val="24"/>
        </w:rPr>
        <w:t>, G., Rai, S., Suresh.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 and Vernon J. 2008.</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Analysis of Manufacturing Costs in Pharmaceutical Companies.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Journal of Pharmaceutical Innovation.</w:t>
      </w:r>
      <w:proofErr w:type="gramEnd"/>
      <w:r>
        <w:rPr>
          <w:rFonts w:ascii="Times New Roman" w:hAnsi="Times New Roman" w:cs="Times New Roman"/>
          <w:sz w:val="24"/>
          <w:szCs w:val="24"/>
        </w:rPr>
        <w:t xml:space="preserve"> [Online], volume 3, issue 1, pp. 30–40. Available from: </w:t>
      </w:r>
      <w:hyperlink r:id="rId18" w:history="1">
        <w:r>
          <w:rPr>
            <w:rStyle w:val="Hyperlink"/>
            <w:rFonts w:ascii="Times New Roman" w:hAnsi="Times New Roman" w:cs="Times New Roman"/>
            <w:sz w:val="24"/>
            <w:szCs w:val="24"/>
          </w:rPr>
          <w:t>https://doi.org/10.1007/s12247-008-9024-4</w:t>
        </w:r>
      </w:hyperlink>
      <w:r>
        <w:rPr>
          <w:rFonts w:ascii="Times New Roman" w:hAnsi="Times New Roman" w:cs="Times New Roman"/>
          <w:sz w:val="24"/>
          <w:szCs w:val="24"/>
        </w:rPr>
        <w:t xml:space="preserve"> . </w:t>
      </w:r>
      <w:proofErr w:type="gramStart"/>
      <w:r>
        <w:rPr>
          <w:rFonts w:ascii="Times New Roman" w:hAnsi="Times New Roman" w:cs="Times New Roman"/>
          <w:sz w:val="24"/>
          <w:szCs w:val="24"/>
        </w:rPr>
        <w:t>[Accessed 23 May 2018].</w:t>
      </w:r>
      <w:proofErr w:type="gramEnd"/>
    </w:p>
    <w:p w14:paraId="522F34F7" w14:textId="77777777" w:rsidR="00BC7BD4" w:rsidRDefault="00BC7BD4" w:rsidP="00BC7BD4">
      <w:pPr>
        <w:pStyle w:val="NormalWeb"/>
        <w:spacing w:after="0" w:afterAutospacing="0" w:line="240" w:lineRule="auto"/>
        <w:textAlignment w:val="baseline"/>
        <w:rPr>
          <w:rFonts w:eastAsiaTheme="minorHAnsi"/>
          <w:color w:val="auto"/>
          <w:lang w:val="en-US" w:eastAsia="en-US"/>
        </w:rPr>
      </w:pPr>
      <w:proofErr w:type="spellStart"/>
      <w:r>
        <w:rPr>
          <w:rFonts w:eastAsiaTheme="minorHAnsi"/>
          <w:color w:val="auto"/>
          <w:lang w:val="en-US" w:eastAsia="en-US"/>
        </w:rPr>
        <w:t>Branstetter</w:t>
      </w:r>
      <w:proofErr w:type="spellEnd"/>
      <w:r>
        <w:rPr>
          <w:rFonts w:eastAsiaTheme="minorHAnsi"/>
          <w:color w:val="auto"/>
          <w:lang w:val="en-US" w:eastAsia="en-US"/>
        </w:rPr>
        <w:t xml:space="preserve">, L. G., </w:t>
      </w:r>
      <w:proofErr w:type="spellStart"/>
      <w:r>
        <w:rPr>
          <w:rFonts w:eastAsiaTheme="minorHAnsi"/>
          <w:color w:val="auto"/>
          <w:lang w:val="en-US" w:eastAsia="en-US"/>
        </w:rPr>
        <w:t>Fisman</w:t>
      </w:r>
      <w:proofErr w:type="spellEnd"/>
      <w:r>
        <w:rPr>
          <w:rFonts w:eastAsiaTheme="minorHAnsi"/>
          <w:color w:val="auto"/>
          <w:lang w:val="en-US" w:eastAsia="en-US"/>
        </w:rPr>
        <w:t xml:space="preserve">, C. R. and Foley, F. 2006. Do Stronger Intellectual Property Rights Increase International Technology Transfer? </w:t>
      </w:r>
      <w:proofErr w:type="gramStart"/>
      <w:r>
        <w:rPr>
          <w:rFonts w:eastAsiaTheme="minorHAnsi"/>
          <w:color w:val="auto"/>
          <w:lang w:val="en-US" w:eastAsia="en-US"/>
        </w:rPr>
        <w:t>Empirical Evidence from U. S. Firm-Level Panel Data.</w:t>
      </w:r>
      <w:proofErr w:type="gramEnd"/>
      <w:r>
        <w:rPr>
          <w:rFonts w:eastAsiaTheme="minorHAnsi"/>
          <w:color w:val="auto"/>
          <w:lang w:val="en-US" w:eastAsia="en-US"/>
        </w:rPr>
        <w:t xml:space="preserve"> </w:t>
      </w:r>
      <w:proofErr w:type="gramStart"/>
      <w:r>
        <w:rPr>
          <w:rFonts w:eastAsiaTheme="minorHAnsi"/>
          <w:i/>
          <w:color w:val="auto"/>
          <w:lang w:val="en-US" w:eastAsia="en-US"/>
        </w:rPr>
        <w:t>The Quarterly Journal of Economics</w:t>
      </w:r>
      <w:r>
        <w:rPr>
          <w:rFonts w:eastAsiaTheme="minorHAnsi"/>
          <w:color w:val="auto"/>
          <w:lang w:val="en-US" w:eastAsia="en-US"/>
        </w:rPr>
        <w:t>.</w:t>
      </w:r>
      <w:proofErr w:type="gramEnd"/>
      <w:r>
        <w:rPr>
          <w:rFonts w:eastAsiaTheme="minorHAnsi"/>
          <w:color w:val="auto"/>
          <w:lang w:val="en-US" w:eastAsia="en-US"/>
        </w:rPr>
        <w:t xml:space="preserve"> [Online], volume 121, issue 1, pp. 321-349. Available from: </w:t>
      </w:r>
      <w:hyperlink r:id="rId19" w:history="1">
        <w:r>
          <w:rPr>
            <w:rStyle w:val="Hyperlink"/>
            <w:rFonts w:eastAsiaTheme="minorHAnsi"/>
            <w:color w:val="auto"/>
            <w:lang w:val="en-US" w:eastAsia="en-US"/>
          </w:rPr>
          <w:t>https://doi.org/10.1093/qje/121.1.321</w:t>
        </w:r>
      </w:hyperlink>
      <w:r>
        <w:rPr>
          <w:rFonts w:eastAsiaTheme="minorHAnsi"/>
          <w:color w:val="auto"/>
          <w:lang w:val="en-US" w:eastAsia="en-US"/>
        </w:rPr>
        <w:t xml:space="preserve"> [Accessed 14 February 2018].</w:t>
      </w:r>
    </w:p>
    <w:p w14:paraId="780FBC06" w14:textId="77777777" w:rsidR="00BC7BD4" w:rsidRDefault="00BC7BD4" w:rsidP="00BC7BD4">
      <w:pPr>
        <w:spacing w:after="0" w:line="240" w:lineRule="auto"/>
        <w:rPr>
          <w:rFonts w:ascii="Times New Roman" w:hAnsi="Times New Roman" w:cs="Times New Roman"/>
          <w:sz w:val="24"/>
          <w:szCs w:val="24"/>
          <w:lang w:val="en-US"/>
        </w:rPr>
      </w:pPr>
    </w:p>
    <w:p w14:paraId="0EAD1949" w14:textId="77777777" w:rsidR="00BC7BD4" w:rsidRDefault="00BC7BD4" w:rsidP="00BC7BD4">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Chang, H. J. 2001. Intellectual property rights and economic development: historical lessons and emerging issues. </w:t>
      </w:r>
      <w:proofErr w:type="gramStart"/>
      <w:r>
        <w:rPr>
          <w:rFonts w:ascii="Times New Roman" w:hAnsi="Times New Roman" w:cs="Times New Roman"/>
          <w:i/>
          <w:sz w:val="24"/>
          <w:szCs w:val="24"/>
        </w:rPr>
        <w:t>Journal of human development</w:t>
      </w:r>
      <w:r>
        <w:rPr>
          <w:rFonts w:ascii="Times New Roman" w:hAnsi="Times New Roman" w:cs="Times New Roman"/>
          <w:sz w:val="24"/>
          <w:szCs w:val="24"/>
        </w:rPr>
        <w:t>, v. 2, n. 2, pp. 287-309.</w:t>
      </w:r>
      <w:proofErr w:type="gramEnd"/>
    </w:p>
    <w:p w14:paraId="21AFB69A" w14:textId="77777777" w:rsidR="00BC7BD4" w:rsidRDefault="00BC7BD4" w:rsidP="00BC7BD4">
      <w:pPr>
        <w:spacing w:after="0" w:line="240" w:lineRule="auto"/>
        <w:rPr>
          <w:rFonts w:ascii="Times New Roman" w:hAnsi="Times New Roman" w:cs="Times New Roman"/>
          <w:sz w:val="24"/>
          <w:szCs w:val="24"/>
        </w:rPr>
      </w:pPr>
    </w:p>
    <w:p w14:paraId="6CFCE472" w14:textId="77777777" w:rsidR="00BC7BD4" w:rsidRDefault="00BC7BD4" w:rsidP="00BC7BD4">
      <w:pPr>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Chiarini</w:t>
      </w:r>
      <w:proofErr w:type="spellEnd"/>
      <w:r>
        <w:rPr>
          <w:rFonts w:ascii="Times New Roman" w:hAnsi="Times New Roman" w:cs="Times New Roman"/>
          <w:sz w:val="24"/>
          <w:szCs w:val="24"/>
        </w:rPr>
        <w:t xml:space="preserve"> T., Rapini M. S. and </w:t>
      </w:r>
      <w:proofErr w:type="spellStart"/>
      <w:r>
        <w:rPr>
          <w:rFonts w:ascii="Times New Roman" w:hAnsi="Times New Roman" w:cs="Times New Roman"/>
          <w:sz w:val="24"/>
          <w:szCs w:val="24"/>
        </w:rPr>
        <w:t>Silve</w:t>
      </w:r>
      <w:proofErr w:type="spellEnd"/>
      <w:r>
        <w:rPr>
          <w:rFonts w:ascii="Times New Roman" w:hAnsi="Times New Roman" w:cs="Times New Roman"/>
          <w:sz w:val="24"/>
          <w:szCs w:val="24"/>
        </w:rPr>
        <w:t>, L. A. 2017.</w:t>
      </w:r>
      <w:proofErr w:type="gramEnd"/>
      <w:r>
        <w:rPr>
          <w:rFonts w:ascii="Times New Roman" w:hAnsi="Times New Roman" w:cs="Times New Roman"/>
          <w:sz w:val="24"/>
          <w:szCs w:val="24"/>
        </w:rPr>
        <w:t xml:space="preserve"> Access to knowledge and catch-up: Exploring some intellectual property rights data from Brazil and South Korea. </w:t>
      </w:r>
      <w:proofErr w:type="gramStart"/>
      <w:r>
        <w:rPr>
          <w:rFonts w:ascii="Times New Roman" w:hAnsi="Times New Roman" w:cs="Times New Roman"/>
          <w:i/>
          <w:iCs/>
          <w:sz w:val="24"/>
          <w:szCs w:val="24"/>
        </w:rPr>
        <w:t>Science and Public Policy</w:t>
      </w:r>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roofErr w:type="gramStart"/>
      <w:r>
        <w:rPr>
          <w:rFonts w:ascii="Times New Roman" w:hAnsi="Times New Roman" w:cs="Times New Roman"/>
          <w:sz w:val="24"/>
          <w:szCs w:val="24"/>
        </w:rPr>
        <w:t>[Online], volume 44, Issue 1, pp. 95–110.</w:t>
      </w:r>
      <w:proofErr w:type="gramEnd"/>
      <w:r>
        <w:rPr>
          <w:rFonts w:ascii="Times New Roman" w:hAnsi="Times New Roman" w:cs="Times New Roman"/>
          <w:sz w:val="24"/>
          <w:szCs w:val="24"/>
        </w:rPr>
        <w:t xml:space="preserve"> Available from: </w:t>
      </w:r>
      <w:hyperlink r:id="rId20" w:history="1">
        <w:r>
          <w:rPr>
            <w:rStyle w:val="Hyperlink"/>
            <w:rFonts w:ascii="Times New Roman" w:hAnsi="Times New Roman" w:cs="Times New Roman"/>
            <w:sz w:val="24"/>
            <w:szCs w:val="24"/>
          </w:rPr>
          <w:t>https://doi.org/10.1093/scipol/scw034</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 xml:space="preserve"> [Accessed 2 March 2017]. </w:t>
      </w:r>
      <w:r>
        <w:rPr>
          <w:rFonts w:ascii="Times New Roman" w:hAnsi="Times New Roman" w:cs="Times New Roman"/>
          <w:sz w:val="24"/>
          <w:szCs w:val="24"/>
          <w:lang w:val="en-US"/>
        </w:rPr>
        <w:t xml:space="preserve"> </w:t>
      </w:r>
    </w:p>
    <w:p w14:paraId="3CD4D397" w14:textId="77777777" w:rsidR="00BC7BD4" w:rsidRDefault="00BC7BD4" w:rsidP="00BC7BD4">
      <w:pPr>
        <w:spacing w:after="0" w:line="240" w:lineRule="auto"/>
        <w:rPr>
          <w:rFonts w:ascii="Times New Roman" w:hAnsi="Times New Roman" w:cs="Times New Roman"/>
          <w:sz w:val="24"/>
          <w:szCs w:val="24"/>
        </w:rPr>
      </w:pPr>
    </w:p>
    <w:p w14:paraId="4BC60A2B" w14:textId="77777777" w:rsidR="00BC7BD4" w:rsidRDefault="00BC7BD4" w:rsidP="00BC7BD4">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N. and Y. </w:t>
      </w:r>
      <w:proofErr w:type="spellStart"/>
      <w:r>
        <w:rPr>
          <w:rFonts w:ascii="Times New Roman" w:hAnsi="Times New Roman" w:cs="Times New Roman"/>
          <w:sz w:val="24"/>
          <w:szCs w:val="24"/>
        </w:rPr>
        <w:t>Heo</w:t>
      </w:r>
      <w:proofErr w:type="spellEnd"/>
      <w:r>
        <w:rPr>
          <w:rFonts w:ascii="Times New Roman" w:hAnsi="Times New Roman" w:cs="Times New Roman"/>
          <w:sz w:val="24"/>
          <w:szCs w:val="24"/>
        </w:rPr>
        <w:t xml:space="preserve"> (2007), “Impacts of intellectual property rights on trade flows in ASEAN countries”, Journal of International and Area Studies, Vol. 14/1, pp. 1–15.</w:t>
      </w:r>
    </w:p>
    <w:p w14:paraId="0780E3F3" w14:textId="77777777" w:rsidR="00BC7BD4" w:rsidRDefault="00BC7BD4" w:rsidP="00BC7BD4">
      <w:pPr>
        <w:spacing w:after="0" w:line="240" w:lineRule="auto"/>
        <w:rPr>
          <w:rFonts w:ascii="Times New Roman" w:hAnsi="Times New Roman" w:cs="Times New Roman"/>
          <w:sz w:val="24"/>
          <w:szCs w:val="24"/>
        </w:rPr>
      </w:pPr>
    </w:p>
    <w:p w14:paraId="76B589F6" w14:textId="77777777" w:rsidR="00BC7BD4" w:rsidRDefault="00BC7BD4" w:rsidP="00BC7BD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Drahos</w:t>
      </w:r>
      <w:proofErr w:type="spellEnd"/>
      <w:r>
        <w:rPr>
          <w:rFonts w:ascii="Times New Roman" w:hAnsi="Times New Roman" w:cs="Times New Roman"/>
          <w:sz w:val="24"/>
          <w:szCs w:val="24"/>
        </w:rPr>
        <w:t xml:space="preserve">, P. 1995. Global property rights in information: the story of TRIPS at GATT. </w:t>
      </w:r>
      <w:proofErr w:type="gramStart"/>
      <w:r>
        <w:rPr>
          <w:rFonts w:ascii="Times New Roman" w:hAnsi="Times New Roman" w:cs="Times New Roman"/>
          <w:i/>
          <w:sz w:val="24"/>
          <w:szCs w:val="24"/>
        </w:rPr>
        <w:t>Prometheus</w:t>
      </w:r>
      <w:r>
        <w:rPr>
          <w:rFonts w:ascii="Times New Roman" w:hAnsi="Times New Roman" w:cs="Times New Roman"/>
          <w:sz w:val="24"/>
          <w:szCs w:val="24"/>
        </w:rPr>
        <w:t>, v. 13, n.1, pp. 6-19.</w:t>
      </w:r>
      <w:proofErr w:type="gramEnd"/>
    </w:p>
    <w:p w14:paraId="2D7A9469" w14:textId="77777777" w:rsidR="00BC7BD4" w:rsidRDefault="00BC7BD4" w:rsidP="00BC7BD4">
      <w:pPr>
        <w:spacing w:after="0" w:line="240" w:lineRule="auto"/>
        <w:rPr>
          <w:rFonts w:ascii="Times New Roman" w:hAnsi="Times New Roman" w:cs="Times New Roman"/>
          <w:sz w:val="24"/>
          <w:szCs w:val="24"/>
        </w:rPr>
      </w:pPr>
    </w:p>
    <w:p w14:paraId="4C2015E9" w14:textId="77777777" w:rsidR="00BC7BD4" w:rsidRDefault="00BC7BD4" w:rsidP="00BC7BD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Ghafele</w:t>
      </w:r>
      <w:proofErr w:type="spellEnd"/>
      <w:r>
        <w:rPr>
          <w:rFonts w:ascii="Times New Roman" w:hAnsi="Times New Roman" w:cs="Times New Roman"/>
          <w:sz w:val="24"/>
          <w:szCs w:val="24"/>
        </w:rPr>
        <w:t xml:space="preserve">, R. </w:t>
      </w:r>
      <w:proofErr w:type="gramStart"/>
      <w:r>
        <w:rPr>
          <w:rFonts w:ascii="Times New Roman" w:hAnsi="Times New Roman" w:cs="Times New Roman"/>
          <w:sz w:val="24"/>
          <w:szCs w:val="24"/>
        </w:rPr>
        <w:t xml:space="preserve">and  </w:t>
      </w:r>
      <w:proofErr w:type="spellStart"/>
      <w:r>
        <w:rPr>
          <w:rFonts w:ascii="Times New Roman" w:hAnsi="Times New Roman" w:cs="Times New Roman"/>
          <w:sz w:val="24"/>
          <w:szCs w:val="24"/>
        </w:rPr>
        <w:t>Gibert</w:t>
      </w:r>
      <w:proofErr w:type="spellEnd"/>
      <w:proofErr w:type="gramEnd"/>
      <w:r>
        <w:rPr>
          <w:rFonts w:ascii="Times New Roman" w:hAnsi="Times New Roman" w:cs="Times New Roman"/>
          <w:sz w:val="24"/>
          <w:szCs w:val="24"/>
        </w:rPr>
        <w:t xml:space="preserve">, B. 2012. </w:t>
      </w:r>
      <w:proofErr w:type="gramStart"/>
      <w:r>
        <w:rPr>
          <w:rFonts w:ascii="Times New Roman" w:hAnsi="Times New Roman" w:cs="Times New Roman"/>
          <w:sz w:val="24"/>
          <w:szCs w:val="24"/>
        </w:rPr>
        <w:t>Promoting Intellectual Property Monetization in Developing Countries.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 Review of Issues and Strategies to Support Knowledge-driven Growth.</w:t>
      </w:r>
      <w:proofErr w:type="gramEnd"/>
      <w:r>
        <w:rPr>
          <w:rFonts w:ascii="Times New Roman" w:hAnsi="Times New Roman" w:cs="Times New Roman"/>
          <w:sz w:val="24"/>
          <w:szCs w:val="24"/>
        </w:rPr>
        <w:t xml:space="preserve"> </w:t>
      </w:r>
      <w:r>
        <w:rPr>
          <w:rFonts w:ascii="Times New Roman" w:hAnsi="Times New Roman" w:cs="Times New Roman"/>
          <w:i/>
          <w:sz w:val="24"/>
          <w:szCs w:val="24"/>
        </w:rPr>
        <w:t>The World Bank</w:t>
      </w:r>
      <w:r>
        <w:rPr>
          <w:rFonts w:ascii="Times New Roman" w:hAnsi="Times New Roman" w:cs="Times New Roman"/>
          <w:sz w:val="24"/>
          <w:szCs w:val="24"/>
        </w:rPr>
        <w:t xml:space="preserve"> [Online], Policy Research Working Paper 6143. Available from: </w:t>
      </w:r>
      <w:hyperlink r:id="rId21" w:history="1">
        <w:r>
          <w:rPr>
            <w:rStyle w:val="Hyperlink"/>
            <w:rFonts w:ascii="Times New Roman" w:hAnsi="Times New Roman" w:cs="Times New Roman"/>
            <w:sz w:val="24"/>
            <w:szCs w:val="24"/>
          </w:rPr>
          <w:t>http://documents.worldbank.org/curated/pt/191191468341930761/pdf/WPS6143.pdf</w:t>
        </w:r>
      </w:hyperlink>
      <w:r>
        <w:rPr>
          <w:rFonts w:ascii="Times New Roman" w:hAnsi="Times New Roman" w:cs="Times New Roman"/>
          <w:sz w:val="24"/>
          <w:szCs w:val="24"/>
        </w:rPr>
        <w:t xml:space="preserve"> . </w:t>
      </w:r>
      <w:proofErr w:type="gramStart"/>
      <w:r>
        <w:rPr>
          <w:rFonts w:ascii="Times New Roman" w:hAnsi="Times New Roman" w:cs="Times New Roman"/>
          <w:sz w:val="24"/>
          <w:szCs w:val="24"/>
        </w:rPr>
        <w:t>[Accessed 23 May 2018].</w:t>
      </w:r>
      <w:proofErr w:type="gramEnd"/>
    </w:p>
    <w:p w14:paraId="05F56590" w14:textId="77777777" w:rsidR="00BC7BD4" w:rsidRDefault="00BC7BD4" w:rsidP="00BC7BD4">
      <w:pPr>
        <w:spacing w:after="0" w:line="240" w:lineRule="auto"/>
        <w:rPr>
          <w:rFonts w:ascii="Times New Roman" w:hAnsi="Times New Roman" w:cs="Times New Roman"/>
          <w:sz w:val="24"/>
          <w:szCs w:val="24"/>
        </w:rPr>
      </w:pPr>
    </w:p>
    <w:p w14:paraId="3245F797" w14:textId="77777777" w:rsidR="00BC7BD4" w:rsidRDefault="00BC7BD4" w:rsidP="00BC7BD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Guedes Pinto, J. P. and Carlotto, M. C. 2015.</w:t>
      </w:r>
      <w:proofErr w:type="gramEnd"/>
      <w:r>
        <w:rPr>
          <w:rFonts w:ascii="Times New Roman" w:hAnsi="Times New Roman" w:cs="Times New Roman"/>
          <w:sz w:val="24"/>
          <w:szCs w:val="24"/>
        </w:rPr>
        <w:t xml:space="preserve"> </w:t>
      </w:r>
      <w:r>
        <w:rPr>
          <w:rFonts w:ascii="Times New Roman" w:hAnsi="Times New Roman" w:cs="Times New Roman"/>
          <w:sz w:val="24"/>
          <w:szCs w:val="24"/>
          <w:lang w:val="pt-BR"/>
        </w:rPr>
        <w:t xml:space="preserve">A divisão internacional do trabalho no século XXI: um estudo sobre o peso da propriedade intelectual na relação EUA – América Latina. </w:t>
      </w:r>
      <w:r>
        <w:rPr>
          <w:rFonts w:ascii="Times New Roman" w:hAnsi="Times New Roman" w:cs="Times New Roman"/>
          <w:i/>
          <w:sz w:val="24"/>
          <w:szCs w:val="24"/>
        </w:rPr>
        <w:t xml:space="preserve">Carta </w:t>
      </w:r>
      <w:proofErr w:type="spellStart"/>
      <w:r>
        <w:rPr>
          <w:rFonts w:ascii="Times New Roman" w:hAnsi="Times New Roman" w:cs="Times New Roman"/>
          <w:i/>
          <w:sz w:val="24"/>
          <w:szCs w:val="24"/>
        </w:rPr>
        <w:t>Internacional</w:t>
      </w:r>
      <w:proofErr w:type="spellEnd"/>
      <w:r>
        <w:rPr>
          <w:rFonts w:ascii="Times New Roman" w:hAnsi="Times New Roman" w:cs="Times New Roman"/>
          <w:sz w:val="24"/>
          <w:szCs w:val="24"/>
        </w:rPr>
        <w:t xml:space="preserve">, vol. 10, special edition, pp. 94-113. </w:t>
      </w:r>
    </w:p>
    <w:p w14:paraId="41383120" w14:textId="77777777" w:rsidR="00BC7BD4" w:rsidRDefault="00BC7BD4" w:rsidP="00BC7BD4">
      <w:pPr>
        <w:spacing w:after="0" w:line="240" w:lineRule="auto"/>
        <w:rPr>
          <w:rFonts w:ascii="Times New Roman" w:hAnsi="Times New Roman" w:cs="Times New Roman"/>
          <w:sz w:val="24"/>
          <w:szCs w:val="24"/>
        </w:rPr>
      </w:pPr>
    </w:p>
    <w:p w14:paraId="23C1673A" w14:textId="77777777" w:rsidR="00BC7BD4" w:rsidRDefault="00BC7BD4" w:rsidP="00BC7BD4">
      <w:pPr>
        <w:pStyle w:val="Textodenotaderodap"/>
        <w:rPr>
          <w:rFonts w:ascii="Times New Roman" w:hAnsi="Times New Roman" w:cs="Times New Roman"/>
          <w:sz w:val="24"/>
          <w:szCs w:val="24"/>
        </w:rPr>
      </w:pPr>
      <w:proofErr w:type="gramStart"/>
      <w:r>
        <w:rPr>
          <w:rFonts w:ascii="Times New Roman" w:hAnsi="Times New Roman" w:cs="Times New Roman"/>
          <w:sz w:val="24"/>
          <w:szCs w:val="24"/>
        </w:rPr>
        <w:t xml:space="preserve">Hill, A., Khoo, S., </w:t>
      </w:r>
      <w:proofErr w:type="spellStart"/>
      <w:r>
        <w:rPr>
          <w:rFonts w:ascii="Times New Roman" w:hAnsi="Times New Roman" w:cs="Times New Roman"/>
          <w:sz w:val="24"/>
          <w:szCs w:val="24"/>
        </w:rPr>
        <w:t>Fortunak</w:t>
      </w:r>
      <w:proofErr w:type="spellEnd"/>
      <w:r>
        <w:rPr>
          <w:rFonts w:ascii="Times New Roman" w:hAnsi="Times New Roman" w:cs="Times New Roman"/>
          <w:sz w:val="24"/>
          <w:szCs w:val="24"/>
        </w:rPr>
        <w:t>, J., Simmons, B. and Ford, N. 2014.</w:t>
      </w:r>
      <w:proofErr w:type="gramEnd"/>
      <w:r>
        <w:rPr>
          <w:rFonts w:ascii="Times New Roman" w:hAnsi="Times New Roman" w:cs="Times New Roman"/>
          <w:sz w:val="24"/>
          <w:szCs w:val="24"/>
        </w:rPr>
        <w:t xml:space="preserve"> Minimum Costs for Producing Hepatitis C Direct-Acting Antivirals for Use in Large-Scale Treatment Access Programs in Developing Countries. </w:t>
      </w:r>
      <w:proofErr w:type="gramStart"/>
      <w:r>
        <w:rPr>
          <w:rFonts w:ascii="Times New Roman" w:hAnsi="Times New Roman" w:cs="Times New Roman"/>
          <w:i/>
          <w:sz w:val="24"/>
          <w:szCs w:val="24"/>
        </w:rPr>
        <w:t>Clinical Infectious Diseases</w:t>
      </w:r>
      <w:r>
        <w:rPr>
          <w:rFonts w:ascii="Times New Roman" w:hAnsi="Times New Roman" w:cs="Times New Roman"/>
          <w:sz w:val="24"/>
          <w:szCs w:val="24"/>
        </w:rPr>
        <w:t>.</w:t>
      </w:r>
      <w:proofErr w:type="gramEnd"/>
      <w:r>
        <w:rPr>
          <w:rFonts w:ascii="Times New Roman" w:hAnsi="Times New Roman" w:cs="Times New Roman"/>
          <w:sz w:val="24"/>
          <w:szCs w:val="24"/>
        </w:rPr>
        <w:t xml:space="preserve"> [Online], volume 58, issue 7, pp. 928–936. Available from: </w:t>
      </w:r>
      <w:hyperlink r:id="rId22" w:history="1">
        <w:r>
          <w:rPr>
            <w:rStyle w:val="Hyperlink"/>
            <w:rFonts w:ascii="Times New Roman" w:hAnsi="Times New Roman" w:cs="Times New Roman"/>
            <w:sz w:val="24"/>
            <w:szCs w:val="24"/>
          </w:rPr>
          <w:t>https://doi.org/10.1093/cid/ciu012</w:t>
        </w:r>
      </w:hyperlink>
      <w:r>
        <w:rPr>
          <w:rFonts w:ascii="Times New Roman" w:hAnsi="Times New Roman" w:cs="Times New Roman"/>
          <w:sz w:val="24"/>
          <w:szCs w:val="24"/>
        </w:rPr>
        <w:t xml:space="preserve"> </w:t>
      </w:r>
      <w:r>
        <w:rPr>
          <w:rFonts w:ascii="Times New Roman" w:hAnsi="Times New Roman" w:cs="Times New Roman"/>
          <w:sz w:val="24"/>
          <w:szCs w:val="24"/>
          <w:lang w:val="en-US"/>
        </w:rPr>
        <w:t>[Accessed 1 February 2018].</w:t>
      </w:r>
    </w:p>
    <w:p w14:paraId="4DA1E44D" w14:textId="77777777" w:rsidR="00BC7BD4" w:rsidRDefault="00BC7BD4" w:rsidP="00BC7BD4">
      <w:pPr>
        <w:spacing w:after="0" w:line="240" w:lineRule="auto"/>
        <w:rPr>
          <w:rFonts w:ascii="Times New Roman" w:hAnsi="Times New Roman" w:cs="Times New Roman"/>
          <w:sz w:val="24"/>
          <w:szCs w:val="24"/>
        </w:rPr>
      </w:pPr>
    </w:p>
    <w:p w14:paraId="56C03BB5" w14:textId="77777777" w:rsidR="00BC7BD4" w:rsidRDefault="00BC7BD4" w:rsidP="00BC7BD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IMF.</w:t>
      </w:r>
      <w:proofErr w:type="gramEnd"/>
      <w:r>
        <w:rPr>
          <w:rFonts w:ascii="Times New Roman" w:hAnsi="Times New Roman" w:cs="Times New Roman"/>
          <w:sz w:val="24"/>
          <w:szCs w:val="24"/>
        </w:rPr>
        <w:t xml:space="preserve"> 2009. Balance of payments and international investment position manual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proofErr w:type="gramStart"/>
      <w:r>
        <w:rPr>
          <w:rFonts w:ascii="Times New Roman" w:hAnsi="Times New Roman" w:cs="Times New Roman"/>
          <w:i/>
          <w:sz w:val="24"/>
          <w:szCs w:val="24"/>
        </w:rPr>
        <w:t>International Monetary Fund</w:t>
      </w:r>
      <w:r>
        <w:rPr>
          <w:rFonts w:ascii="Times New Roman" w:hAnsi="Times New Roman" w:cs="Times New Roman"/>
          <w:sz w:val="24"/>
          <w:szCs w:val="24"/>
        </w:rPr>
        <w:t>.</w:t>
      </w:r>
      <w:proofErr w:type="gramEnd"/>
      <w:r>
        <w:rPr>
          <w:rFonts w:ascii="Times New Roman" w:hAnsi="Times New Roman" w:cs="Times New Roman"/>
          <w:sz w:val="24"/>
          <w:szCs w:val="24"/>
        </w:rPr>
        <w:t xml:space="preserve"> [Online] Washington, D.C. Available from: </w:t>
      </w:r>
      <w:hyperlink r:id="rId23" w:history="1">
        <w:r>
          <w:rPr>
            <w:rStyle w:val="Hyperlink"/>
            <w:rFonts w:ascii="Times New Roman" w:hAnsi="Times New Roman" w:cs="Times New Roman"/>
            <w:sz w:val="24"/>
            <w:szCs w:val="24"/>
          </w:rPr>
          <w:t>https://www.imf.org/external/pubs/ft/bop/2007/pdf/bpm6.pdf</w:t>
        </w:r>
      </w:hyperlink>
      <w:r>
        <w:rPr>
          <w:rFonts w:ascii="Times New Roman" w:hAnsi="Times New Roman" w:cs="Times New Roman"/>
          <w:sz w:val="24"/>
          <w:szCs w:val="24"/>
        </w:rPr>
        <w:t xml:space="preserve"> . </w:t>
      </w:r>
      <w:proofErr w:type="gramStart"/>
      <w:r>
        <w:rPr>
          <w:rFonts w:ascii="Times New Roman" w:hAnsi="Times New Roman" w:cs="Times New Roman"/>
          <w:sz w:val="24"/>
          <w:szCs w:val="24"/>
        </w:rPr>
        <w:t>[Accessed 23 May 2018].</w:t>
      </w:r>
      <w:proofErr w:type="gramEnd"/>
    </w:p>
    <w:p w14:paraId="27BF7183" w14:textId="77777777" w:rsidR="00BC7BD4" w:rsidRDefault="00BC7BD4" w:rsidP="00BC7BD4">
      <w:pPr>
        <w:spacing w:after="0" w:line="240" w:lineRule="auto"/>
        <w:rPr>
          <w:rFonts w:ascii="Times New Roman" w:hAnsi="Times New Roman" w:cs="Times New Roman"/>
          <w:sz w:val="24"/>
          <w:szCs w:val="24"/>
        </w:rPr>
      </w:pPr>
    </w:p>
    <w:p w14:paraId="6CC14153" w14:textId="77777777" w:rsidR="00CA0E6A" w:rsidRPr="00CA0E6A" w:rsidRDefault="00CA0E6A" w:rsidP="00CA0E6A">
      <w:pPr>
        <w:spacing w:after="0" w:line="240" w:lineRule="auto"/>
        <w:rPr>
          <w:rFonts w:ascii="Times New Roman" w:hAnsi="Times New Roman" w:cs="Times New Roman"/>
          <w:sz w:val="24"/>
          <w:szCs w:val="24"/>
        </w:rPr>
      </w:pPr>
      <w:proofErr w:type="spellStart"/>
      <w:proofErr w:type="gramStart"/>
      <w:r w:rsidRPr="00CA0E6A">
        <w:rPr>
          <w:rFonts w:ascii="Times New Roman" w:hAnsi="Times New Roman" w:cs="Times New Roman"/>
          <w:sz w:val="24"/>
          <w:szCs w:val="24"/>
        </w:rPr>
        <w:t>Markhonko</w:t>
      </w:r>
      <w:proofErr w:type="spellEnd"/>
      <w:r>
        <w:rPr>
          <w:rFonts w:ascii="Times New Roman" w:hAnsi="Times New Roman" w:cs="Times New Roman"/>
          <w:sz w:val="24"/>
          <w:szCs w:val="24"/>
        </w:rPr>
        <w:t>, V. 2014.</w:t>
      </w:r>
      <w:proofErr w:type="gramEnd"/>
      <w:r>
        <w:rPr>
          <w:rFonts w:ascii="Times New Roman" w:hAnsi="Times New Roman" w:cs="Times New Roman"/>
          <w:sz w:val="24"/>
          <w:szCs w:val="24"/>
        </w:rPr>
        <w:t xml:space="preserve"> </w:t>
      </w:r>
      <w:proofErr w:type="gramStart"/>
      <w:r w:rsidRPr="00CA0E6A">
        <w:rPr>
          <w:rFonts w:ascii="Times New Roman" w:hAnsi="Times New Roman" w:cs="Times New Roman"/>
          <w:sz w:val="24"/>
          <w:szCs w:val="24"/>
        </w:rPr>
        <w:t>Asymmetries in official international trade statistics and</w:t>
      </w:r>
      <w:r>
        <w:rPr>
          <w:rFonts w:ascii="Times New Roman" w:hAnsi="Times New Roman" w:cs="Times New Roman"/>
          <w:sz w:val="24"/>
          <w:szCs w:val="24"/>
        </w:rPr>
        <w:t xml:space="preserve"> </w:t>
      </w:r>
      <w:r w:rsidRPr="00CA0E6A">
        <w:rPr>
          <w:rFonts w:ascii="Times New Roman" w:hAnsi="Times New Roman" w:cs="Times New Roman"/>
          <w:sz w:val="24"/>
          <w:szCs w:val="24"/>
        </w:rPr>
        <w:t>analysis of globalization</w:t>
      </w:r>
      <w:r>
        <w:rPr>
          <w:rFonts w:ascii="Times New Roman" w:hAnsi="Times New Roman" w:cs="Times New Roman"/>
          <w:sz w:val="24"/>
          <w:szCs w:val="24"/>
        </w:rPr>
        <w:t xml:space="preserve"> (Discussion Paper).</w:t>
      </w:r>
      <w:proofErr w:type="gramEnd"/>
      <w:r>
        <w:rPr>
          <w:rFonts w:ascii="Times New Roman" w:hAnsi="Times New Roman" w:cs="Times New Roman"/>
          <w:sz w:val="24"/>
          <w:szCs w:val="24"/>
        </w:rPr>
        <w:t xml:space="preserve"> </w:t>
      </w:r>
      <w:r w:rsidRPr="00CA0E6A">
        <w:rPr>
          <w:rFonts w:ascii="Times New Roman" w:hAnsi="Times New Roman" w:cs="Times New Roman"/>
          <w:sz w:val="24"/>
          <w:szCs w:val="24"/>
        </w:rPr>
        <w:t>United Nations Friends of the Chair Meeting on the</w:t>
      </w:r>
    </w:p>
    <w:p w14:paraId="4257049C" w14:textId="02A71779" w:rsidR="00CA0E6A" w:rsidRDefault="00CA0E6A" w:rsidP="00CA0E6A">
      <w:pPr>
        <w:spacing w:after="0" w:line="240" w:lineRule="auto"/>
        <w:rPr>
          <w:rFonts w:ascii="Times New Roman" w:hAnsi="Times New Roman" w:cs="Times New Roman"/>
          <w:sz w:val="24"/>
          <w:szCs w:val="24"/>
        </w:rPr>
      </w:pPr>
      <w:r w:rsidRPr="00CA0E6A">
        <w:rPr>
          <w:rFonts w:ascii="Times New Roman" w:hAnsi="Times New Roman" w:cs="Times New Roman"/>
          <w:sz w:val="24"/>
          <w:szCs w:val="24"/>
        </w:rPr>
        <w:t>Measurement of International Trade and Economic Globalization,</w:t>
      </w:r>
      <w:r>
        <w:rPr>
          <w:rFonts w:ascii="Times New Roman" w:hAnsi="Times New Roman" w:cs="Times New Roman"/>
          <w:sz w:val="24"/>
          <w:szCs w:val="24"/>
        </w:rPr>
        <w:t xml:space="preserve"> </w:t>
      </w:r>
      <w:r w:rsidRPr="00CA0E6A">
        <w:rPr>
          <w:rFonts w:ascii="Times New Roman" w:hAnsi="Times New Roman" w:cs="Times New Roman"/>
          <w:sz w:val="24"/>
          <w:szCs w:val="24"/>
        </w:rPr>
        <w:t>Aguascalientes, Mexico, 2 Oct 2014</w:t>
      </w:r>
      <w:r>
        <w:rPr>
          <w:rFonts w:ascii="Times New Roman" w:hAnsi="Times New Roman" w:cs="Times New Roman"/>
          <w:sz w:val="24"/>
          <w:szCs w:val="24"/>
        </w:rPr>
        <w:t>.</w:t>
      </w:r>
      <w:r w:rsidR="003F15EF">
        <w:rPr>
          <w:rFonts w:ascii="Times New Roman" w:hAnsi="Times New Roman" w:cs="Times New Roman"/>
          <w:sz w:val="24"/>
          <w:szCs w:val="24"/>
        </w:rPr>
        <w:t xml:space="preserve"> </w:t>
      </w:r>
      <w:proofErr w:type="spellStart"/>
      <w:r w:rsidR="003F15EF">
        <w:rPr>
          <w:rFonts w:ascii="Times New Roman" w:hAnsi="Times New Roman" w:cs="Times New Roman"/>
          <w:sz w:val="24"/>
          <w:szCs w:val="24"/>
        </w:rPr>
        <w:t>Avaliable</w:t>
      </w:r>
      <w:proofErr w:type="spellEnd"/>
      <w:r w:rsidR="003F15EF">
        <w:rPr>
          <w:rFonts w:ascii="Times New Roman" w:hAnsi="Times New Roman" w:cs="Times New Roman"/>
          <w:sz w:val="24"/>
          <w:szCs w:val="24"/>
        </w:rPr>
        <w:t xml:space="preserve"> from: </w:t>
      </w:r>
      <w:r w:rsidR="003F15EF" w:rsidRPr="003F15EF">
        <w:rPr>
          <w:rFonts w:ascii="Times New Roman" w:hAnsi="Times New Roman" w:cs="Times New Roman"/>
          <w:sz w:val="24"/>
          <w:szCs w:val="24"/>
        </w:rPr>
        <w:t>https://unstats.un.org/unsd/trade/events/2014/mexico/Asymmetries%20in%20official%20ITS%20and%20analysis%20of%20globalization%20-%20V%20Markhonko%20-%2018%20Sep%202014.pdf</w:t>
      </w:r>
    </w:p>
    <w:p w14:paraId="2728F4E7" w14:textId="77777777" w:rsidR="00CA0E6A" w:rsidRDefault="00CA0E6A" w:rsidP="00BC7BD4">
      <w:pPr>
        <w:spacing w:after="0" w:line="240" w:lineRule="auto"/>
        <w:rPr>
          <w:rFonts w:ascii="Times New Roman" w:hAnsi="Times New Roman" w:cs="Times New Roman"/>
          <w:sz w:val="24"/>
          <w:szCs w:val="24"/>
        </w:rPr>
      </w:pPr>
    </w:p>
    <w:p w14:paraId="7672717F" w14:textId="1F58A7C5" w:rsidR="00BC7BD4" w:rsidRDefault="00BC7BD4" w:rsidP="00BC7BD4">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Maskus</w:t>
      </w:r>
      <w:proofErr w:type="spellEnd"/>
      <w:r>
        <w:rPr>
          <w:rFonts w:ascii="Times New Roman" w:hAnsi="Times New Roman" w:cs="Times New Roman"/>
          <w:sz w:val="24"/>
          <w:szCs w:val="24"/>
        </w:rPr>
        <w:t>, K.E. 2004.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Encouraging International Technology Transfer.</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ICTSD/UNCTAD, issue paper number 7</w:t>
      </w:r>
      <w:r>
        <w:rPr>
          <w:rFonts w:ascii="Times New Roman" w:hAnsi="Times New Roman" w:cs="Times New Roman"/>
          <w:sz w:val="24"/>
          <w:szCs w:val="24"/>
        </w:rPr>
        <w:t>.</w:t>
      </w:r>
      <w:proofErr w:type="gramEnd"/>
      <w:r>
        <w:rPr>
          <w:rFonts w:ascii="Times New Roman" w:hAnsi="Times New Roman" w:cs="Times New Roman"/>
          <w:sz w:val="24"/>
          <w:szCs w:val="24"/>
        </w:rPr>
        <w:t xml:space="preserve"> Geneva. Available from: https://www.iprsonline.org/resources/docs/Maskus%20-%20Encouraging%20International%20ToT-%20Blue%207.pdf [Accessed 07 June 2018].</w:t>
      </w:r>
    </w:p>
    <w:p w14:paraId="1F791D35" w14:textId="77777777" w:rsidR="00BC7BD4" w:rsidRDefault="00BC7BD4" w:rsidP="00BC7BD4">
      <w:pPr>
        <w:spacing w:after="0" w:line="240" w:lineRule="auto"/>
        <w:rPr>
          <w:rFonts w:ascii="Times New Roman" w:hAnsi="Times New Roman" w:cs="Times New Roman"/>
          <w:sz w:val="24"/>
          <w:szCs w:val="24"/>
        </w:rPr>
      </w:pPr>
    </w:p>
    <w:p w14:paraId="04624EB4" w14:textId="77777777" w:rsidR="00BC7BD4" w:rsidRDefault="00BC7BD4" w:rsidP="00BC7BD4">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Maskus</w:t>
      </w:r>
      <w:proofErr w:type="spellEnd"/>
      <w:r>
        <w:rPr>
          <w:rFonts w:ascii="Times New Roman" w:hAnsi="Times New Roman" w:cs="Times New Roman"/>
          <w:sz w:val="24"/>
          <w:szCs w:val="24"/>
        </w:rPr>
        <w:t xml:space="preserve">, K. E. and M. </w:t>
      </w:r>
      <w:proofErr w:type="spellStart"/>
      <w:r>
        <w:rPr>
          <w:rFonts w:ascii="Times New Roman" w:hAnsi="Times New Roman" w:cs="Times New Roman"/>
          <w:sz w:val="24"/>
          <w:szCs w:val="24"/>
        </w:rPr>
        <w:t>Penubarti</w:t>
      </w:r>
      <w:proofErr w:type="spellEnd"/>
      <w:r>
        <w:rPr>
          <w:rFonts w:ascii="Times New Roman" w:hAnsi="Times New Roman" w:cs="Times New Roman"/>
          <w:sz w:val="24"/>
          <w:szCs w:val="24"/>
        </w:rPr>
        <w:t xml:space="preserve"> (1995), “How trade-related are intellectual property rights?”</w:t>
      </w:r>
      <w:proofErr w:type="gramEnd"/>
      <w:r>
        <w:rPr>
          <w:rFonts w:ascii="Times New Roman" w:hAnsi="Times New Roman" w:cs="Times New Roman"/>
          <w:sz w:val="24"/>
          <w:szCs w:val="24"/>
        </w:rPr>
        <w:t xml:space="preserve"> Journal of International Economics, Vol. 39/3–4, pp. 227–48.</w:t>
      </w:r>
    </w:p>
    <w:p w14:paraId="11388398" w14:textId="77777777" w:rsidR="00BC7BD4" w:rsidRPr="00574DA4" w:rsidRDefault="00BC7BD4" w:rsidP="00BC7BD4">
      <w:pPr>
        <w:pStyle w:val="Ttulo2"/>
        <w:spacing w:after="0" w:afterAutospacing="0"/>
        <w:rPr>
          <w:rFonts w:eastAsiaTheme="minorHAnsi"/>
          <w:b w:val="0"/>
          <w:bCs w:val="0"/>
          <w:color w:val="auto"/>
          <w:szCs w:val="24"/>
          <w:lang w:val="en-GB" w:eastAsia="en-US"/>
        </w:rPr>
      </w:pPr>
      <w:r>
        <w:rPr>
          <w:rFonts w:eastAsiaTheme="minorHAnsi"/>
          <w:b w:val="0"/>
          <w:bCs w:val="0"/>
          <w:color w:val="auto"/>
          <w:szCs w:val="24"/>
          <w:lang w:val="en-US" w:eastAsia="en-US"/>
        </w:rPr>
        <w:t xml:space="preserve">May, C. and Sell, S. K 2006. </w:t>
      </w:r>
      <w:r>
        <w:rPr>
          <w:rFonts w:eastAsiaTheme="minorHAnsi"/>
          <w:b w:val="0"/>
          <w:bCs w:val="0"/>
          <w:i/>
          <w:color w:val="auto"/>
          <w:szCs w:val="24"/>
          <w:lang w:val="en-US" w:eastAsia="en-US"/>
        </w:rPr>
        <w:t>Intellectual Property Rights: A Critical History.</w:t>
      </w:r>
      <w:r>
        <w:rPr>
          <w:rFonts w:eastAsiaTheme="minorHAnsi"/>
          <w:b w:val="0"/>
          <w:bCs w:val="0"/>
          <w:color w:val="auto"/>
          <w:szCs w:val="24"/>
          <w:lang w:val="en-US" w:eastAsia="en-US"/>
        </w:rPr>
        <w:t xml:space="preserve"> </w:t>
      </w:r>
      <w:r w:rsidRPr="00574DA4">
        <w:rPr>
          <w:rFonts w:eastAsiaTheme="minorHAnsi"/>
          <w:b w:val="0"/>
          <w:bCs w:val="0"/>
          <w:color w:val="auto"/>
          <w:szCs w:val="24"/>
          <w:lang w:val="en-GB" w:eastAsia="en-US"/>
        </w:rPr>
        <w:t xml:space="preserve">London: Lynne </w:t>
      </w:r>
      <w:proofErr w:type="spellStart"/>
      <w:r w:rsidRPr="00574DA4">
        <w:rPr>
          <w:rFonts w:eastAsiaTheme="minorHAnsi"/>
          <w:b w:val="0"/>
          <w:bCs w:val="0"/>
          <w:color w:val="auto"/>
          <w:szCs w:val="24"/>
          <w:lang w:val="en-GB" w:eastAsia="en-US"/>
        </w:rPr>
        <w:t>Rienner</w:t>
      </w:r>
      <w:proofErr w:type="spellEnd"/>
      <w:r w:rsidRPr="00574DA4">
        <w:rPr>
          <w:rFonts w:eastAsiaTheme="minorHAnsi"/>
          <w:b w:val="0"/>
          <w:bCs w:val="0"/>
          <w:color w:val="auto"/>
          <w:szCs w:val="24"/>
          <w:lang w:val="en-GB" w:eastAsia="en-US"/>
        </w:rPr>
        <w:t xml:space="preserve"> Publishers, Inc.</w:t>
      </w:r>
    </w:p>
    <w:p w14:paraId="401D1178" w14:textId="77777777" w:rsidR="00BC7BD4" w:rsidRPr="00574DA4" w:rsidRDefault="00BC7BD4" w:rsidP="00BC7BD4">
      <w:pPr>
        <w:spacing w:after="0" w:line="240" w:lineRule="auto"/>
        <w:rPr>
          <w:rFonts w:ascii="Times New Roman" w:hAnsi="Times New Roman" w:cs="Times New Roman"/>
          <w:sz w:val="24"/>
          <w:szCs w:val="24"/>
        </w:rPr>
      </w:pPr>
    </w:p>
    <w:p w14:paraId="3062B378" w14:textId="77777777" w:rsidR="00BC7BD4" w:rsidRDefault="00BC7BD4" w:rsidP="00BC7BD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Neubig</w:t>
      </w:r>
      <w:proofErr w:type="spellEnd"/>
      <w:r>
        <w:rPr>
          <w:rFonts w:ascii="Times New Roman" w:hAnsi="Times New Roman" w:cs="Times New Roman"/>
          <w:sz w:val="24"/>
          <w:szCs w:val="24"/>
        </w:rPr>
        <w:t xml:space="preserve">, T. S. and Wunsch-Vincent, S. 2017. A missing link in the analysis of global value chains: cross-border flows of intangible assets, taxation and related measurement implications. </w:t>
      </w:r>
      <w:r>
        <w:rPr>
          <w:rFonts w:ascii="Times New Roman" w:hAnsi="Times New Roman" w:cs="Times New Roman"/>
          <w:i/>
          <w:sz w:val="24"/>
          <w:szCs w:val="24"/>
        </w:rPr>
        <w:t>WIPO Economic Research Working Paper No. 37</w:t>
      </w:r>
      <w:r>
        <w:rPr>
          <w:rFonts w:ascii="Times New Roman" w:hAnsi="Times New Roman" w:cs="Times New Roman"/>
          <w:sz w:val="24"/>
          <w:szCs w:val="24"/>
        </w:rPr>
        <w:t xml:space="preserve">. [Online] Available from: </w:t>
      </w:r>
      <w:hyperlink r:id="rId24" w:history="1">
        <w:r>
          <w:rPr>
            <w:rStyle w:val="Hyperlink"/>
            <w:rFonts w:ascii="Times New Roman" w:hAnsi="Times New Roman" w:cs="Times New Roman"/>
            <w:sz w:val="24"/>
            <w:szCs w:val="24"/>
          </w:rPr>
          <w:t>http://www.wipo.int/edocs/pubdocs/en/wipo_pub_econstat_wp_37.pdf</w:t>
        </w:r>
      </w:hyperlink>
      <w:r>
        <w:rPr>
          <w:rFonts w:ascii="Times New Roman" w:hAnsi="Times New Roman" w:cs="Times New Roman"/>
          <w:sz w:val="24"/>
          <w:szCs w:val="24"/>
        </w:rPr>
        <w:t xml:space="preserve"> </w:t>
      </w:r>
      <w:r>
        <w:rPr>
          <w:rFonts w:ascii="Times New Roman" w:hAnsi="Times New Roman" w:cs="Times New Roman"/>
          <w:sz w:val="24"/>
          <w:szCs w:val="24"/>
          <w:lang w:val="en-US"/>
        </w:rPr>
        <w:t>[Accessed 1 February 2018].</w:t>
      </w:r>
    </w:p>
    <w:p w14:paraId="558BD8E9" w14:textId="77777777" w:rsidR="00BC7BD4" w:rsidRDefault="00BC7BD4" w:rsidP="00BC7BD4">
      <w:pPr>
        <w:spacing w:after="0" w:line="240" w:lineRule="auto"/>
        <w:rPr>
          <w:rFonts w:ascii="Times New Roman" w:hAnsi="Times New Roman" w:cs="Times New Roman"/>
          <w:sz w:val="24"/>
          <w:szCs w:val="24"/>
        </w:rPr>
      </w:pPr>
    </w:p>
    <w:p w14:paraId="710D4612" w14:textId="77777777" w:rsidR="00BC7BD4" w:rsidRDefault="00BC7BD4" w:rsidP="00BC7BD4">
      <w:pPr>
        <w:rPr>
          <w:rFonts w:ascii="Times New Roman" w:hAnsi="Times New Roman" w:cs="Times New Roman"/>
          <w:sz w:val="24"/>
          <w:szCs w:val="24"/>
        </w:rPr>
      </w:pPr>
      <w:proofErr w:type="spellStart"/>
      <w:r>
        <w:rPr>
          <w:rFonts w:ascii="Times New Roman" w:hAnsi="Times New Roman" w:cs="Times New Roman"/>
          <w:sz w:val="24"/>
          <w:szCs w:val="24"/>
        </w:rPr>
        <w:t>Newfarmer</w:t>
      </w:r>
      <w:proofErr w:type="spellEnd"/>
      <w:r>
        <w:rPr>
          <w:rFonts w:ascii="Times New Roman" w:hAnsi="Times New Roman" w:cs="Times New Roman"/>
          <w:sz w:val="24"/>
          <w:szCs w:val="24"/>
        </w:rPr>
        <w:t xml:space="preserve">, R., Timmer, H., </w:t>
      </w:r>
      <w:proofErr w:type="spellStart"/>
      <w:r>
        <w:rPr>
          <w:rFonts w:ascii="Times New Roman" w:hAnsi="Times New Roman" w:cs="Times New Roman"/>
          <w:sz w:val="24"/>
          <w:szCs w:val="24"/>
        </w:rPr>
        <w:t>Varoudakis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Mattoo</w:t>
      </w:r>
      <w:proofErr w:type="spellEnd"/>
      <w:r>
        <w:rPr>
          <w:rFonts w:ascii="Times New Roman" w:hAnsi="Times New Roman" w:cs="Times New Roman"/>
          <w:sz w:val="24"/>
          <w:szCs w:val="24"/>
        </w:rPr>
        <w:t xml:space="preserve">, A., Fink C, </w:t>
      </w:r>
      <w:proofErr w:type="spellStart"/>
      <w:r>
        <w:rPr>
          <w:rFonts w:ascii="Times New Roman" w:hAnsi="Times New Roman" w:cs="Times New Roman"/>
          <w:sz w:val="24"/>
          <w:szCs w:val="24"/>
        </w:rPr>
        <w:t>Maskus</w:t>
      </w:r>
      <w:proofErr w:type="spellEnd"/>
      <w:r>
        <w:rPr>
          <w:rFonts w:ascii="Times New Roman" w:hAnsi="Times New Roman" w:cs="Times New Roman"/>
          <w:sz w:val="24"/>
          <w:szCs w:val="24"/>
        </w:rPr>
        <w:t xml:space="preserve">, K. and Van </w:t>
      </w:r>
      <w:proofErr w:type="spellStart"/>
      <w:r>
        <w:rPr>
          <w:rFonts w:ascii="Times New Roman" w:hAnsi="Times New Roman" w:cs="Times New Roman"/>
          <w:sz w:val="24"/>
          <w:szCs w:val="24"/>
        </w:rPr>
        <w:t>derMensbruggh</w:t>
      </w:r>
      <w:proofErr w:type="spellEnd"/>
      <w:r>
        <w:rPr>
          <w:rFonts w:ascii="Times New Roman" w:hAnsi="Times New Roman" w:cs="Times New Roman"/>
          <w:sz w:val="24"/>
          <w:szCs w:val="24"/>
        </w:rPr>
        <w:t xml:space="preserve">, D. 2002. Global economic prospects and the developing countries 2002: making trade work for the world's poor (English). </w:t>
      </w:r>
      <w:proofErr w:type="gramStart"/>
      <w:r>
        <w:rPr>
          <w:rFonts w:ascii="Times New Roman" w:hAnsi="Times New Roman" w:cs="Times New Roman"/>
          <w:i/>
          <w:sz w:val="24"/>
          <w:szCs w:val="24"/>
        </w:rPr>
        <w:t>Global Economic Prospects and the Developing Countries (GEP)</w:t>
      </w:r>
      <w:r>
        <w:rPr>
          <w:rFonts w:ascii="Times New Roman" w:hAnsi="Times New Roman" w:cs="Times New Roman"/>
          <w:sz w:val="24"/>
          <w:szCs w:val="24"/>
        </w:rPr>
        <w:t>.</w:t>
      </w:r>
      <w:proofErr w:type="gramEnd"/>
      <w:r>
        <w:rPr>
          <w:rFonts w:ascii="Times New Roman" w:hAnsi="Times New Roman" w:cs="Times New Roman"/>
          <w:sz w:val="24"/>
          <w:szCs w:val="24"/>
        </w:rPr>
        <w:t xml:space="preserve"> [Online] Washington, DC: World Bank Group. Available from: </w:t>
      </w:r>
      <w:hyperlink r:id="rId25" w:history="1">
        <w:r>
          <w:rPr>
            <w:rStyle w:val="Hyperlink"/>
            <w:rFonts w:ascii="Times New Roman" w:hAnsi="Times New Roman" w:cs="Times New Roman"/>
            <w:sz w:val="24"/>
            <w:szCs w:val="24"/>
          </w:rPr>
          <w:t>http://documents.worldbank.org/curated/en/285571468337817024/Global-economic-prospects-and-the-developing-countries-2002-making-trade-work-for-the-worlds-poor</w:t>
        </w:r>
      </w:hyperlink>
      <w:r>
        <w:rPr>
          <w:rFonts w:ascii="Times New Roman" w:hAnsi="Times New Roman" w:cs="Times New Roman"/>
          <w:sz w:val="24"/>
          <w:szCs w:val="24"/>
        </w:rPr>
        <w:t xml:space="preserve"> . </w:t>
      </w:r>
      <w:proofErr w:type="gramStart"/>
      <w:r>
        <w:rPr>
          <w:rFonts w:ascii="Times New Roman" w:hAnsi="Times New Roman" w:cs="Times New Roman"/>
          <w:sz w:val="24"/>
          <w:szCs w:val="24"/>
          <w:lang w:val="en-US"/>
        </w:rPr>
        <w:t>[Accessed 23 May 2018].</w:t>
      </w:r>
      <w:proofErr w:type="gramEnd"/>
    </w:p>
    <w:p w14:paraId="331223B8" w14:textId="77777777" w:rsidR="00BC7BD4" w:rsidRDefault="00BC7BD4" w:rsidP="00BC7BD4">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Orsi</w:t>
      </w:r>
      <w:proofErr w:type="spellEnd"/>
      <w:r>
        <w:rPr>
          <w:rFonts w:ascii="Times New Roman" w:hAnsi="Times New Roman" w:cs="Times New Roman"/>
          <w:sz w:val="24"/>
          <w:szCs w:val="24"/>
        </w:rPr>
        <w:t xml:space="preserve">, F and </w:t>
      </w:r>
      <w:proofErr w:type="spellStart"/>
      <w:r>
        <w:rPr>
          <w:rFonts w:ascii="Times New Roman" w:hAnsi="Times New Roman" w:cs="Times New Roman"/>
          <w:sz w:val="24"/>
          <w:szCs w:val="24"/>
        </w:rPr>
        <w:t>Coriat</w:t>
      </w:r>
      <w:proofErr w:type="spellEnd"/>
      <w:r>
        <w:rPr>
          <w:rFonts w:ascii="Times New Roman" w:hAnsi="Times New Roman" w:cs="Times New Roman"/>
          <w:sz w:val="24"/>
          <w:szCs w:val="24"/>
        </w:rPr>
        <w:t>, B. 2006.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New Role and Status of Intellectual Property Rights in Contemporary Capitalism.</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Competition &amp; Change.</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[Online], vol 10, issue 2, pp. 162 – 179. Available from:  </w:t>
      </w:r>
      <w:hyperlink r:id="rId26" w:history="1">
        <w:r>
          <w:rPr>
            <w:rStyle w:val="Hyperlink"/>
            <w:rFonts w:ascii="Times New Roman" w:hAnsi="Times New Roman" w:cs="Times New Roman"/>
            <w:sz w:val="24"/>
            <w:szCs w:val="24"/>
          </w:rPr>
          <w:t>https://doi.org/10.1179/102452906X104222</w:t>
        </w:r>
      </w:hyperlink>
      <w:r>
        <w:rPr>
          <w:rFonts w:ascii="Times New Roman" w:hAnsi="Times New Roman" w:cs="Times New Roman"/>
          <w:sz w:val="24"/>
          <w:szCs w:val="24"/>
        </w:rPr>
        <w:t xml:space="preserve"> </w:t>
      </w:r>
      <w:r>
        <w:rPr>
          <w:rFonts w:ascii="Times New Roman" w:hAnsi="Times New Roman" w:cs="Times New Roman"/>
          <w:sz w:val="24"/>
          <w:szCs w:val="24"/>
          <w:lang w:val="en-US"/>
        </w:rPr>
        <w:t>[Accessed 10 October 2017].</w:t>
      </w:r>
    </w:p>
    <w:p w14:paraId="59F116F2" w14:textId="77777777" w:rsidR="00BC7BD4" w:rsidRDefault="00BC7BD4" w:rsidP="00BC7BD4">
      <w:pPr>
        <w:spacing w:after="0" w:line="240" w:lineRule="auto"/>
        <w:rPr>
          <w:rFonts w:ascii="Times New Roman" w:hAnsi="Times New Roman" w:cs="Times New Roman"/>
          <w:sz w:val="24"/>
          <w:szCs w:val="24"/>
        </w:rPr>
      </w:pPr>
    </w:p>
    <w:p w14:paraId="110A183C" w14:textId="77777777" w:rsidR="00BC7BD4" w:rsidRDefault="00BC7BD4" w:rsidP="00BC7BD4">
      <w:p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Pagano, U. and Rossi, M. A. 2009.</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The crash of the knowledge economy.</w:t>
      </w:r>
      <w:proofErr w:type="gramEnd"/>
      <w:r>
        <w:rPr>
          <w:rFonts w:ascii="Times New Roman" w:hAnsi="Times New Roman" w:cs="Times New Roman"/>
          <w:sz w:val="24"/>
          <w:szCs w:val="24"/>
          <w:lang w:val="en-US"/>
        </w:rPr>
        <w:t> </w:t>
      </w:r>
      <w:proofErr w:type="gramStart"/>
      <w:r>
        <w:rPr>
          <w:rFonts w:ascii="Times New Roman" w:hAnsi="Times New Roman" w:cs="Times New Roman"/>
          <w:i/>
          <w:iCs/>
          <w:sz w:val="24"/>
          <w:szCs w:val="24"/>
          <w:lang w:val="en-US"/>
        </w:rPr>
        <w:t>Cambridge Journal of Economics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[Online] Volume 33, Issue 4, pp. 665–683. Available from: </w:t>
      </w:r>
      <w:hyperlink r:id="rId27" w:history="1">
        <w:r>
          <w:rPr>
            <w:rStyle w:val="Hyperlink"/>
            <w:rFonts w:ascii="Times New Roman" w:hAnsi="Times New Roman" w:cs="Times New Roman"/>
            <w:sz w:val="24"/>
            <w:szCs w:val="24"/>
            <w:lang w:val="en-US"/>
          </w:rPr>
          <w:t>https://doi.org/10.1093/cje/bep033</w:t>
        </w:r>
      </w:hyperlink>
      <w:r>
        <w:rPr>
          <w:rFonts w:ascii="Times New Roman" w:hAnsi="Times New Roman" w:cs="Times New Roman"/>
          <w:sz w:val="24"/>
          <w:szCs w:val="24"/>
          <w:lang w:val="en-US"/>
        </w:rPr>
        <w:t xml:space="preserve"> [Accessed 14 February 2018].</w:t>
      </w:r>
    </w:p>
    <w:p w14:paraId="4B5072DD" w14:textId="77777777" w:rsidR="00BC7BD4" w:rsidRDefault="00BC7BD4" w:rsidP="00BC7BD4">
      <w:pPr>
        <w:spacing w:after="0" w:line="240" w:lineRule="auto"/>
        <w:rPr>
          <w:rFonts w:ascii="Times New Roman" w:hAnsi="Times New Roman" w:cs="Times New Roman"/>
          <w:sz w:val="24"/>
          <w:szCs w:val="24"/>
          <w:lang w:val="en-US"/>
        </w:rPr>
      </w:pPr>
    </w:p>
    <w:p w14:paraId="6853638C" w14:textId="77777777" w:rsidR="00BC7BD4" w:rsidRDefault="00BC7BD4" w:rsidP="00BC7B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Park, W. and </w:t>
      </w:r>
      <w:proofErr w:type="spellStart"/>
      <w:r>
        <w:rPr>
          <w:rFonts w:ascii="Times New Roman" w:hAnsi="Times New Roman" w:cs="Times New Roman"/>
          <w:sz w:val="24"/>
          <w:szCs w:val="24"/>
        </w:rPr>
        <w:t>Lippoldt</w:t>
      </w:r>
      <w:proofErr w:type="spellEnd"/>
      <w:r>
        <w:rPr>
          <w:rFonts w:ascii="Times New Roman" w:hAnsi="Times New Roman" w:cs="Times New Roman"/>
          <w:sz w:val="24"/>
          <w:szCs w:val="24"/>
        </w:rPr>
        <w:t xml:space="preserve">, D. 2008, Technology Transfer and the Economic Implications of the Strengthening of Intellectual Property Rights in Developing Countries. </w:t>
      </w:r>
      <w:proofErr w:type="gramStart"/>
      <w:r>
        <w:rPr>
          <w:rFonts w:ascii="Times New Roman" w:hAnsi="Times New Roman" w:cs="Times New Roman"/>
          <w:i/>
          <w:sz w:val="24"/>
          <w:szCs w:val="24"/>
        </w:rPr>
        <w:t>OECD Trade Policy Papers</w:t>
      </w:r>
      <w:r>
        <w:rPr>
          <w:rFonts w:ascii="Times New Roman" w:hAnsi="Times New Roman" w:cs="Times New Roman"/>
          <w:sz w:val="24"/>
          <w:szCs w:val="24"/>
        </w:rPr>
        <w:t>.</w:t>
      </w:r>
      <w:proofErr w:type="gramEnd"/>
      <w:r>
        <w:rPr>
          <w:rFonts w:ascii="Times New Roman" w:hAnsi="Times New Roman" w:cs="Times New Roman"/>
          <w:sz w:val="24"/>
          <w:szCs w:val="24"/>
        </w:rPr>
        <w:t xml:space="preserve"> [Online]</w:t>
      </w:r>
      <w:proofErr w:type="gramStart"/>
      <w:r>
        <w:rPr>
          <w:rFonts w:ascii="Times New Roman" w:hAnsi="Times New Roman" w:cs="Times New Roman"/>
          <w:sz w:val="24"/>
          <w:szCs w:val="24"/>
        </w:rPr>
        <w:t>,  n</w:t>
      </w:r>
      <w:proofErr w:type="gramEnd"/>
      <w:r>
        <w:rPr>
          <w:rFonts w:ascii="Times New Roman" w:hAnsi="Times New Roman" w:cs="Times New Roman"/>
          <w:sz w:val="24"/>
          <w:szCs w:val="24"/>
        </w:rPr>
        <w:t xml:space="preserve">. 62, OECD Publishing: Paris. </w:t>
      </w:r>
      <w:r>
        <w:rPr>
          <w:rFonts w:ascii="Times New Roman" w:hAnsi="Times New Roman" w:cs="Times New Roman"/>
          <w:sz w:val="24"/>
          <w:szCs w:val="24"/>
          <w:lang w:val="en-US"/>
        </w:rPr>
        <w:t>Available from: </w:t>
      </w:r>
      <w:hyperlink r:id="rId28" w:history="1">
        <w:r>
          <w:rPr>
            <w:rStyle w:val="Hyperlink"/>
            <w:rFonts w:ascii="Times New Roman" w:hAnsi="Times New Roman" w:cs="Times New Roman"/>
            <w:sz w:val="24"/>
            <w:szCs w:val="24"/>
          </w:rPr>
          <w:t>http://dx.doi.org/10.1787/244764462745</w:t>
        </w:r>
      </w:hyperlink>
      <w:r>
        <w:rPr>
          <w:rFonts w:ascii="Times New Roman" w:hAnsi="Times New Roman" w:cs="Times New Roman"/>
          <w:sz w:val="24"/>
          <w:szCs w:val="24"/>
        </w:rPr>
        <w:t xml:space="preserve"> </w:t>
      </w:r>
      <w:r>
        <w:rPr>
          <w:rFonts w:ascii="Times New Roman" w:hAnsi="Times New Roman" w:cs="Times New Roman"/>
          <w:sz w:val="24"/>
          <w:szCs w:val="24"/>
          <w:lang w:val="en-US"/>
        </w:rPr>
        <w:t>[Accessed 14 February 2018].</w:t>
      </w:r>
    </w:p>
    <w:p w14:paraId="621ED4D7" w14:textId="77777777" w:rsidR="00BC7BD4" w:rsidRDefault="00BC7BD4" w:rsidP="00BC7BD4">
      <w:pPr>
        <w:spacing w:after="0" w:line="240" w:lineRule="auto"/>
        <w:rPr>
          <w:rFonts w:ascii="Times New Roman" w:hAnsi="Times New Roman" w:cs="Times New Roman"/>
          <w:sz w:val="24"/>
          <w:szCs w:val="24"/>
        </w:rPr>
      </w:pPr>
    </w:p>
    <w:p w14:paraId="53D813EC" w14:textId="77777777" w:rsidR="00BC7BD4" w:rsidRDefault="00BC7BD4" w:rsidP="00BC7BD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Primo Braga, C. and C. Fink (1997), “The economic justification for the grant of intellectual property rights: Patterns of convergence and conflict", in F.M. Abbott and D.J. Gerber (eds.), Public Policy and Global Technological Integration, Kluwer Academic Publishers, The Netherlands.</w:t>
      </w:r>
    </w:p>
    <w:p w14:paraId="23811A14" w14:textId="77777777" w:rsidR="00BC7BD4" w:rsidRDefault="00BC7BD4" w:rsidP="00BC7BD4">
      <w:pPr>
        <w:spacing w:after="0" w:line="240" w:lineRule="auto"/>
        <w:rPr>
          <w:rFonts w:ascii="Times New Roman" w:hAnsi="Times New Roman" w:cs="Times New Roman"/>
          <w:sz w:val="24"/>
          <w:szCs w:val="24"/>
        </w:rPr>
      </w:pPr>
    </w:p>
    <w:p w14:paraId="2AD246D6" w14:textId="77777777" w:rsidR="00BC7BD4" w:rsidRDefault="00BC7BD4" w:rsidP="00BC7BD4">
      <w:pPr>
        <w:spacing w:after="0" w:line="240" w:lineRule="auto"/>
        <w:rPr>
          <w:rFonts w:ascii="Times New Roman" w:hAnsi="Times New Roman" w:cs="Times New Roman"/>
          <w:sz w:val="24"/>
          <w:szCs w:val="24"/>
        </w:rPr>
      </w:pPr>
      <w:r>
        <w:rPr>
          <w:rFonts w:ascii="Times New Roman" w:hAnsi="Times New Roman" w:cs="Times New Roman"/>
          <w:sz w:val="24"/>
          <w:szCs w:val="24"/>
        </w:rPr>
        <w:t>Primo Braga, C. and C. Fink (1999), “How stronger protection of intellectual property rights affects international trade flows”, Policy Research Working Paper Series 2051, World Bank, Washington, DC. http://elibrary.worldbank.org/content/workingpaper/10.1596/1813-9450-2051</w:t>
      </w:r>
    </w:p>
    <w:p w14:paraId="5FF443DA" w14:textId="77777777" w:rsidR="00BC7BD4" w:rsidRDefault="00BC7BD4" w:rsidP="00BC7BD4">
      <w:pPr>
        <w:spacing w:after="0" w:line="240" w:lineRule="auto"/>
        <w:rPr>
          <w:rFonts w:ascii="Times New Roman" w:hAnsi="Times New Roman" w:cs="Times New Roman"/>
          <w:sz w:val="24"/>
          <w:szCs w:val="24"/>
        </w:rPr>
      </w:pPr>
    </w:p>
    <w:p w14:paraId="314B88B6" w14:textId="77777777" w:rsidR="00BC7BD4" w:rsidRDefault="00BC7BD4" w:rsidP="00BC7BD4">
      <w:p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Romer P. M. 1993.</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Economic Growth.</w:t>
      </w:r>
      <w:proofErr w:type="gramEnd"/>
      <w:r>
        <w:rPr>
          <w:rFonts w:ascii="Times New Roman" w:hAnsi="Times New Roman" w:cs="Times New Roman"/>
          <w:sz w:val="24"/>
          <w:szCs w:val="24"/>
          <w:lang w:val="en-US"/>
        </w:rPr>
        <w:t xml:space="preserve"> In: Henderson, D. </w:t>
      </w:r>
      <w:proofErr w:type="gramStart"/>
      <w:r>
        <w:rPr>
          <w:rFonts w:ascii="Times New Roman" w:hAnsi="Times New Roman" w:cs="Times New Roman"/>
          <w:i/>
          <w:sz w:val="24"/>
          <w:szCs w:val="24"/>
          <w:lang w:val="en-US"/>
        </w:rPr>
        <w:t>The</w:t>
      </w:r>
      <w:proofErr w:type="gramEnd"/>
      <w:r>
        <w:rPr>
          <w:rFonts w:ascii="Times New Roman" w:hAnsi="Times New Roman" w:cs="Times New Roman"/>
          <w:i/>
          <w:sz w:val="24"/>
          <w:szCs w:val="24"/>
          <w:lang w:val="en-US"/>
        </w:rPr>
        <w:t xml:space="preserve"> Fortune Encyclopedia of Economics (Concise Encyclopedia of Economics)</w:t>
      </w:r>
      <w:r>
        <w:rPr>
          <w:rFonts w:ascii="Times New Roman" w:hAnsi="Times New Roman" w:cs="Times New Roman"/>
          <w:sz w:val="24"/>
          <w:szCs w:val="24"/>
          <w:lang w:val="en-US"/>
        </w:rPr>
        <w:t xml:space="preserve">. [Online]  New York: Warner Books. </w:t>
      </w:r>
      <w:proofErr w:type="spellStart"/>
      <w:r>
        <w:rPr>
          <w:rFonts w:ascii="Times New Roman" w:hAnsi="Times New Roman" w:cs="Times New Roman"/>
          <w:sz w:val="24"/>
          <w:szCs w:val="24"/>
          <w:lang w:val="en-US"/>
        </w:rPr>
        <w:t>Avaliable</w:t>
      </w:r>
      <w:proofErr w:type="spellEnd"/>
      <w:r>
        <w:rPr>
          <w:rFonts w:ascii="Times New Roman" w:hAnsi="Times New Roman" w:cs="Times New Roman"/>
          <w:sz w:val="24"/>
          <w:szCs w:val="24"/>
          <w:lang w:val="en-US"/>
        </w:rPr>
        <w:t xml:space="preserve"> from: </w:t>
      </w:r>
      <w:hyperlink r:id="rId29" w:history="1">
        <w:r>
          <w:rPr>
            <w:rStyle w:val="Hyperlink"/>
            <w:rFonts w:ascii="Times New Roman" w:hAnsi="Times New Roman" w:cs="Times New Roman"/>
            <w:sz w:val="24"/>
            <w:szCs w:val="24"/>
            <w:lang w:val="en-US"/>
          </w:rPr>
          <w:t>http://oll.libertyfund.org/titles/1064</w:t>
        </w:r>
      </w:hyperlink>
      <w:r>
        <w:rPr>
          <w:rFonts w:ascii="Times New Roman" w:hAnsi="Times New Roman" w:cs="Times New Roman"/>
          <w:sz w:val="24"/>
          <w:szCs w:val="24"/>
          <w:lang w:val="en-US"/>
        </w:rPr>
        <w:t xml:space="preserve"> [Accessed 24 May 2018].</w:t>
      </w:r>
    </w:p>
    <w:p w14:paraId="39C86B56" w14:textId="77777777" w:rsidR="00BC7BD4" w:rsidRDefault="00BC7BD4" w:rsidP="00BC7BD4">
      <w:pPr>
        <w:spacing w:after="0" w:line="240" w:lineRule="auto"/>
        <w:rPr>
          <w:rFonts w:ascii="Times New Roman" w:hAnsi="Times New Roman" w:cs="Times New Roman"/>
          <w:sz w:val="24"/>
          <w:szCs w:val="24"/>
          <w:lang w:val="en-US"/>
        </w:rPr>
      </w:pPr>
    </w:p>
    <w:p w14:paraId="405E9DEE" w14:textId="77777777" w:rsidR="00BC7BD4" w:rsidRDefault="00BC7BD4" w:rsidP="00BC7B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Sell, S. K. 1999. Multinational Corporations as Agents of Change: The Globalization of Intellectual Property Rights. In: A. C. C., </w:t>
      </w:r>
      <w:proofErr w:type="spellStart"/>
      <w:r>
        <w:rPr>
          <w:rFonts w:ascii="Times New Roman" w:hAnsi="Times New Roman" w:cs="Times New Roman"/>
          <w:sz w:val="24"/>
          <w:szCs w:val="24"/>
          <w:lang w:val="en-US"/>
        </w:rPr>
        <w:t>Haufler</w:t>
      </w:r>
      <w:proofErr w:type="spellEnd"/>
      <w:r>
        <w:rPr>
          <w:rFonts w:ascii="Times New Roman" w:hAnsi="Times New Roman" w:cs="Times New Roman"/>
          <w:sz w:val="24"/>
          <w:szCs w:val="24"/>
          <w:lang w:val="en-US"/>
        </w:rPr>
        <w:t xml:space="preserve"> V. and Porter T (</w:t>
      </w:r>
      <w:proofErr w:type="gramStart"/>
      <w:r>
        <w:rPr>
          <w:rFonts w:ascii="Times New Roman" w:hAnsi="Times New Roman" w:cs="Times New Roman"/>
          <w:sz w:val="24"/>
          <w:szCs w:val="24"/>
          <w:lang w:val="en-US"/>
        </w:rPr>
        <w:t>eds</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i/>
          <w:sz w:val="24"/>
          <w:szCs w:val="24"/>
          <w:lang w:val="en-US"/>
        </w:rPr>
        <w:t>Private Authority and International Affairs.</w:t>
      </w:r>
      <w:proofErr w:type="gram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Albany, NY: State University of New York Press, pp. 169–198.</w:t>
      </w:r>
    </w:p>
    <w:p w14:paraId="08DD81EA" w14:textId="77777777" w:rsidR="00BC7BD4" w:rsidRDefault="00BC7BD4" w:rsidP="00BC7BD4">
      <w:pPr>
        <w:spacing w:after="0" w:line="240" w:lineRule="auto"/>
        <w:rPr>
          <w:rFonts w:ascii="Times New Roman" w:hAnsi="Times New Roman" w:cs="Times New Roman"/>
          <w:sz w:val="24"/>
          <w:szCs w:val="24"/>
          <w:lang w:val="en-US"/>
        </w:rPr>
      </w:pPr>
    </w:p>
    <w:p w14:paraId="360C8749" w14:textId="77777777" w:rsidR="00BC7BD4" w:rsidRDefault="00BC7BD4" w:rsidP="00BC7BD4">
      <w:p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Shapiro R. and </w:t>
      </w:r>
      <w:proofErr w:type="spellStart"/>
      <w:r>
        <w:rPr>
          <w:rFonts w:ascii="Times New Roman" w:hAnsi="Times New Roman" w:cs="Times New Roman"/>
          <w:sz w:val="24"/>
          <w:szCs w:val="24"/>
          <w:lang w:val="en-US"/>
        </w:rPr>
        <w:t>Hassett</w:t>
      </w:r>
      <w:proofErr w:type="spellEnd"/>
      <w:r>
        <w:rPr>
          <w:rFonts w:ascii="Times New Roman" w:hAnsi="Times New Roman" w:cs="Times New Roman"/>
          <w:sz w:val="24"/>
          <w:szCs w:val="24"/>
          <w:lang w:val="en-US"/>
        </w:rPr>
        <w:t xml:space="preserve"> K., 2005.</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i/>
          <w:sz w:val="24"/>
          <w:szCs w:val="24"/>
          <w:lang w:val="en-US"/>
        </w:rPr>
        <w:t>The Economic Value of Intellectual Property</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American Enterprise Institute [Online] </w:t>
      </w:r>
      <w:proofErr w:type="spellStart"/>
      <w:r>
        <w:rPr>
          <w:rFonts w:ascii="Times New Roman" w:hAnsi="Times New Roman" w:cs="Times New Roman"/>
          <w:sz w:val="24"/>
          <w:szCs w:val="24"/>
          <w:lang w:val="en-US"/>
        </w:rPr>
        <w:t>Avaliable</w:t>
      </w:r>
      <w:proofErr w:type="spellEnd"/>
      <w:r>
        <w:rPr>
          <w:rFonts w:ascii="Times New Roman" w:hAnsi="Times New Roman" w:cs="Times New Roman"/>
          <w:sz w:val="24"/>
          <w:szCs w:val="24"/>
          <w:lang w:val="en-US"/>
        </w:rPr>
        <w:t xml:space="preserve"> from: </w:t>
      </w:r>
      <w:hyperlink r:id="rId30" w:history="1">
        <w:r>
          <w:rPr>
            <w:rStyle w:val="Hyperlink"/>
            <w:rFonts w:ascii="Times New Roman" w:hAnsi="Times New Roman" w:cs="Times New Roman"/>
            <w:sz w:val="24"/>
            <w:szCs w:val="24"/>
            <w:lang w:val="en-US"/>
          </w:rPr>
          <w:t>https://www.aei.org/publication/the-economic-value-of-intellectual-property/</w:t>
        </w:r>
      </w:hyperlink>
      <w:r>
        <w:rPr>
          <w:rFonts w:ascii="Times New Roman" w:hAnsi="Times New Roman" w:cs="Times New Roman"/>
          <w:sz w:val="24"/>
          <w:szCs w:val="24"/>
          <w:lang w:val="en-US"/>
        </w:rPr>
        <w:t xml:space="preserve"> [Accessed 18 May 2018]</w:t>
      </w:r>
    </w:p>
    <w:p w14:paraId="19AEC57A" w14:textId="164077F5" w:rsidR="00BC7BD4" w:rsidRDefault="00BC7BD4" w:rsidP="00BC7BD4">
      <w:pPr>
        <w:spacing w:after="0" w:line="240" w:lineRule="auto"/>
        <w:rPr>
          <w:rFonts w:ascii="Times New Roman" w:hAnsi="Times New Roman" w:cs="Times New Roman"/>
          <w:sz w:val="24"/>
          <w:szCs w:val="24"/>
          <w:lang w:val="en-US"/>
        </w:rPr>
      </w:pPr>
    </w:p>
    <w:p w14:paraId="4246BC55" w14:textId="6A53A020" w:rsidR="003F15EF" w:rsidRDefault="003F15EF" w:rsidP="003F15EF">
      <w:pPr>
        <w:spacing w:after="0" w:line="240" w:lineRule="auto"/>
        <w:rPr>
          <w:rFonts w:ascii="Times New Roman" w:hAnsi="Times New Roman" w:cs="Times New Roman"/>
          <w:sz w:val="24"/>
          <w:szCs w:val="24"/>
          <w:lang w:val="en-US"/>
        </w:rPr>
      </w:pPr>
      <w:proofErr w:type="gramStart"/>
      <w:r w:rsidRPr="003F15EF">
        <w:rPr>
          <w:rFonts w:ascii="Times New Roman" w:hAnsi="Times New Roman" w:cs="Times New Roman"/>
          <w:sz w:val="24"/>
          <w:szCs w:val="24"/>
          <w:lang w:val="en-US"/>
        </w:rPr>
        <w:t>U</w:t>
      </w:r>
      <w:r>
        <w:rPr>
          <w:rFonts w:ascii="Times New Roman" w:hAnsi="Times New Roman" w:cs="Times New Roman"/>
          <w:sz w:val="24"/>
          <w:szCs w:val="24"/>
          <w:lang w:val="en-US"/>
        </w:rPr>
        <w:t xml:space="preserve">N </w:t>
      </w:r>
      <w:r w:rsidRPr="003F15EF">
        <w:rPr>
          <w:rFonts w:ascii="Times New Roman" w:hAnsi="Times New Roman" w:cs="Times New Roman"/>
          <w:sz w:val="24"/>
          <w:szCs w:val="24"/>
          <w:lang w:val="en-US"/>
        </w:rPr>
        <w:t>Statistical Commission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2013. </w:t>
      </w:r>
      <w:r w:rsidRPr="003F15EF">
        <w:rPr>
          <w:rFonts w:ascii="Times New Roman" w:hAnsi="Times New Roman" w:cs="Times New Roman"/>
          <w:sz w:val="24"/>
          <w:szCs w:val="24"/>
          <w:lang w:val="en-US"/>
        </w:rPr>
        <w:t>Report on the forty-fourth session</w:t>
      </w:r>
      <w:r>
        <w:rPr>
          <w:rFonts w:ascii="Times New Roman" w:hAnsi="Times New Roman" w:cs="Times New Roman"/>
          <w:sz w:val="24"/>
          <w:szCs w:val="24"/>
          <w:lang w:val="en-US"/>
        </w:rPr>
        <w:t xml:space="preserve"> </w:t>
      </w:r>
      <w:r w:rsidRPr="003F15EF">
        <w:rPr>
          <w:rFonts w:ascii="Times New Roman" w:hAnsi="Times New Roman" w:cs="Times New Roman"/>
          <w:sz w:val="24"/>
          <w:szCs w:val="24"/>
          <w:lang w:val="en-US"/>
        </w:rPr>
        <w:t>(26 February-1 March 2013)</w:t>
      </w:r>
      <w:r>
        <w:rPr>
          <w:rFonts w:ascii="Times New Roman" w:hAnsi="Times New Roman" w:cs="Times New Roman"/>
          <w:sz w:val="24"/>
          <w:szCs w:val="24"/>
          <w:lang w:val="en-US"/>
        </w:rPr>
        <w:t xml:space="preserve">. </w:t>
      </w:r>
      <w:proofErr w:type="gramStart"/>
      <w:r w:rsidRPr="003F15EF">
        <w:rPr>
          <w:rFonts w:ascii="Times New Roman" w:hAnsi="Times New Roman" w:cs="Times New Roman"/>
          <w:sz w:val="24"/>
          <w:szCs w:val="24"/>
          <w:lang w:val="en-US"/>
        </w:rPr>
        <w:t>Economic and Social Council</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3F15EF">
        <w:rPr>
          <w:rFonts w:ascii="Times New Roman" w:hAnsi="Times New Roman" w:cs="Times New Roman"/>
          <w:sz w:val="24"/>
          <w:szCs w:val="24"/>
          <w:lang w:val="en-US"/>
        </w:rPr>
        <w:t>Official Records 2013</w:t>
      </w:r>
      <w:r>
        <w:rPr>
          <w:rFonts w:ascii="Times New Roman" w:hAnsi="Times New Roman" w:cs="Times New Roman"/>
          <w:sz w:val="24"/>
          <w:szCs w:val="24"/>
          <w:lang w:val="en-US"/>
        </w:rPr>
        <w:t>.</w:t>
      </w:r>
      <w:r w:rsidRPr="003F15EF">
        <w:rPr>
          <w:rFonts w:ascii="Times New Roman" w:hAnsi="Times New Roman" w:cs="Times New Roman"/>
          <w:sz w:val="24"/>
          <w:szCs w:val="24"/>
          <w:lang w:val="en-US"/>
        </w:rPr>
        <w:t>Supplement No. 4</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Avaliable</w:t>
      </w:r>
      <w:proofErr w:type="spellEnd"/>
      <w:r>
        <w:rPr>
          <w:rFonts w:ascii="Times New Roman" w:hAnsi="Times New Roman" w:cs="Times New Roman"/>
          <w:sz w:val="24"/>
          <w:szCs w:val="24"/>
          <w:lang w:val="en-US"/>
        </w:rPr>
        <w:t xml:space="preserve"> from: </w:t>
      </w:r>
      <w:r w:rsidRPr="003F15EF">
        <w:rPr>
          <w:rFonts w:ascii="Times New Roman" w:hAnsi="Times New Roman" w:cs="Times New Roman"/>
          <w:sz w:val="24"/>
          <w:szCs w:val="24"/>
          <w:lang w:val="en-US"/>
        </w:rPr>
        <w:t>https://unstats.un.org/unsd/statcom/44th-session/documents/statcom-2013-44th-report-E.pdf</w:t>
      </w:r>
    </w:p>
    <w:p w14:paraId="4721721A" w14:textId="77777777" w:rsidR="003F15EF" w:rsidRDefault="003F15EF" w:rsidP="00BC7BD4">
      <w:pPr>
        <w:spacing w:after="0" w:line="240" w:lineRule="auto"/>
        <w:rPr>
          <w:rFonts w:ascii="Times New Roman" w:hAnsi="Times New Roman" w:cs="Times New Roman"/>
          <w:sz w:val="24"/>
          <w:szCs w:val="24"/>
          <w:lang w:val="en-US"/>
        </w:rPr>
      </w:pPr>
    </w:p>
    <w:p w14:paraId="74BFA302" w14:textId="77777777" w:rsidR="00BC7BD4" w:rsidRDefault="00BC7BD4" w:rsidP="00BC7BD4">
      <w:pPr>
        <w:spacing w:after="0" w:line="240" w:lineRule="auto"/>
      </w:pPr>
      <w:proofErr w:type="gramStart"/>
      <w:r w:rsidRPr="00CA0E6A">
        <w:rPr>
          <w:rFonts w:ascii="Times New Roman" w:hAnsi="Times New Roman" w:cs="Times New Roman"/>
          <w:sz w:val="24"/>
          <w:szCs w:val="24"/>
        </w:rPr>
        <w:t xml:space="preserve">Yang, L and </w:t>
      </w:r>
      <w:proofErr w:type="spellStart"/>
      <w:r w:rsidRPr="00CA0E6A">
        <w:rPr>
          <w:rFonts w:ascii="Times New Roman" w:hAnsi="Times New Roman" w:cs="Times New Roman"/>
          <w:sz w:val="24"/>
          <w:szCs w:val="24"/>
        </w:rPr>
        <w:t>Maskus</w:t>
      </w:r>
      <w:proofErr w:type="spellEnd"/>
      <w:r w:rsidRPr="00CA0E6A">
        <w:rPr>
          <w:rFonts w:ascii="Times New Roman" w:hAnsi="Times New Roman" w:cs="Times New Roman"/>
          <w:sz w:val="24"/>
          <w:szCs w:val="24"/>
        </w:rPr>
        <w:t>, K. E. 2009.</w:t>
      </w:r>
      <w:proofErr w:type="gramEnd"/>
      <w:r w:rsidRPr="00CA0E6A">
        <w:rPr>
          <w:rFonts w:ascii="Times New Roman" w:hAnsi="Times New Roman" w:cs="Times New Roman"/>
          <w:sz w:val="24"/>
          <w:szCs w:val="24"/>
        </w:rPr>
        <w:t xml:space="preserve"> </w:t>
      </w:r>
      <w:r>
        <w:rPr>
          <w:rFonts w:ascii="Times New Roman" w:hAnsi="Times New Roman" w:cs="Times New Roman"/>
          <w:sz w:val="24"/>
          <w:szCs w:val="24"/>
        </w:rPr>
        <w:t xml:space="preserve">Intellectual property rights, technology transfer and exports in developing countries. </w:t>
      </w:r>
      <w:proofErr w:type="gramStart"/>
      <w:r>
        <w:rPr>
          <w:rFonts w:ascii="Times New Roman" w:hAnsi="Times New Roman" w:cs="Times New Roman"/>
          <w:i/>
          <w:sz w:val="24"/>
          <w:szCs w:val="24"/>
        </w:rPr>
        <w:t>Journal of Development Economics</w:t>
      </w:r>
      <w:r>
        <w:rPr>
          <w:rFonts w:ascii="Times New Roman" w:hAnsi="Times New Roman" w:cs="Times New Roman"/>
          <w:sz w:val="24"/>
          <w:szCs w:val="24"/>
        </w:rPr>
        <w:t>.</w:t>
      </w:r>
      <w:proofErr w:type="gramEnd"/>
      <w:r>
        <w:rPr>
          <w:rFonts w:ascii="Times New Roman" w:hAnsi="Times New Roman" w:cs="Times New Roman"/>
          <w:sz w:val="24"/>
          <w:szCs w:val="24"/>
        </w:rPr>
        <w:t xml:space="preserve"> [Online], volume 90, issue 2, pp. 231-236. Available from: </w:t>
      </w:r>
      <w:hyperlink r:id="rId31" w:history="1">
        <w:r>
          <w:rPr>
            <w:rStyle w:val="Hyperlink"/>
            <w:rFonts w:ascii="Times New Roman" w:hAnsi="Times New Roman" w:cs="Times New Roman"/>
            <w:sz w:val="24"/>
            <w:szCs w:val="24"/>
          </w:rPr>
          <w:t>https://doi.org/10.1016/j.jdeveco.2008.11.003</w:t>
        </w:r>
      </w:hyperlink>
      <w:r>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[Accessed 23 May 2018].</w:t>
      </w:r>
      <w:proofErr w:type="gramEnd"/>
      <w:r>
        <w:rPr>
          <w:lang w:val="en-US"/>
        </w:rPr>
        <w:t xml:space="preserve"> </w:t>
      </w:r>
    </w:p>
    <w:p w14:paraId="76DD7DA2" w14:textId="77777777" w:rsidR="00BC7BD4" w:rsidRDefault="00BC7BD4" w:rsidP="00BC7BD4">
      <w:pPr>
        <w:spacing w:after="0" w:line="240" w:lineRule="auto"/>
      </w:pPr>
    </w:p>
    <w:p w14:paraId="2A299E13" w14:textId="77777777" w:rsidR="00BC7BD4" w:rsidRDefault="00BC7BD4" w:rsidP="00BC7B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Zeller, Christian. (2007) From the gene to the globe: Extracting rents based on intellectual property monopolies, Review of International Political Economy, 15:1, 86-115, DOI: 10.1080/09692290701751316 To link to this article: https://doi.org/10.1080/09692290701751316</w:t>
      </w:r>
    </w:p>
    <w:p w14:paraId="19A1F9E0" w14:textId="77777777" w:rsidR="00BC7BD4" w:rsidRDefault="00BC7BD4" w:rsidP="00BC7BD4">
      <w:pPr>
        <w:spacing w:after="0" w:line="240" w:lineRule="auto"/>
      </w:pPr>
    </w:p>
    <w:p w14:paraId="75FBB7F9" w14:textId="0BC84FC0" w:rsidR="00BC7BD4" w:rsidRPr="008B0E7D" w:rsidRDefault="00DF6742" w:rsidP="008B0E7D">
      <w:pPr>
        <w:spacing w:after="0" w:line="240" w:lineRule="auto"/>
        <w:ind w:right="-1"/>
        <w:jc w:val="both"/>
        <w:rPr>
          <w:rFonts w:ascii="Times New Roman" w:hAnsi="Times New Roman" w:cs="Times New Roman"/>
          <w:b/>
          <w:sz w:val="26"/>
          <w:szCs w:val="26"/>
          <w:lang w:val="pt-BR"/>
        </w:rPr>
      </w:pPr>
      <w:r w:rsidRPr="008B0E7D">
        <w:rPr>
          <w:rFonts w:ascii="Times New Roman" w:hAnsi="Times New Roman" w:cs="Times New Roman"/>
          <w:b/>
          <w:sz w:val="26"/>
          <w:szCs w:val="26"/>
          <w:lang w:val="pt-BR"/>
        </w:rPr>
        <w:t>Fontes d</w:t>
      </w:r>
      <w:r w:rsidR="008B0E7D">
        <w:rPr>
          <w:rFonts w:ascii="Times New Roman" w:hAnsi="Times New Roman" w:cs="Times New Roman"/>
          <w:b/>
          <w:sz w:val="26"/>
          <w:szCs w:val="26"/>
          <w:lang w:val="pt-BR"/>
        </w:rPr>
        <w:t>os</w:t>
      </w:r>
      <w:r w:rsidRPr="008B0E7D">
        <w:rPr>
          <w:rFonts w:ascii="Times New Roman" w:hAnsi="Times New Roman" w:cs="Times New Roman"/>
          <w:b/>
          <w:sz w:val="26"/>
          <w:szCs w:val="26"/>
          <w:lang w:val="pt-BR"/>
        </w:rPr>
        <w:t xml:space="preserve"> dados</w:t>
      </w:r>
    </w:p>
    <w:p w14:paraId="15BD2F5C" w14:textId="77777777" w:rsidR="006720E3" w:rsidRDefault="006720E3" w:rsidP="00BC7BD4">
      <w:pPr>
        <w:spacing w:after="0" w:line="240" w:lineRule="auto"/>
        <w:rPr>
          <w:rFonts w:ascii="Times New Roman" w:hAnsi="Times New Roman" w:cs="Times New Roman"/>
          <w:sz w:val="24"/>
          <w:szCs w:val="24"/>
          <w:lang w:val="pt-BR"/>
        </w:rPr>
      </w:pPr>
    </w:p>
    <w:p w14:paraId="777513D8" w14:textId="7ED6E932" w:rsidR="00BC7BD4" w:rsidRDefault="00BC7BD4" w:rsidP="00BC7BD4">
      <w:pPr>
        <w:spacing w:after="0" w:line="240" w:lineRule="auto"/>
        <w:rPr>
          <w:rFonts w:ascii="Times New Roman" w:hAnsi="Times New Roman" w:cs="Times New Roman"/>
          <w:sz w:val="24"/>
          <w:szCs w:val="24"/>
        </w:rPr>
      </w:pPr>
      <w:r w:rsidRPr="00722D73">
        <w:rPr>
          <w:rFonts w:ascii="Times New Roman" w:hAnsi="Times New Roman" w:cs="Times New Roman"/>
          <w:sz w:val="24"/>
          <w:szCs w:val="24"/>
          <w:lang w:val="pt-BR"/>
        </w:rPr>
        <w:t>IMF e-</w:t>
      </w:r>
      <w:proofErr w:type="spellStart"/>
      <w:r w:rsidRPr="00722D73">
        <w:rPr>
          <w:rFonts w:ascii="Times New Roman" w:hAnsi="Times New Roman" w:cs="Times New Roman"/>
          <w:sz w:val="24"/>
          <w:szCs w:val="24"/>
          <w:lang w:val="pt-BR"/>
        </w:rPr>
        <w:t>library</w:t>
      </w:r>
      <w:proofErr w:type="spellEnd"/>
      <w:r w:rsidRPr="00722D73">
        <w:rPr>
          <w:rFonts w:ascii="Times New Roman" w:hAnsi="Times New Roman" w:cs="Times New Roman"/>
          <w:sz w:val="24"/>
          <w:szCs w:val="24"/>
          <w:lang w:val="pt-BR"/>
        </w:rPr>
        <w:t xml:space="preserve">. </w:t>
      </w:r>
      <w:r>
        <w:rPr>
          <w:rFonts w:ascii="Times New Roman" w:hAnsi="Times New Roman" w:cs="Times New Roman"/>
          <w:sz w:val="24"/>
          <w:szCs w:val="24"/>
        </w:rPr>
        <w:t xml:space="preserve">2018. </w:t>
      </w:r>
      <w:r>
        <w:rPr>
          <w:rFonts w:ascii="Times New Roman" w:hAnsi="Times New Roman" w:cs="Times New Roman"/>
          <w:sz w:val="24"/>
          <w:szCs w:val="24"/>
          <w:lang w:val="en-US"/>
        </w:rPr>
        <w:t>Available from</w:t>
      </w:r>
      <w:r>
        <w:rPr>
          <w:rFonts w:ascii="Times New Roman" w:hAnsi="Times New Roman" w:cs="Times New Roman"/>
          <w:sz w:val="24"/>
          <w:szCs w:val="24"/>
        </w:rPr>
        <w:t xml:space="preserve">: </w:t>
      </w:r>
      <w:hyperlink r:id="rId32" w:history="1">
        <w:r>
          <w:rPr>
            <w:rStyle w:val="Hyperlink"/>
            <w:rFonts w:ascii="Times New Roman" w:hAnsi="Times New Roman" w:cs="Times New Roman"/>
            <w:sz w:val="24"/>
            <w:szCs w:val="24"/>
          </w:rPr>
          <w:t>http://elibrary-data.imf.org</w:t>
        </w:r>
      </w:hyperlink>
      <w:r>
        <w:rPr>
          <w:rFonts w:ascii="Times New Roman" w:hAnsi="Times New Roman" w:cs="Times New Roman"/>
          <w:sz w:val="24"/>
          <w:szCs w:val="24"/>
        </w:rPr>
        <w:t>.</w:t>
      </w:r>
    </w:p>
    <w:p w14:paraId="618737A8" w14:textId="77777777" w:rsidR="00BC7BD4" w:rsidRDefault="00BC7BD4" w:rsidP="00BC7BD4">
      <w:pPr>
        <w:spacing w:after="0" w:line="240" w:lineRule="auto"/>
        <w:rPr>
          <w:rFonts w:ascii="Times New Roman" w:hAnsi="Times New Roman" w:cs="Times New Roman"/>
          <w:sz w:val="24"/>
          <w:szCs w:val="24"/>
        </w:rPr>
      </w:pPr>
    </w:p>
    <w:p w14:paraId="1B6F2158" w14:textId="339EAB4A" w:rsidR="00BC7BD4" w:rsidRDefault="00BC7BD4" w:rsidP="00BC7BD4">
      <w:p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rPr>
        <w:t>United Nations.</w:t>
      </w:r>
      <w:proofErr w:type="gramEnd"/>
      <w:r>
        <w:rPr>
          <w:rFonts w:ascii="Times New Roman" w:hAnsi="Times New Roman" w:cs="Times New Roman"/>
          <w:sz w:val="24"/>
          <w:szCs w:val="24"/>
        </w:rPr>
        <w:t xml:space="preserve"> 2018. UN </w:t>
      </w:r>
      <w:proofErr w:type="spellStart"/>
      <w:r>
        <w:rPr>
          <w:rFonts w:ascii="Times New Roman" w:hAnsi="Times New Roman" w:cs="Times New Roman"/>
          <w:sz w:val="24"/>
          <w:szCs w:val="24"/>
        </w:rPr>
        <w:t>Comtrade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Avaliable</w:t>
      </w:r>
      <w:proofErr w:type="spellEnd"/>
      <w:r>
        <w:rPr>
          <w:rFonts w:ascii="Times New Roman" w:hAnsi="Times New Roman" w:cs="Times New Roman"/>
          <w:sz w:val="24"/>
          <w:szCs w:val="24"/>
        </w:rPr>
        <w:t xml:space="preserve"> from:</w:t>
      </w:r>
      <w:r>
        <w:t xml:space="preserve"> </w:t>
      </w:r>
      <w:hyperlink r:id="rId33" w:history="1">
        <w:r>
          <w:rPr>
            <w:rStyle w:val="Hyperlink"/>
            <w:rFonts w:ascii="Times New Roman" w:hAnsi="Times New Roman" w:cs="Times New Roman"/>
            <w:sz w:val="24"/>
            <w:szCs w:val="24"/>
          </w:rPr>
          <w:t>https://comtrade.un.org/data/</w:t>
        </w:r>
      </w:hyperlink>
      <w:r>
        <w:rPr>
          <w:rFonts w:ascii="Times New Roman" w:hAnsi="Times New Roman" w:cs="Times New Roman"/>
          <w:sz w:val="24"/>
          <w:szCs w:val="24"/>
        </w:rPr>
        <w:t xml:space="preserve">.  </w:t>
      </w:r>
    </w:p>
    <w:p w14:paraId="115EE35F" w14:textId="77777777" w:rsidR="00BC7BD4" w:rsidRDefault="00BC7BD4" w:rsidP="00BC7BD4">
      <w:pPr>
        <w:spacing w:after="0" w:line="240" w:lineRule="auto"/>
        <w:rPr>
          <w:rFonts w:ascii="Times New Roman" w:hAnsi="Times New Roman" w:cs="Times New Roman"/>
          <w:sz w:val="24"/>
          <w:szCs w:val="24"/>
          <w:lang w:val="en-US"/>
        </w:rPr>
      </w:pPr>
    </w:p>
    <w:p w14:paraId="0045620C" w14:textId="691DF904" w:rsidR="00BC7BD4" w:rsidRDefault="00BC7BD4" w:rsidP="00BC7BD4">
      <w:p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The World Bank.</w:t>
      </w:r>
      <w:proofErr w:type="gramEnd"/>
      <w:r>
        <w:rPr>
          <w:rFonts w:ascii="Times New Roman" w:hAnsi="Times New Roman" w:cs="Times New Roman"/>
          <w:sz w:val="24"/>
          <w:szCs w:val="24"/>
          <w:lang w:val="en-US"/>
        </w:rPr>
        <w:t xml:space="preserve"> 2018. World Bank Open Data. Available from: </w:t>
      </w:r>
      <w:hyperlink r:id="rId34" w:history="1">
        <w:r>
          <w:rPr>
            <w:rStyle w:val="Hyperlink"/>
            <w:rFonts w:ascii="Times New Roman" w:hAnsi="Times New Roman" w:cs="Times New Roman"/>
            <w:sz w:val="24"/>
            <w:szCs w:val="24"/>
            <w:lang w:val="en-US"/>
          </w:rPr>
          <w:t>https://data.worldbank.org/</w:t>
        </w:r>
      </w:hyperlink>
      <w:r>
        <w:rPr>
          <w:rFonts w:ascii="Times New Roman" w:hAnsi="Times New Roman" w:cs="Times New Roman"/>
          <w:sz w:val="24"/>
          <w:szCs w:val="24"/>
          <w:lang w:val="en-US"/>
        </w:rPr>
        <w:t xml:space="preserve"> </w:t>
      </w:r>
    </w:p>
    <w:p w14:paraId="00CF121F" w14:textId="77777777" w:rsidR="00BC7BD4" w:rsidRDefault="00BC7BD4" w:rsidP="00BC7BD4">
      <w:pPr>
        <w:spacing w:after="0" w:line="240" w:lineRule="auto"/>
        <w:rPr>
          <w:rFonts w:ascii="Times New Roman" w:hAnsi="Times New Roman" w:cs="Times New Roman"/>
          <w:sz w:val="24"/>
          <w:szCs w:val="24"/>
          <w:lang w:val="en-US"/>
        </w:rPr>
      </w:pPr>
    </w:p>
    <w:p w14:paraId="54FEAF61" w14:textId="499B01B1" w:rsidR="00574DA4" w:rsidRDefault="00574DA4" w:rsidP="00BC7BD4">
      <w:pPr>
        <w:spacing w:after="0" w:line="240" w:lineRule="auto"/>
        <w:rPr>
          <w:rFonts w:ascii="Times New Roman" w:hAnsi="Times New Roman" w:cs="Times New Roman"/>
          <w:sz w:val="24"/>
          <w:szCs w:val="24"/>
        </w:rPr>
      </w:pPr>
    </w:p>
    <w:p w14:paraId="2F98C60E" w14:textId="77777777" w:rsidR="006720E3" w:rsidRPr="00117B92" w:rsidRDefault="006720E3" w:rsidP="008B0E7D">
      <w:pPr>
        <w:spacing w:after="0" w:line="240" w:lineRule="auto"/>
        <w:ind w:right="-1"/>
        <w:jc w:val="both"/>
        <w:rPr>
          <w:rFonts w:ascii="Times New Roman" w:hAnsi="Times New Roman" w:cs="Times New Roman"/>
          <w:b/>
          <w:sz w:val="26"/>
          <w:szCs w:val="26"/>
          <w:lang w:val="en-US"/>
        </w:rPr>
      </w:pPr>
    </w:p>
    <w:p w14:paraId="0B8BEBB0" w14:textId="77777777" w:rsidR="006720E3" w:rsidRPr="00117B92" w:rsidRDefault="006720E3" w:rsidP="008B0E7D">
      <w:pPr>
        <w:spacing w:after="0" w:line="240" w:lineRule="auto"/>
        <w:ind w:right="-1"/>
        <w:jc w:val="both"/>
        <w:rPr>
          <w:rFonts w:ascii="Times New Roman" w:hAnsi="Times New Roman" w:cs="Times New Roman"/>
          <w:b/>
          <w:sz w:val="26"/>
          <w:szCs w:val="26"/>
          <w:lang w:val="en-US"/>
        </w:rPr>
      </w:pPr>
    </w:p>
    <w:p w14:paraId="753C380B" w14:textId="77777777" w:rsidR="006720E3" w:rsidRPr="00117B92" w:rsidRDefault="006720E3" w:rsidP="008B0E7D">
      <w:pPr>
        <w:spacing w:after="0" w:line="240" w:lineRule="auto"/>
        <w:ind w:right="-1"/>
        <w:jc w:val="both"/>
        <w:rPr>
          <w:rFonts w:ascii="Times New Roman" w:hAnsi="Times New Roman" w:cs="Times New Roman"/>
          <w:b/>
          <w:sz w:val="26"/>
          <w:szCs w:val="26"/>
          <w:lang w:val="en-US"/>
        </w:rPr>
      </w:pPr>
    </w:p>
    <w:p w14:paraId="62A29F31" w14:textId="77777777" w:rsidR="006720E3" w:rsidRPr="00117B92" w:rsidRDefault="006720E3" w:rsidP="008B0E7D">
      <w:pPr>
        <w:spacing w:after="0" w:line="240" w:lineRule="auto"/>
        <w:ind w:right="-1"/>
        <w:jc w:val="both"/>
        <w:rPr>
          <w:rFonts w:ascii="Times New Roman" w:hAnsi="Times New Roman" w:cs="Times New Roman"/>
          <w:b/>
          <w:sz w:val="26"/>
          <w:szCs w:val="26"/>
          <w:lang w:val="en-US"/>
        </w:rPr>
      </w:pPr>
    </w:p>
    <w:p w14:paraId="2823F645" w14:textId="6A0216E4" w:rsidR="00574DA4" w:rsidRDefault="00574DA4" w:rsidP="008B0E7D">
      <w:pPr>
        <w:spacing w:after="0" w:line="240" w:lineRule="auto"/>
        <w:ind w:right="-1"/>
        <w:jc w:val="both"/>
        <w:rPr>
          <w:rFonts w:ascii="Times New Roman" w:hAnsi="Times New Roman" w:cs="Times New Roman"/>
          <w:b/>
          <w:sz w:val="26"/>
          <w:szCs w:val="26"/>
          <w:lang w:val="pt-BR"/>
        </w:rPr>
      </w:pPr>
      <w:r w:rsidRPr="008B0E7D">
        <w:rPr>
          <w:rFonts w:ascii="Times New Roman" w:hAnsi="Times New Roman" w:cs="Times New Roman"/>
          <w:b/>
          <w:sz w:val="26"/>
          <w:szCs w:val="26"/>
          <w:lang w:val="pt-BR"/>
        </w:rPr>
        <w:lastRenderedPageBreak/>
        <w:t>Lista dos anexos e comprovantes</w:t>
      </w:r>
      <w:r w:rsidR="008B0E7D">
        <w:rPr>
          <w:rFonts w:ascii="Times New Roman" w:hAnsi="Times New Roman" w:cs="Times New Roman"/>
          <w:b/>
          <w:sz w:val="26"/>
          <w:szCs w:val="26"/>
          <w:lang w:val="pt-BR"/>
        </w:rPr>
        <w:t xml:space="preserve"> de </w:t>
      </w:r>
      <w:r w:rsidR="006720E3">
        <w:rPr>
          <w:rFonts w:ascii="Times New Roman" w:hAnsi="Times New Roman" w:cs="Times New Roman"/>
          <w:b/>
          <w:sz w:val="26"/>
          <w:szCs w:val="26"/>
          <w:lang w:val="pt-BR"/>
        </w:rPr>
        <w:t>outras atividades</w:t>
      </w:r>
    </w:p>
    <w:p w14:paraId="466F6B57" w14:textId="77777777" w:rsidR="008B0E7D" w:rsidRDefault="008B0E7D" w:rsidP="008B0E7D">
      <w:pPr>
        <w:spacing w:after="0" w:line="240" w:lineRule="auto"/>
        <w:ind w:right="-1"/>
        <w:jc w:val="both"/>
        <w:rPr>
          <w:rFonts w:ascii="Times New Roman" w:hAnsi="Times New Roman" w:cs="Times New Roman"/>
          <w:sz w:val="24"/>
          <w:szCs w:val="24"/>
          <w:lang w:val="pt-BR"/>
        </w:rPr>
      </w:pPr>
    </w:p>
    <w:p w14:paraId="152DD7E7" w14:textId="12091743" w:rsidR="00574DA4" w:rsidRDefault="00574DA4" w:rsidP="00574DA4">
      <w:pPr>
        <w:spacing w:after="0" w:line="240" w:lineRule="auto"/>
        <w:rPr>
          <w:rFonts w:ascii="Times New Roman" w:hAnsi="Times New Roman" w:cs="Times New Roman"/>
          <w:sz w:val="24"/>
          <w:szCs w:val="24"/>
          <w:lang w:val="pt-BR"/>
        </w:rPr>
      </w:pPr>
      <w:r w:rsidRPr="00574DA4">
        <w:rPr>
          <w:rFonts w:ascii="Times New Roman" w:hAnsi="Times New Roman" w:cs="Times New Roman"/>
          <w:sz w:val="24"/>
          <w:szCs w:val="24"/>
          <w:lang w:val="pt-BR"/>
        </w:rPr>
        <w:t xml:space="preserve">Anexo 1- Relatório sobre a identificação dos componentes das transações correntes </w:t>
      </w:r>
      <w:r w:rsidR="006720E3">
        <w:rPr>
          <w:rFonts w:ascii="Times New Roman" w:hAnsi="Times New Roman" w:cs="Times New Roman"/>
          <w:sz w:val="24"/>
          <w:szCs w:val="24"/>
          <w:lang w:val="pt-BR"/>
        </w:rPr>
        <w:t xml:space="preserve">de </w:t>
      </w:r>
      <w:r w:rsidRPr="00574DA4">
        <w:rPr>
          <w:rFonts w:ascii="Times New Roman" w:hAnsi="Times New Roman" w:cs="Times New Roman"/>
          <w:sz w:val="24"/>
          <w:szCs w:val="24"/>
          <w:lang w:val="pt-BR"/>
        </w:rPr>
        <w:t>registros transações de valores relacionados, derivados de ou que dependessem de direitos de propriedade intelectual (em sua totalidade ou mesmo parcialmente)</w:t>
      </w:r>
      <w:r w:rsidR="006720E3">
        <w:rPr>
          <w:rFonts w:ascii="Times New Roman" w:hAnsi="Times New Roman" w:cs="Times New Roman"/>
          <w:sz w:val="24"/>
          <w:szCs w:val="24"/>
          <w:lang w:val="pt-BR"/>
        </w:rPr>
        <w:t>;</w:t>
      </w:r>
    </w:p>
    <w:p w14:paraId="79A844B9" w14:textId="77777777" w:rsidR="00574DA4" w:rsidRPr="00574DA4" w:rsidRDefault="00574DA4" w:rsidP="00574DA4">
      <w:pPr>
        <w:spacing w:after="0" w:line="240" w:lineRule="auto"/>
        <w:rPr>
          <w:rFonts w:ascii="Times New Roman" w:hAnsi="Times New Roman" w:cs="Times New Roman"/>
          <w:sz w:val="24"/>
          <w:szCs w:val="24"/>
          <w:lang w:val="pt-BR"/>
        </w:rPr>
      </w:pPr>
    </w:p>
    <w:p w14:paraId="1AC06A99" w14:textId="01CE2350" w:rsidR="00574DA4" w:rsidRPr="00574DA4" w:rsidRDefault="00574DA4" w:rsidP="00574DA4">
      <w:pPr>
        <w:spacing w:after="0" w:line="240" w:lineRule="auto"/>
        <w:rPr>
          <w:rFonts w:ascii="Times New Roman" w:hAnsi="Times New Roman" w:cs="Times New Roman"/>
          <w:sz w:val="24"/>
          <w:szCs w:val="24"/>
          <w:lang w:val="pt-BR"/>
        </w:rPr>
      </w:pPr>
      <w:r w:rsidRPr="00574DA4">
        <w:rPr>
          <w:rFonts w:ascii="Times New Roman" w:hAnsi="Times New Roman" w:cs="Times New Roman"/>
          <w:sz w:val="24"/>
          <w:szCs w:val="24"/>
          <w:lang w:val="pt-BR"/>
        </w:rPr>
        <w:t xml:space="preserve">Anexo 2 - </w:t>
      </w:r>
      <w:proofErr w:type="spellStart"/>
      <w:r w:rsidRPr="006720E3">
        <w:rPr>
          <w:rFonts w:ascii="Times New Roman" w:hAnsi="Times New Roman" w:cs="Times New Roman"/>
          <w:i/>
          <w:sz w:val="24"/>
          <w:szCs w:val="24"/>
          <w:lang w:val="pt-BR"/>
        </w:rPr>
        <w:t>Working</w:t>
      </w:r>
      <w:proofErr w:type="spellEnd"/>
      <w:r w:rsidRPr="006720E3">
        <w:rPr>
          <w:rFonts w:ascii="Times New Roman" w:hAnsi="Times New Roman" w:cs="Times New Roman"/>
          <w:i/>
          <w:sz w:val="24"/>
          <w:szCs w:val="24"/>
          <w:lang w:val="pt-BR"/>
        </w:rPr>
        <w:t xml:space="preserve"> </w:t>
      </w:r>
      <w:proofErr w:type="spellStart"/>
      <w:r w:rsidRPr="006720E3">
        <w:rPr>
          <w:rFonts w:ascii="Times New Roman" w:hAnsi="Times New Roman" w:cs="Times New Roman"/>
          <w:i/>
          <w:sz w:val="24"/>
          <w:szCs w:val="24"/>
          <w:lang w:val="pt-BR"/>
        </w:rPr>
        <w:t>paper</w:t>
      </w:r>
      <w:proofErr w:type="spellEnd"/>
      <w:r w:rsidRPr="00574DA4">
        <w:rPr>
          <w:rFonts w:ascii="Times New Roman" w:hAnsi="Times New Roman" w:cs="Times New Roman"/>
          <w:sz w:val="24"/>
          <w:szCs w:val="24"/>
          <w:lang w:val="pt-BR"/>
        </w:rPr>
        <w:t xml:space="preserve"> </w:t>
      </w:r>
      <w:r w:rsidR="006720E3">
        <w:rPr>
          <w:rFonts w:ascii="Times New Roman" w:hAnsi="Times New Roman" w:cs="Times New Roman"/>
          <w:sz w:val="24"/>
          <w:szCs w:val="24"/>
          <w:lang w:val="pt-BR"/>
        </w:rPr>
        <w:t xml:space="preserve">derivado e </w:t>
      </w:r>
      <w:r w:rsidRPr="00574DA4">
        <w:rPr>
          <w:rFonts w:ascii="Times New Roman" w:hAnsi="Times New Roman" w:cs="Times New Roman"/>
          <w:sz w:val="24"/>
          <w:szCs w:val="24"/>
          <w:lang w:val="pt-BR"/>
        </w:rPr>
        <w:t>desenvolvido ao final deste período de pesquisa</w:t>
      </w:r>
      <w:r w:rsidR="006720E3">
        <w:rPr>
          <w:rFonts w:ascii="Times New Roman" w:hAnsi="Times New Roman" w:cs="Times New Roman"/>
          <w:sz w:val="24"/>
          <w:szCs w:val="24"/>
          <w:lang w:val="pt-BR"/>
        </w:rPr>
        <w:t>;</w:t>
      </w:r>
    </w:p>
    <w:p w14:paraId="647D44B3" w14:textId="77777777" w:rsidR="00574DA4" w:rsidRDefault="00574DA4" w:rsidP="00574DA4">
      <w:pPr>
        <w:spacing w:after="0" w:line="240" w:lineRule="auto"/>
        <w:rPr>
          <w:rFonts w:ascii="Times New Roman" w:hAnsi="Times New Roman" w:cs="Times New Roman"/>
          <w:sz w:val="24"/>
          <w:szCs w:val="24"/>
          <w:lang w:val="pt-BR"/>
        </w:rPr>
      </w:pPr>
    </w:p>
    <w:p w14:paraId="62C63377" w14:textId="38FAE1F1" w:rsidR="00574DA4" w:rsidRPr="006720E3" w:rsidRDefault="00574DA4" w:rsidP="00574DA4">
      <w:pPr>
        <w:spacing w:after="0" w:line="240" w:lineRule="auto"/>
        <w:rPr>
          <w:rFonts w:ascii="Times New Roman" w:hAnsi="Times New Roman" w:cs="Times New Roman"/>
          <w:sz w:val="24"/>
          <w:szCs w:val="24"/>
          <w:lang w:val="pt-BR"/>
        </w:rPr>
      </w:pPr>
      <w:r w:rsidRPr="00574DA4">
        <w:rPr>
          <w:rFonts w:ascii="Times New Roman" w:hAnsi="Times New Roman" w:cs="Times New Roman"/>
          <w:sz w:val="24"/>
          <w:szCs w:val="24"/>
          <w:lang w:val="pt-BR"/>
        </w:rPr>
        <w:t xml:space="preserve">Anexo 3 - O </w:t>
      </w:r>
      <w:r w:rsidR="006720E3">
        <w:rPr>
          <w:rFonts w:ascii="Times New Roman" w:hAnsi="Times New Roman" w:cs="Times New Roman"/>
          <w:sz w:val="24"/>
          <w:szCs w:val="24"/>
          <w:lang w:val="pt-BR"/>
        </w:rPr>
        <w:t xml:space="preserve">principal </w:t>
      </w:r>
      <w:r w:rsidRPr="00574DA4">
        <w:rPr>
          <w:rFonts w:ascii="Times New Roman" w:hAnsi="Times New Roman" w:cs="Times New Roman"/>
          <w:sz w:val="24"/>
          <w:szCs w:val="24"/>
          <w:lang w:val="pt-BR"/>
        </w:rPr>
        <w:t xml:space="preserve">banco de dados com as informações necessárias para a construção do primeiro </w:t>
      </w:r>
      <w:proofErr w:type="spellStart"/>
      <w:r w:rsidRPr="006720E3">
        <w:rPr>
          <w:rFonts w:ascii="Times New Roman" w:hAnsi="Times New Roman" w:cs="Times New Roman"/>
          <w:i/>
          <w:sz w:val="24"/>
          <w:szCs w:val="24"/>
          <w:lang w:val="pt-BR"/>
        </w:rPr>
        <w:t>working</w:t>
      </w:r>
      <w:proofErr w:type="spellEnd"/>
      <w:r w:rsidRPr="006720E3">
        <w:rPr>
          <w:rFonts w:ascii="Times New Roman" w:hAnsi="Times New Roman" w:cs="Times New Roman"/>
          <w:i/>
          <w:sz w:val="24"/>
          <w:szCs w:val="24"/>
          <w:lang w:val="pt-BR"/>
        </w:rPr>
        <w:t xml:space="preserve"> </w:t>
      </w:r>
      <w:proofErr w:type="spellStart"/>
      <w:r w:rsidRPr="006720E3">
        <w:rPr>
          <w:rFonts w:ascii="Times New Roman" w:hAnsi="Times New Roman" w:cs="Times New Roman"/>
          <w:i/>
          <w:sz w:val="24"/>
          <w:szCs w:val="24"/>
          <w:lang w:val="pt-BR"/>
        </w:rPr>
        <w:t>paper</w:t>
      </w:r>
      <w:proofErr w:type="spellEnd"/>
      <w:r w:rsidR="006720E3">
        <w:rPr>
          <w:rFonts w:ascii="Times New Roman" w:hAnsi="Times New Roman" w:cs="Times New Roman"/>
          <w:sz w:val="24"/>
          <w:szCs w:val="24"/>
          <w:lang w:val="pt-BR"/>
        </w:rPr>
        <w:t xml:space="preserve"> e do trabalho sobre os “</w:t>
      </w:r>
      <w:proofErr w:type="spellStart"/>
      <w:r w:rsidR="006720E3">
        <w:rPr>
          <w:rFonts w:ascii="Times New Roman" w:hAnsi="Times New Roman" w:cs="Times New Roman"/>
          <w:sz w:val="24"/>
          <w:szCs w:val="24"/>
          <w:lang w:val="pt-BR"/>
        </w:rPr>
        <w:t>rising</w:t>
      </w:r>
      <w:proofErr w:type="spellEnd"/>
      <w:r w:rsidR="006720E3">
        <w:rPr>
          <w:rFonts w:ascii="Times New Roman" w:hAnsi="Times New Roman" w:cs="Times New Roman"/>
          <w:sz w:val="24"/>
          <w:szCs w:val="24"/>
          <w:lang w:val="pt-BR"/>
        </w:rPr>
        <w:t xml:space="preserve"> </w:t>
      </w:r>
      <w:proofErr w:type="spellStart"/>
      <w:r w:rsidR="006720E3">
        <w:rPr>
          <w:rFonts w:ascii="Times New Roman" w:hAnsi="Times New Roman" w:cs="Times New Roman"/>
          <w:sz w:val="24"/>
          <w:szCs w:val="24"/>
          <w:lang w:val="pt-BR"/>
        </w:rPr>
        <w:t>powers</w:t>
      </w:r>
      <w:proofErr w:type="spellEnd"/>
      <w:r w:rsidR="006720E3">
        <w:rPr>
          <w:rFonts w:ascii="Times New Roman" w:hAnsi="Times New Roman" w:cs="Times New Roman"/>
          <w:sz w:val="24"/>
          <w:szCs w:val="24"/>
          <w:lang w:val="pt-BR"/>
        </w:rPr>
        <w:t>”;</w:t>
      </w:r>
    </w:p>
    <w:p w14:paraId="7A35273E" w14:textId="77777777" w:rsidR="00574DA4" w:rsidRDefault="00574DA4" w:rsidP="00574DA4">
      <w:pPr>
        <w:spacing w:after="0" w:line="240" w:lineRule="auto"/>
        <w:rPr>
          <w:rFonts w:ascii="Times New Roman" w:hAnsi="Times New Roman" w:cs="Times New Roman"/>
          <w:sz w:val="24"/>
          <w:szCs w:val="24"/>
          <w:lang w:val="pt-BR"/>
        </w:rPr>
      </w:pPr>
    </w:p>
    <w:p w14:paraId="68B14BCC" w14:textId="1270EB7B" w:rsidR="00574DA4" w:rsidRPr="00574DA4" w:rsidRDefault="00574DA4" w:rsidP="00574DA4">
      <w:pPr>
        <w:spacing w:after="0" w:line="240" w:lineRule="auto"/>
        <w:rPr>
          <w:rFonts w:ascii="Times New Roman" w:hAnsi="Times New Roman" w:cs="Times New Roman"/>
          <w:sz w:val="24"/>
          <w:szCs w:val="24"/>
          <w:lang w:val="pt-BR"/>
        </w:rPr>
      </w:pPr>
      <w:r w:rsidRPr="00574DA4">
        <w:rPr>
          <w:rFonts w:ascii="Times New Roman" w:hAnsi="Times New Roman" w:cs="Times New Roman"/>
          <w:sz w:val="24"/>
          <w:szCs w:val="24"/>
          <w:lang w:val="pt-BR"/>
        </w:rPr>
        <w:t>Anexo 4 - Planilha relativa à classificação de todos os países por nível de desenvolvimento (de acordo com a classificação das Nações Unidas), nível de renda (de acordo com a classificação do Banco Mundial), região e sub-região geográficas (de acordo com a classificação do Banco Mundial)</w:t>
      </w:r>
      <w:r w:rsidR="006720E3">
        <w:rPr>
          <w:rFonts w:ascii="Times New Roman" w:hAnsi="Times New Roman" w:cs="Times New Roman"/>
          <w:sz w:val="24"/>
          <w:szCs w:val="24"/>
          <w:lang w:val="pt-BR"/>
        </w:rPr>
        <w:t>;</w:t>
      </w:r>
    </w:p>
    <w:p w14:paraId="0A0F45FA" w14:textId="77777777" w:rsidR="00574DA4" w:rsidRDefault="00574DA4" w:rsidP="00574DA4">
      <w:pPr>
        <w:spacing w:after="0" w:line="240" w:lineRule="auto"/>
        <w:rPr>
          <w:rFonts w:ascii="Times New Roman" w:hAnsi="Times New Roman" w:cs="Times New Roman"/>
          <w:sz w:val="24"/>
          <w:szCs w:val="24"/>
          <w:lang w:val="pt-BR"/>
        </w:rPr>
      </w:pPr>
    </w:p>
    <w:p w14:paraId="74B5BCB4" w14:textId="34E34B2D" w:rsidR="00574DA4" w:rsidRPr="00574DA4" w:rsidRDefault="00574DA4" w:rsidP="00574DA4">
      <w:pPr>
        <w:spacing w:after="0" w:line="240" w:lineRule="auto"/>
        <w:rPr>
          <w:rFonts w:ascii="Times New Roman" w:hAnsi="Times New Roman" w:cs="Times New Roman"/>
          <w:sz w:val="24"/>
          <w:szCs w:val="24"/>
          <w:lang w:val="pt-BR"/>
        </w:rPr>
      </w:pPr>
      <w:r w:rsidRPr="00574DA4">
        <w:rPr>
          <w:rFonts w:ascii="Times New Roman" w:hAnsi="Times New Roman" w:cs="Times New Roman"/>
          <w:sz w:val="24"/>
          <w:szCs w:val="24"/>
          <w:lang w:val="pt-BR"/>
        </w:rPr>
        <w:t>Anexo</w:t>
      </w:r>
      <w:r w:rsidR="00814FF4">
        <w:rPr>
          <w:rFonts w:ascii="Times New Roman" w:hAnsi="Times New Roman" w:cs="Times New Roman"/>
          <w:sz w:val="24"/>
          <w:szCs w:val="24"/>
          <w:lang w:val="pt-BR"/>
        </w:rPr>
        <w:t>s</w:t>
      </w:r>
      <w:r w:rsidRPr="00574DA4">
        <w:rPr>
          <w:rFonts w:ascii="Times New Roman" w:hAnsi="Times New Roman" w:cs="Times New Roman"/>
          <w:sz w:val="24"/>
          <w:szCs w:val="24"/>
          <w:lang w:val="pt-BR"/>
        </w:rPr>
        <w:t xml:space="preserve"> 5 </w:t>
      </w:r>
      <w:r w:rsidR="00814FF4">
        <w:rPr>
          <w:rFonts w:ascii="Times New Roman" w:hAnsi="Times New Roman" w:cs="Times New Roman"/>
          <w:sz w:val="24"/>
          <w:szCs w:val="24"/>
          <w:lang w:val="pt-BR"/>
        </w:rPr>
        <w:t>–</w:t>
      </w:r>
      <w:r w:rsidRPr="00574DA4">
        <w:rPr>
          <w:rFonts w:ascii="Times New Roman" w:hAnsi="Times New Roman" w:cs="Times New Roman"/>
          <w:sz w:val="24"/>
          <w:szCs w:val="24"/>
          <w:lang w:val="pt-BR"/>
        </w:rPr>
        <w:t xml:space="preserve"> </w:t>
      </w:r>
      <w:r w:rsidR="00814FF4">
        <w:rPr>
          <w:rFonts w:ascii="Times New Roman" w:hAnsi="Times New Roman" w:cs="Times New Roman"/>
          <w:sz w:val="24"/>
          <w:szCs w:val="24"/>
          <w:lang w:val="pt-BR"/>
        </w:rPr>
        <w:t>Planilhas com o</w:t>
      </w:r>
      <w:r w:rsidRPr="00574DA4">
        <w:rPr>
          <w:rFonts w:ascii="Times New Roman" w:hAnsi="Times New Roman" w:cs="Times New Roman"/>
          <w:sz w:val="24"/>
          <w:szCs w:val="24"/>
          <w:lang w:val="pt-BR"/>
        </w:rPr>
        <w:t xml:space="preserve"> segundo banco de dados consolidado </w:t>
      </w:r>
      <w:r w:rsidR="006720E3">
        <w:rPr>
          <w:rFonts w:ascii="Times New Roman" w:hAnsi="Times New Roman" w:cs="Times New Roman"/>
          <w:sz w:val="24"/>
          <w:szCs w:val="24"/>
          <w:lang w:val="pt-BR"/>
        </w:rPr>
        <w:t xml:space="preserve">que </w:t>
      </w:r>
      <w:proofErr w:type="gramStart"/>
      <w:r w:rsidRPr="00574DA4">
        <w:rPr>
          <w:rFonts w:ascii="Times New Roman" w:hAnsi="Times New Roman" w:cs="Times New Roman"/>
          <w:sz w:val="24"/>
          <w:szCs w:val="24"/>
          <w:lang w:val="pt-BR"/>
        </w:rPr>
        <w:t>mostra</w:t>
      </w:r>
      <w:proofErr w:type="gramEnd"/>
      <w:r w:rsidRPr="00574DA4">
        <w:rPr>
          <w:rFonts w:ascii="Times New Roman" w:hAnsi="Times New Roman" w:cs="Times New Roman"/>
          <w:sz w:val="24"/>
          <w:szCs w:val="24"/>
          <w:lang w:val="pt-BR"/>
        </w:rPr>
        <w:t xml:space="preserve"> os fluxos bilaterais de bens e serviços entre os trinta países selecionados na amostra de países mais relevantes</w:t>
      </w:r>
      <w:r w:rsidR="006720E3">
        <w:rPr>
          <w:rFonts w:ascii="Times New Roman" w:hAnsi="Times New Roman" w:cs="Times New Roman"/>
          <w:sz w:val="24"/>
          <w:szCs w:val="24"/>
          <w:lang w:val="pt-BR"/>
        </w:rPr>
        <w:t>;</w:t>
      </w:r>
    </w:p>
    <w:p w14:paraId="1858A34E" w14:textId="77777777" w:rsidR="00574DA4" w:rsidRDefault="00574DA4" w:rsidP="00574DA4">
      <w:pPr>
        <w:spacing w:after="0" w:line="240" w:lineRule="auto"/>
        <w:rPr>
          <w:rFonts w:ascii="Times New Roman" w:hAnsi="Times New Roman" w:cs="Times New Roman"/>
          <w:sz w:val="24"/>
          <w:szCs w:val="24"/>
          <w:lang w:val="pt-BR"/>
        </w:rPr>
      </w:pPr>
    </w:p>
    <w:p w14:paraId="7B153F4C" w14:textId="1C3753F7" w:rsidR="00574DA4" w:rsidRPr="00574DA4" w:rsidRDefault="00574DA4" w:rsidP="00574DA4">
      <w:pPr>
        <w:spacing w:after="0" w:line="240" w:lineRule="auto"/>
        <w:rPr>
          <w:rFonts w:ascii="Times New Roman" w:hAnsi="Times New Roman" w:cs="Times New Roman"/>
          <w:sz w:val="24"/>
          <w:szCs w:val="24"/>
          <w:lang w:val="pt-BR"/>
        </w:rPr>
      </w:pPr>
      <w:r w:rsidRPr="00574DA4">
        <w:rPr>
          <w:rFonts w:ascii="Times New Roman" w:hAnsi="Times New Roman" w:cs="Times New Roman"/>
          <w:sz w:val="24"/>
          <w:szCs w:val="24"/>
          <w:lang w:val="pt-BR"/>
        </w:rPr>
        <w:t>Anexo</w:t>
      </w:r>
      <w:r w:rsidR="00814FF4">
        <w:rPr>
          <w:rFonts w:ascii="Times New Roman" w:hAnsi="Times New Roman" w:cs="Times New Roman"/>
          <w:sz w:val="24"/>
          <w:szCs w:val="24"/>
          <w:lang w:val="pt-BR"/>
        </w:rPr>
        <w:t>s</w:t>
      </w:r>
      <w:r w:rsidRPr="00574DA4">
        <w:rPr>
          <w:rFonts w:ascii="Times New Roman" w:hAnsi="Times New Roman" w:cs="Times New Roman"/>
          <w:sz w:val="24"/>
          <w:szCs w:val="24"/>
          <w:lang w:val="pt-BR"/>
        </w:rPr>
        <w:t xml:space="preserve"> 6 -</w:t>
      </w:r>
      <w:proofErr w:type="gramStart"/>
      <w:r w:rsidRPr="00574DA4">
        <w:rPr>
          <w:rFonts w:ascii="Times New Roman" w:hAnsi="Times New Roman" w:cs="Times New Roman"/>
          <w:sz w:val="24"/>
          <w:szCs w:val="24"/>
          <w:lang w:val="pt-BR"/>
        </w:rPr>
        <w:t xml:space="preserve">  </w:t>
      </w:r>
      <w:proofErr w:type="gramEnd"/>
      <w:r w:rsidR="00814FF4">
        <w:rPr>
          <w:rFonts w:ascii="Times New Roman" w:hAnsi="Times New Roman" w:cs="Times New Roman"/>
          <w:sz w:val="24"/>
          <w:szCs w:val="24"/>
          <w:lang w:val="pt-BR"/>
        </w:rPr>
        <w:t>Planilhas com o</w:t>
      </w:r>
      <w:r w:rsidRPr="00574DA4">
        <w:rPr>
          <w:rFonts w:ascii="Times New Roman" w:hAnsi="Times New Roman" w:cs="Times New Roman"/>
          <w:sz w:val="24"/>
          <w:szCs w:val="24"/>
          <w:lang w:val="pt-BR"/>
        </w:rPr>
        <w:t xml:space="preserve"> terceiro banco de dados que contém os dados do preço por quilo e quilo per capta referentes à importação e exportação de medicamentos classificados pelos códigos 3003 e 3004  do </w:t>
      </w:r>
      <w:proofErr w:type="spellStart"/>
      <w:r w:rsidRPr="00574DA4">
        <w:rPr>
          <w:rFonts w:ascii="Times New Roman" w:hAnsi="Times New Roman" w:cs="Times New Roman"/>
          <w:sz w:val="24"/>
          <w:szCs w:val="24"/>
          <w:lang w:val="pt-BR"/>
        </w:rPr>
        <w:t>Harmonized</w:t>
      </w:r>
      <w:proofErr w:type="spellEnd"/>
      <w:r w:rsidRPr="00574DA4">
        <w:rPr>
          <w:rFonts w:ascii="Times New Roman" w:hAnsi="Times New Roman" w:cs="Times New Roman"/>
          <w:sz w:val="24"/>
          <w:szCs w:val="24"/>
          <w:lang w:val="pt-BR"/>
        </w:rPr>
        <w:t xml:space="preserve"> System</w:t>
      </w:r>
      <w:r w:rsidR="006720E3">
        <w:rPr>
          <w:rFonts w:ascii="Times New Roman" w:hAnsi="Times New Roman" w:cs="Times New Roman"/>
          <w:sz w:val="24"/>
          <w:szCs w:val="24"/>
          <w:lang w:val="pt-BR"/>
        </w:rPr>
        <w:t>;</w:t>
      </w:r>
    </w:p>
    <w:p w14:paraId="47EF4F82" w14:textId="77777777" w:rsidR="00574DA4" w:rsidRDefault="00574DA4" w:rsidP="00574DA4">
      <w:pPr>
        <w:spacing w:after="0" w:line="240" w:lineRule="auto"/>
        <w:rPr>
          <w:rFonts w:ascii="Times New Roman" w:hAnsi="Times New Roman" w:cs="Times New Roman"/>
          <w:sz w:val="24"/>
          <w:szCs w:val="24"/>
          <w:lang w:val="pt-BR"/>
        </w:rPr>
      </w:pPr>
    </w:p>
    <w:p w14:paraId="792A34D3" w14:textId="119CE2B4" w:rsidR="00574DA4" w:rsidRPr="00574DA4" w:rsidRDefault="00574DA4" w:rsidP="00574DA4">
      <w:pPr>
        <w:spacing w:after="0" w:line="240" w:lineRule="auto"/>
        <w:rPr>
          <w:rFonts w:ascii="Times New Roman" w:hAnsi="Times New Roman" w:cs="Times New Roman"/>
          <w:sz w:val="24"/>
          <w:szCs w:val="24"/>
          <w:lang w:val="pt-BR"/>
        </w:rPr>
      </w:pPr>
      <w:r w:rsidRPr="00574DA4">
        <w:rPr>
          <w:rFonts w:ascii="Times New Roman" w:hAnsi="Times New Roman" w:cs="Times New Roman"/>
          <w:sz w:val="24"/>
          <w:szCs w:val="24"/>
          <w:lang w:val="pt-BR"/>
        </w:rPr>
        <w:t>Anexo</w:t>
      </w:r>
      <w:r w:rsidR="00814FF4">
        <w:rPr>
          <w:rFonts w:ascii="Times New Roman" w:hAnsi="Times New Roman" w:cs="Times New Roman"/>
          <w:sz w:val="24"/>
          <w:szCs w:val="24"/>
          <w:lang w:val="pt-BR"/>
        </w:rPr>
        <w:t>s</w:t>
      </w:r>
      <w:r w:rsidRPr="00574DA4">
        <w:rPr>
          <w:rFonts w:ascii="Times New Roman" w:hAnsi="Times New Roman" w:cs="Times New Roman"/>
          <w:sz w:val="24"/>
          <w:szCs w:val="24"/>
          <w:lang w:val="pt-BR"/>
        </w:rPr>
        <w:t xml:space="preserve"> 7 – Contém os códigos construídos </w:t>
      </w:r>
      <w:r w:rsidR="006720E3">
        <w:rPr>
          <w:rFonts w:ascii="Times New Roman" w:hAnsi="Times New Roman" w:cs="Times New Roman"/>
          <w:sz w:val="24"/>
          <w:szCs w:val="24"/>
          <w:lang w:val="pt-BR"/>
        </w:rPr>
        <w:t xml:space="preserve">utilizando o software </w:t>
      </w:r>
      <w:r w:rsidRPr="00574DA4">
        <w:rPr>
          <w:rFonts w:ascii="Times New Roman" w:hAnsi="Times New Roman" w:cs="Times New Roman"/>
          <w:sz w:val="24"/>
          <w:szCs w:val="24"/>
          <w:lang w:val="pt-BR"/>
        </w:rPr>
        <w:t xml:space="preserve">R </w:t>
      </w:r>
      <w:r w:rsidR="006720E3">
        <w:rPr>
          <w:rFonts w:ascii="Times New Roman" w:hAnsi="Times New Roman" w:cs="Times New Roman"/>
          <w:sz w:val="24"/>
          <w:szCs w:val="24"/>
          <w:lang w:val="pt-BR"/>
        </w:rPr>
        <w:t>para serem replicados</w:t>
      </w:r>
      <w:r w:rsidR="009C14F0">
        <w:rPr>
          <w:rFonts w:ascii="Times New Roman" w:hAnsi="Times New Roman" w:cs="Times New Roman"/>
          <w:sz w:val="24"/>
          <w:szCs w:val="24"/>
          <w:lang w:val="pt-BR"/>
        </w:rPr>
        <w:t>. U</w:t>
      </w:r>
      <w:r w:rsidRPr="00574DA4">
        <w:rPr>
          <w:rFonts w:ascii="Times New Roman" w:hAnsi="Times New Roman" w:cs="Times New Roman"/>
          <w:sz w:val="24"/>
          <w:szCs w:val="24"/>
          <w:lang w:val="pt-BR"/>
        </w:rPr>
        <w:t>tiliza</w:t>
      </w:r>
      <w:r w:rsidR="009C14F0">
        <w:rPr>
          <w:rFonts w:ascii="Times New Roman" w:hAnsi="Times New Roman" w:cs="Times New Roman"/>
          <w:sz w:val="24"/>
          <w:szCs w:val="24"/>
          <w:lang w:val="pt-BR"/>
        </w:rPr>
        <w:t xml:space="preserve">mos o R </w:t>
      </w:r>
      <w:r w:rsidRPr="00574DA4">
        <w:rPr>
          <w:rFonts w:ascii="Times New Roman" w:hAnsi="Times New Roman" w:cs="Times New Roman"/>
          <w:sz w:val="24"/>
          <w:szCs w:val="24"/>
          <w:lang w:val="pt-BR"/>
        </w:rPr>
        <w:t xml:space="preserve">para a obtenção e manipulação de </w:t>
      </w:r>
      <w:proofErr w:type="gramStart"/>
      <w:r w:rsidRPr="00574DA4">
        <w:rPr>
          <w:rFonts w:ascii="Times New Roman" w:hAnsi="Times New Roman" w:cs="Times New Roman"/>
          <w:sz w:val="24"/>
          <w:szCs w:val="24"/>
          <w:lang w:val="pt-BR"/>
        </w:rPr>
        <w:t>todos os dados, tabelas, gráficos</w:t>
      </w:r>
      <w:proofErr w:type="gramEnd"/>
      <w:r w:rsidRPr="00574DA4">
        <w:rPr>
          <w:rFonts w:ascii="Times New Roman" w:hAnsi="Times New Roman" w:cs="Times New Roman"/>
          <w:sz w:val="24"/>
          <w:szCs w:val="24"/>
          <w:lang w:val="pt-BR"/>
        </w:rPr>
        <w:t xml:space="preserve"> e mapas desta pesquisa</w:t>
      </w:r>
      <w:r w:rsidR="009C14F0">
        <w:rPr>
          <w:rFonts w:ascii="Times New Roman" w:hAnsi="Times New Roman" w:cs="Times New Roman"/>
          <w:sz w:val="24"/>
          <w:szCs w:val="24"/>
          <w:lang w:val="pt-BR"/>
        </w:rPr>
        <w:t>;</w:t>
      </w:r>
      <w:r w:rsidRPr="00574DA4">
        <w:rPr>
          <w:rFonts w:ascii="Times New Roman" w:hAnsi="Times New Roman" w:cs="Times New Roman"/>
          <w:sz w:val="24"/>
          <w:szCs w:val="24"/>
          <w:lang w:val="pt-BR"/>
        </w:rPr>
        <w:t xml:space="preserve"> </w:t>
      </w:r>
    </w:p>
    <w:p w14:paraId="598ABE08" w14:textId="77777777" w:rsidR="00574DA4" w:rsidRPr="00B92A04" w:rsidRDefault="00574DA4" w:rsidP="00574DA4">
      <w:pPr>
        <w:spacing w:after="0" w:line="240" w:lineRule="auto"/>
        <w:rPr>
          <w:rFonts w:ascii="Times New Roman" w:hAnsi="Times New Roman" w:cs="Times New Roman"/>
          <w:sz w:val="24"/>
          <w:szCs w:val="24"/>
          <w:lang w:val="pt-BR"/>
        </w:rPr>
      </w:pPr>
    </w:p>
    <w:p w14:paraId="5A9CBAE4" w14:textId="5AB51B07" w:rsidR="00574DA4" w:rsidRDefault="00574DA4" w:rsidP="00574DA4">
      <w:pPr>
        <w:spacing w:after="0" w:line="240" w:lineRule="auto"/>
        <w:rPr>
          <w:rFonts w:ascii="Times New Roman" w:hAnsi="Times New Roman" w:cs="Times New Roman"/>
          <w:sz w:val="24"/>
          <w:szCs w:val="24"/>
          <w:lang w:val="pt-BR"/>
        </w:rPr>
      </w:pPr>
      <w:r w:rsidRPr="00B92A04">
        <w:rPr>
          <w:rFonts w:ascii="Times New Roman" w:hAnsi="Times New Roman" w:cs="Times New Roman"/>
          <w:sz w:val="24"/>
          <w:szCs w:val="24"/>
          <w:lang w:val="pt-BR"/>
        </w:rPr>
        <w:t xml:space="preserve">Anexo 8 - </w:t>
      </w:r>
      <w:r w:rsidR="00A61DAB">
        <w:rPr>
          <w:rFonts w:ascii="Times New Roman" w:hAnsi="Times New Roman" w:cs="Times New Roman"/>
          <w:sz w:val="24"/>
          <w:szCs w:val="24"/>
          <w:lang w:val="pt-BR"/>
        </w:rPr>
        <w:t xml:space="preserve">O primeiro conjunto de </w:t>
      </w:r>
      <w:r w:rsidR="00A61DAB" w:rsidRPr="00814DC4">
        <w:rPr>
          <w:rFonts w:ascii="Times New Roman" w:hAnsi="Times New Roman" w:cs="Times New Roman"/>
          <w:sz w:val="24"/>
          <w:szCs w:val="24"/>
          <w:lang w:val="pt-BR"/>
        </w:rPr>
        <w:t>tabelas e gráficos (</w:t>
      </w:r>
      <w:r w:rsidR="00A61DAB" w:rsidRPr="004604A1">
        <w:rPr>
          <w:rFonts w:ascii="Times New Roman" w:hAnsi="Times New Roman" w:cs="Times New Roman"/>
          <w:b/>
          <w:sz w:val="24"/>
          <w:szCs w:val="24"/>
          <w:lang w:val="pt-BR"/>
        </w:rPr>
        <w:t xml:space="preserve">anexo </w:t>
      </w:r>
      <w:proofErr w:type="gramStart"/>
      <w:r w:rsidR="00A61DAB" w:rsidRPr="004604A1">
        <w:rPr>
          <w:rFonts w:ascii="Times New Roman" w:hAnsi="Times New Roman" w:cs="Times New Roman"/>
          <w:b/>
          <w:sz w:val="24"/>
          <w:szCs w:val="24"/>
          <w:lang w:val="pt-BR"/>
        </w:rPr>
        <w:t>8</w:t>
      </w:r>
      <w:proofErr w:type="gramEnd"/>
      <w:r w:rsidR="00A61DAB" w:rsidRPr="00814DC4">
        <w:rPr>
          <w:rFonts w:ascii="Times New Roman" w:hAnsi="Times New Roman" w:cs="Times New Roman"/>
          <w:sz w:val="24"/>
          <w:szCs w:val="24"/>
          <w:lang w:val="pt-BR"/>
        </w:rPr>
        <w:t xml:space="preserve">) </w:t>
      </w:r>
      <w:r w:rsidR="00A61DAB">
        <w:rPr>
          <w:rFonts w:ascii="Times New Roman" w:hAnsi="Times New Roman" w:cs="Times New Roman"/>
          <w:sz w:val="24"/>
          <w:szCs w:val="24"/>
          <w:lang w:val="pt-BR"/>
        </w:rPr>
        <w:t xml:space="preserve">construídos </w:t>
      </w:r>
      <w:r w:rsidR="00A61DAB" w:rsidRPr="00814DC4">
        <w:rPr>
          <w:rFonts w:ascii="Times New Roman" w:hAnsi="Times New Roman" w:cs="Times New Roman"/>
          <w:sz w:val="24"/>
          <w:szCs w:val="24"/>
          <w:lang w:val="pt-BR"/>
        </w:rPr>
        <w:t>em caráter experimental através d</w:t>
      </w:r>
      <w:r w:rsidR="00A61DAB">
        <w:rPr>
          <w:rFonts w:ascii="Times New Roman" w:hAnsi="Times New Roman" w:cs="Times New Roman"/>
          <w:sz w:val="24"/>
          <w:szCs w:val="24"/>
          <w:lang w:val="pt-BR"/>
        </w:rPr>
        <w:t xml:space="preserve">a manipulação da enorme quantidade de dados </w:t>
      </w:r>
      <w:r w:rsidR="00A61DAB" w:rsidRPr="00DA318C">
        <w:rPr>
          <w:rFonts w:ascii="Times New Roman" w:hAnsi="Times New Roman" w:cs="Times New Roman"/>
          <w:sz w:val="24"/>
          <w:szCs w:val="24"/>
          <w:lang w:val="pt-BR"/>
        </w:rPr>
        <w:t xml:space="preserve">consolidado no primeiro banco de dados </w:t>
      </w:r>
      <w:r w:rsidR="00A61DAB">
        <w:rPr>
          <w:rFonts w:ascii="Times New Roman" w:hAnsi="Times New Roman" w:cs="Times New Roman"/>
          <w:sz w:val="24"/>
          <w:szCs w:val="24"/>
          <w:lang w:val="pt-BR"/>
        </w:rPr>
        <w:t>(</w:t>
      </w:r>
      <w:r w:rsidR="00A61DAB" w:rsidRPr="004604A1">
        <w:rPr>
          <w:rFonts w:ascii="Times New Roman" w:hAnsi="Times New Roman" w:cs="Times New Roman"/>
          <w:b/>
          <w:sz w:val="24"/>
          <w:szCs w:val="24"/>
          <w:lang w:val="pt-BR"/>
        </w:rPr>
        <w:t>anexo 3</w:t>
      </w:r>
      <w:r w:rsidR="00A61DAB">
        <w:rPr>
          <w:rFonts w:ascii="Times New Roman" w:hAnsi="Times New Roman" w:cs="Times New Roman"/>
          <w:sz w:val="24"/>
          <w:szCs w:val="24"/>
          <w:lang w:val="pt-BR"/>
        </w:rPr>
        <w:t>)</w:t>
      </w:r>
      <w:r w:rsidR="009C14F0">
        <w:rPr>
          <w:rFonts w:ascii="Times New Roman" w:hAnsi="Times New Roman" w:cs="Times New Roman"/>
          <w:sz w:val="24"/>
          <w:szCs w:val="24"/>
          <w:lang w:val="pt-BR"/>
        </w:rPr>
        <w:t>;</w:t>
      </w:r>
    </w:p>
    <w:p w14:paraId="79384C3C" w14:textId="7FD1955A" w:rsidR="00B92A04" w:rsidRDefault="00B92A04" w:rsidP="00574DA4">
      <w:pPr>
        <w:spacing w:after="0" w:line="240" w:lineRule="auto"/>
        <w:rPr>
          <w:rFonts w:ascii="Times New Roman" w:hAnsi="Times New Roman" w:cs="Times New Roman"/>
          <w:sz w:val="24"/>
          <w:szCs w:val="24"/>
          <w:lang w:val="pt-BR"/>
        </w:rPr>
      </w:pPr>
    </w:p>
    <w:p w14:paraId="265B8BC4" w14:textId="15040E50" w:rsidR="00B92A04" w:rsidRDefault="00B92A04" w:rsidP="00574DA4">
      <w:p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Anexo 9 - </w:t>
      </w:r>
      <w:r w:rsidR="009C14F0">
        <w:rPr>
          <w:rFonts w:ascii="Times New Roman" w:hAnsi="Times New Roman" w:cs="Times New Roman"/>
          <w:sz w:val="24"/>
          <w:szCs w:val="24"/>
          <w:lang w:val="pt-BR"/>
        </w:rPr>
        <w:t>S</w:t>
      </w:r>
      <w:r w:rsidR="00A61DAB" w:rsidRPr="00B92A04">
        <w:rPr>
          <w:rFonts w:ascii="Times New Roman" w:hAnsi="Times New Roman" w:cs="Times New Roman"/>
          <w:sz w:val="24"/>
          <w:szCs w:val="24"/>
          <w:lang w:val="pt-BR"/>
        </w:rPr>
        <w:t xml:space="preserve">egundo conjunto de tabelas e gráficos construído em caráter experimental para ser apresentado em um workshop sobre os poderes emergentes na London </w:t>
      </w:r>
      <w:proofErr w:type="spellStart"/>
      <w:r w:rsidR="00A61DAB" w:rsidRPr="00B92A04">
        <w:rPr>
          <w:rFonts w:ascii="Times New Roman" w:hAnsi="Times New Roman" w:cs="Times New Roman"/>
          <w:sz w:val="24"/>
          <w:szCs w:val="24"/>
          <w:lang w:val="pt-BR"/>
        </w:rPr>
        <w:t>School</w:t>
      </w:r>
      <w:proofErr w:type="spellEnd"/>
      <w:r w:rsidR="00A61DAB" w:rsidRPr="00B92A04">
        <w:rPr>
          <w:rFonts w:ascii="Times New Roman" w:hAnsi="Times New Roman" w:cs="Times New Roman"/>
          <w:sz w:val="24"/>
          <w:szCs w:val="24"/>
          <w:lang w:val="pt-BR"/>
        </w:rPr>
        <w:t xml:space="preserve"> </w:t>
      </w:r>
      <w:proofErr w:type="spellStart"/>
      <w:r w:rsidR="00A61DAB" w:rsidRPr="00B92A04">
        <w:rPr>
          <w:rFonts w:ascii="Times New Roman" w:hAnsi="Times New Roman" w:cs="Times New Roman"/>
          <w:sz w:val="24"/>
          <w:szCs w:val="24"/>
          <w:lang w:val="pt-BR"/>
        </w:rPr>
        <w:t>of</w:t>
      </w:r>
      <w:proofErr w:type="spellEnd"/>
      <w:r w:rsidR="00A61DAB" w:rsidRPr="00B92A04">
        <w:rPr>
          <w:rFonts w:ascii="Times New Roman" w:hAnsi="Times New Roman" w:cs="Times New Roman"/>
          <w:sz w:val="24"/>
          <w:szCs w:val="24"/>
          <w:lang w:val="pt-BR"/>
        </w:rPr>
        <w:t xml:space="preserve"> </w:t>
      </w:r>
      <w:proofErr w:type="spellStart"/>
      <w:r w:rsidR="00A61DAB" w:rsidRPr="00B92A04">
        <w:rPr>
          <w:rFonts w:ascii="Times New Roman" w:hAnsi="Times New Roman" w:cs="Times New Roman"/>
          <w:sz w:val="24"/>
          <w:szCs w:val="24"/>
          <w:lang w:val="pt-BR"/>
        </w:rPr>
        <w:t>Economics</w:t>
      </w:r>
      <w:proofErr w:type="spellEnd"/>
      <w:r w:rsidR="00A61DAB" w:rsidRPr="00B92A04">
        <w:rPr>
          <w:rFonts w:ascii="Times New Roman" w:hAnsi="Times New Roman" w:cs="Times New Roman"/>
          <w:sz w:val="24"/>
          <w:szCs w:val="24"/>
          <w:lang w:val="pt-BR"/>
        </w:rPr>
        <w:t xml:space="preserve"> em Março de 2018</w:t>
      </w:r>
      <w:r w:rsidR="009C14F0">
        <w:rPr>
          <w:rFonts w:ascii="Times New Roman" w:hAnsi="Times New Roman" w:cs="Times New Roman"/>
          <w:sz w:val="24"/>
          <w:szCs w:val="24"/>
          <w:lang w:val="pt-BR"/>
        </w:rPr>
        <w:t>;</w:t>
      </w:r>
    </w:p>
    <w:p w14:paraId="2E65DE0B" w14:textId="77777777" w:rsidR="009C14F0" w:rsidRDefault="009C14F0" w:rsidP="00574DA4">
      <w:pPr>
        <w:spacing w:after="0" w:line="240" w:lineRule="auto"/>
        <w:rPr>
          <w:rFonts w:ascii="Times New Roman" w:hAnsi="Times New Roman" w:cs="Times New Roman"/>
          <w:sz w:val="24"/>
          <w:szCs w:val="24"/>
          <w:lang w:val="pt-BR"/>
        </w:rPr>
      </w:pPr>
    </w:p>
    <w:p w14:paraId="6F47084D" w14:textId="77777777" w:rsidR="009C14F0" w:rsidRDefault="00A61DAB" w:rsidP="00574DA4">
      <w:p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Anexo 10 </w:t>
      </w:r>
      <w:r w:rsidR="009C14F0">
        <w:rPr>
          <w:rFonts w:ascii="Times New Roman" w:hAnsi="Times New Roman" w:cs="Times New Roman"/>
          <w:sz w:val="24"/>
          <w:szCs w:val="24"/>
          <w:lang w:val="pt-BR"/>
        </w:rPr>
        <w:t>–</w:t>
      </w:r>
      <w:r>
        <w:rPr>
          <w:rFonts w:ascii="Times New Roman" w:hAnsi="Times New Roman" w:cs="Times New Roman"/>
          <w:sz w:val="24"/>
          <w:szCs w:val="24"/>
          <w:lang w:val="pt-BR"/>
        </w:rPr>
        <w:t xml:space="preserve"> </w:t>
      </w:r>
      <w:r w:rsidR="009C14F0">
        <w:rPr>
          <w:rFonts w:ascii="Times New Roman" w:hAnsi="Times New Roman" w:cs="Times New Roman"/>
          <w:sz w:val="24"/>
          <w:szCs w:val="24"/>
          <w:lang w:val="pt-BR"/>
        </w:rPr>
        <w:t xml:space="preserve">Gifs (animações) de </w:t>
      </w:r>
      <w:r w:rsidR="002B4FC4" w:rsidRPr="002B4FC4">
        <w:rPr>
          <w:rFonts w:ascii="Times New Roman" w:hAnsi="Times New Roman" w:cs="Times New Roman"/>
          <w:sz w:val="24"/>
          <w:szCs w:val="24"/>
          <w:lang w:val="pt-BR"/>
        </w:rPr>
        <w:t xml:space="preserve">1020 mapas contendo os fluxos bilaterais do comércio de “produtos farmacêuticos” para 30 países, desde o ano de 2001. Os </w:t>
      </w:r>
      <w:r w:rsidR="009C14F0">
        <w:rPr>
          <w:rFonts w:ascii="Times New Roman" w:hAnsi="Times New Roman" w:cs="Times New Roman"/>
          <w:sz w:val="24"/>
          <w:szCs w:val="24"/>
          <w:lang w:val="pt-BR"/>
        </w:rPr>
        <w:t xml:space="preserve">1020 </w:t>
      </w:r>
      <w:r w:rsidR="002B4FC4" w:rsidRPr="002B4FC4">
        <w:rPr>
          <w:rFonts w:ascii="Times New Roman" w:hAnsi="Times New Roman" w:cs="Times New Roman"/>
          <w:sz w:val="24"/>
          <w:szCs w:val="24"/>
          <w:lang w:val="pt-BR"/>
        </w:rPr>
        <w:t>mapas contém o fluxo do comércio para cada sentido do fluxo (exportação ou importação) para os dez principais países que são parceiros comerciais, por ano</w:t>
      </w:r>
      <w:r w:rsidR="009C14F0">
        <w:rPr>
          <w:rFonts w:ascii="Times New Roman" w:hAnsi="Times New Roman" w:cs="Times New Roman"/>
          <w:sz w:val="24"/>
          <w:szCs w:val="24"/>
          <w:lang w:val="pt-BR"/>
        </w:rPr>
        <w:t>;</w:t>
      </w:r>
    </w:p>
    <w:p w14:paraId="5B97C32A" w14:textId="77777777" w:rsidR="009C14F0" w:rsidRDefault="009C14F0" w:rsidP="00574DA4">
      <w:pPr>
        <w:spacing w:after="0" w:line="240" w:lineRule="auto"/>
        <w:rPr>
          <w:rFonts w:ascii="Times New Roman" w:hAnsi="Times New Roman" w:cs="Times New Roman"/>
          <w:sz w:val="24"/>
          <w:szCs w:val="24"/>
          <w:lang w:val="pt-BR"/>
        </w:rPr>
      </w:pPr>
    </w:p>
    <w:p w14:paraId="03A3B997" w14:textId="4AB1E12A" w:rsidR="002B4FC4" w:rsidRDefault="002B4FC4" w:rsidP="00574DA4">
      <w:p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Anexo</w:t>
      </w:r>
      <w:r w:rsidR="00814FF4">
        <w:rPr>
          <w:rFonts w:ascii="Times New Roman" w:hAnsi="Times New Roman" w:cs="Times New Roman"/>
          <w:sz w:val="24"/>
          <w:szCs w:val="24"/>
          <w:lang w:val="pt-BR"/>
        </w:rPr>
        <w:t>s</w:t>
      </w:r>
      <w:r>
        <w:rPr>
          <w:rFonts w:ascii="Times New Roman" w:hAnsi="Times New Roman" w:cs="Times New Roman"/>
          <w:sz w:val="24"/>
          <w:szCs w:val="24"/>
          <w:lang w:val="pt-BR"/>
        </w:rPr>
        <w:t xml:space="preserve"> 11 - </w:t>
      </w:r>
      <w:r w:rsidR="009C14F0">
        <w:rPr>
          <w:rFonts w:ascii="Times New Roman" w:hAnsi="Times New Roman" w:cs="Times New Roman"/>
          <w:sz w:val="24"/>
          <w:szCs w:val="24"/>
          <w:lang w:val="pt-BR"/>
        </w:rPr>
        <w:t>G</w:t>
      </w:r>
      <w:r w:rsidRPr="002B4FC4">
        <w:rPr>
          <w:rFonts w:ascii="Times New Roman" w:hAnsi="Times New Roman" w:cs="Times New Roman"/>
          <w:sz w:val="24"/>
          <w:szCs w:val="24"/>
          <w:lang w:val="pt-BR"/>
        </w:rPr>
        <w:t>ráficos de dispersão contendo o preço (deflacionado) por quilo das importações (ou das exportações) de medicamentos para todos os países (por ano) no eixo y e do quilo da importação (ou da exportação) de medicamentos por pessoa no eixo x. Fizemos diversas animações (anexo 11) com o objetivo de mostrar a evolução dos gráficos ao longo do tempo, tornando-os tridimensionais</w:t>
      </w:r>
      <w:r w:rsidR="009C14F0">
        <w:rPr>
          <w:rFonts w:ascii="Times New Roman" w:hAnsi="Times New Roman" w:cs="Times New Roman"/>
          <w:sz w:val="24"/>
          <w:szCs w:val="24"/>
          <w:lang w:val="pt-BR"/>
        </w:rPr>
        <w:t>;</w:t>
      </w:r>
    </w:p>
    <w:p w14:paraId="57486FA4" w14:textId="10EFC5AA" w:rsidR="002B4FC4" w:rsidRDefault="002B4FC4" w:rsidP="00574DA4">
      <w:pPr>
        <w:spacing w:after="0" w:line="240" w:lineRule="auto"/>
        <w:rPr>
          <w:rFonts w:ascii="Times New Roman" w:hAnsi="Times New Roman" w:cs="Times New Roman"/>
          <w:sz w:val="24"/>
          <w:szCs w:val="24"/>
          <w:lang w:val="pt-BR"/>
        </w:rPr>
      </w:pPr>
    </w:p>
    <w:p w14:paraId="597ED17D" w14:textId="5F15D4B0" w:rsidR="002B4FC4" w:rsidRDefault="002B4FC4" w:rsidP="00574DA4">
      <w:pPr>
        <w:spacing w:after="0" w:line="240" w:lineRule="auto"/>
        <w:rPr>
          <w:rFonts w:ascii="Times New Roman" w:hAnsi="Times New Roman" w:cs="Times New Roman"/>
          <w:sz w:val="24"/>
          <w:szCs w:val="24"/>
        </w:rPr>
      </w:pPr>
      <w:proofErr w:type="spellStart"/>
      <w:r w:rsidRPr="002B4FC4">
        <w:rPr>
          <w:rFonts w:ascii="Times New Roman" w:hAnsi="Times New Roman" w:cs="Times New Roman"/>
          <w:sz w:val="24"/>
          <w:szCs w:val="24"/>
        </w:rPr>
        <w:t>Comprovante</w:t>
      </w:r>
      <w:proofErr w:type="spellEnd"/>
      <w:r w:rsidRPr="002B4FC4">
        <w:rPr>
          <w:rFonts w:ascii="Times New Roman" w:hAnsi="Times New Roman" w:cs="Times New Roman"/>
          <w:sz w:val="24"/>
          <w:szCs w:val="24"/>
        </w:rPr>
        <w:t xml:space="preserve"> 1 - </w:t>
      </w:r>
      <w:proofErr w:type="spellStart"/>
      <w:r w:rsidR="009C14F0">
        <w:rPr>
          <w:rFonts w:ascii="Times New Roman" w:hAnsi="Times New Roman" w:cs="Times New Roman"/>
          <w:sz w:val="24"/>
          <w:szCs w:val="24"/>
        </w:rPr>
        <w:t>D</w:t>
      </w:r>
      <w:r w:rsidR="009C14F0" w:rsidRPr="002B4FC4">
        <w:rPr>
          <w:rFonts w:ascii="Times New Roman" w:hAnsi="Times New Roman" w:cs="Times New Roman"/>
          <w:sz w:val="24"/>
          <w:szCs w:val="24"/>
        </w:rPr>
        <w:t>isciplin</w:t>
      </w:r>
      <w:r w:rsidR="009C14F0">
        <w:rPr>
          <w:rFonts w:ascii="Times New Roman" w:hAnsi="Times New Roman" w:cs="Times New Roman"/>
          <w:sz w:val="24"/>
          <w:szCs w:val="24"/>
        </w:rPr>
        <w:t>a</w:t>
      </w:r>
      <w:proofErr w:type="spellEnd"/>
      <w:r w:rsidRPr="002B4FC4">
        <w:rPr>
          <w:rFonts w:ascii="Times New Roman" w:hAnsi="Times New Roman" w:cs="Times New Roman"/>
          <w:sz w:val="24"/>
          <w:szCs w:val="24"/>
        </w:rPr>
        <w:t xml:space="preserve"> “English for Teaching Purposes</w:t>
      </w:r>
      <w:r w:rsidR="00814FF4">
        <w:rPr>
          <w:rFonts w:ascii="Times New Roman" w:hAnsi="Times New Roman" w:cs="Times New Roman"/>
          <w:sz w:val="24"/>
          <w:szCs w:val="24"/>
        </w:rPr>
        <w:t xml:space="preserve">” </w:t>
      </w:r>
      <w:proofErr w:type="spellStart"/>
      <w:r w:rsidR="00814FF4">
        <w:rPr>
          <w:rFonts w:ascii="Times New Roman" w:hAnsi="Times New Roman" w:cs="Times New Roman"/>
          <w:sz w:val="24"/>
          <w:szCs w:val="24"/>
        </w:rPr>
        <w:t>cursada</w:t>
      </w:r>
      <w:proofErr w:type="spellEnd"/>
      <w:r w:rsidR="00814FF4">
        <w:rPr>
          <w:rFonts w:ascii="Times New Roman" w:hAnsi="Times New Roman" w:cs="Times New Roman"/>
          <w:sz w:val="24"/>
          <w:szCs w:val="24"/>
        </w:rPr>
        <w:t xml:space="preserve"> </w:t>
      </w:r>
      <w:proofErr w:type="spellStart"/>
      <w:proofErr w:type="gramStart"/>
      <w:r w:rsidR="00814FF4">
        <w:rPr>
          <w:rFonts w:ascii="Times New Roman" w:hAnsi="Times New Roman" w:cs="Times New Roman"/>
          <w:sz w:val="24"/>
          <w:szCs w:val="24"/>
        </w:rPr>
        <w:t>na</w:t>
      </w:r>
      <w:proofErr w:type="spellEnd"/>
      <w:proofErr w:type="gramEnd"/>
      <w:r w:rsidR="00814FF4">
        <w:rPr>
          <w:rFonts w:ascii="Times New Roman" w:hAnsi="Times New Roman" w:cs="Times New Roman"/>
          <w:sz w:val="24"/>
          <w:szCs w:val="24"/>
        </w:rPr>
        <w:t xml:space="preserve"> LSE</w:t>
      </w:r>
      <w:r w:rsidR="009C14F0">
        <w:rPr>
          <w:rFonts w:ascii="Times New Roman" w:hAnsi="Times New Roman" w:cs="Times New Roman"/>
          <w:sz w:val="24"/>
          <w:szCs w:val="24"/>
        </w:rPr>
        <w:t>;</w:t>
      </w:r>
    </w:p>
    <w:p w14:paraId="7087E852" w14:textId="77777777" w:rsidR="009C14F0" w:rsidRDefault="009C14F0" w:rsidP="00574DA4">
      <w:pPr>
        <w:spacing w:after="0" w:line="240" w:lineRule="auto"/>
        <w:rPr>
          <w:rFonts w:ascii="Times New Roman" w:hAnsi="Times New Roman" w:cs="Times New Roman"/>
          <w:sz w:val="24"/>
          <w:szCs w:val="24"/>
        </w:rPr>
      </w:pPr>
      <w:bookmarkStart w:id="8" w:name="_GoBack"/>
      <w:bookmarkEnd w:id="8"/>
    </w:p>
    <w:p w14:paraId="30476904" w14:textId="226C8047" w:rsidR="002B4FC4" w:rsidRDefault="002B4FC4" w:rsidP="00574DA4">
      <w:pPr>
        <w:spacing w:after="0" w:line="240" w:lineRule="auto"/>
        <w:rPr>
          <w:rFonts w:ascii="Times New Roman" w:hAnsi="Times New Roman" w:cs="Times New Roman"/>
          <w:sz w:val="24"/>
          <w:szCs w:val="24"/>
          <w:lang w:val="pt-BR"/>
        </w:rPr>
      </w:pPr>
      <w:r w:rsidRPr="002B4FC4">
        <w:rPr>
          <w:rFonts w:ascii="Times New Roman" w:hAnsi="Times New Roman" w:cs="Times New Roman"/>
          <w:sz w:val="24"/>
          <w:szCs w:val="24"/>
          <w:lang w:val="pt-BR"/>
        </w:rPr>
        <w:lastRenderedPageBreak/>
        <w:t xml:space="preserve">Comprovante 2 </w:t>
      </w:r>
      <w:r w:rsidR="009C14F0">
        <w:rPr>
          <w:rFonts w:ascii="Times New Roman" w:hAnsi="Times New Roman" w:cs="Times New Roman"/>
          <w:sz w:val="24"/>
          <w:szCs w:val="24"/>
          <w:lang w:val="pt-BR"/>
        </w:rPr>
        <w:t>–</w:t>
      </w:r>
      <w:r w:rsidRPr="002B4FC4">
        <w:rPr>
          <w:rFonts w:ascii="Times New Roman" w:hAnsi="Times New Roman" w:cs="Times New Roman"/>
          <w:sz w:val="24"/>
          <w:szCs w:val="24"/>
          <w:lang w:val="pt-BR"/>
        </w:rPr>
        <w:t xml:space="preserve"> </w:t>
      </w:r>
      <w:r w:rsidR="009C14F0">
        <w:rPr>
          <w:rFonts w:ascii="Times New Roman" w:hAnsi="Times New Roman" w:cs="Times New Roman"/>
          <w:sz w:val="24"/>
          <w:szCs w:val="24"/>
          <w:lang w:val="pt-BR"/>
        </w:rPr>
        <w:t>Primeira a</w:t>
      </w:r>
      <w:r w:rsidRPr="00722D73">
        <w:rPr>
          <w:rFonts w:ascii="Times New Roman" w:hAnsi="Times New Roman" w:cs="Times New Roman"/>
          <w:sz w:val="24"/>
          <w:szCs w:val="24"/>
          <w:lang w:val="pt-BR"/>
        </w:rPr>
        <w:t xml:space="preserve">presentação dos resultados parciais desta pesquisa perante professores e estudantes de doutorado lotados no </w:t>
      </w:r>
      <w:proofErr w:type="spellStart"/>
      <w:r w:rsidRPr="00722D73">
        <w:rPr>
          <w:rFonts w:ascii="Times New Roman" w:hAnsi="Times New Roman" w:cs="Times New Roman"/>
          <w:sz w:val="24"/>
          <w:szCs w:val="24"/>
          <w:lang w:val="pt-BR"/>
        </w:rPr>
        <w:t>Department</w:t>
      </w:r>
      <w:proofErr w:type="spellEnd"/>
      <w:r w:rsidRPr="00722D73">
        <w:rPr>
          <w:rFonts w:ascii="Times New Roman" w:hAnsi="Times New Roman" w:cs="Times New Roman"/>
          <w:sz w:val="24"/>
          <w:szCs w:val="24"/>
          <w:lang w:val="pt-BR"/>
        </w:rPr>
        <w:t xml:space="preserve"> </w:t>
      </w:r>
      <w:proofErr w:type="spellStart"/>
      <w:r w:rsidRPr="00722D73">
        <w:rPr>
          <w:rFonts w:ascii="Times New Roman" w:hAnsi="Times New Roman" w:cs="Times New Roman"/>
          <w:sz w:val="24"/>
          <w:szCs w:val="24"/>
          <w:lang w:val="pt-BR"/>
        </w:rPr>
        <w:t>of</w:t>
      </w:r>
      <w:proofErr w:type="spellEnd"/>
      <w:r w:rsidRPr="00722D73">
        <w:rPr>
          <w:rFonts w:ascii="Times New Roman" w:hAnsi="Times New Roman" w:cs="Times New Roman"/>
          <w:sz w:val="24"/>
          <w:szCs w:val="24"/>
          <w:lang w:val="pt-BR"/>
        </w:rPr>
        <w:t xml:space="preserve"> </w:t>
      </w:r>
      <w:proofErr w:type="spellStart"/>
      <w:r w:rsidRPr="00722D73">
        <w:rPr>
          <w:rFonts w:ascii="Times New Roman" w:hAnsi="Times New Roman" w:cs="Times New Roman"/>
          <w:sz w:val="24"/>
          <w:szCs w:val="24"/>
          <w:lang w:val="pt-BR"/>
        </w:rPr>
        <w:t>International</w:t>
      </w:r>
      <w:proofErr w:type="spellEnd"/>
      <w:r w:rsidRPr="00722D73">
        <w:rPr>
          <w:rFonts w:ascii="Times New Roman" w:hAnsi="Times New Roman" w:cs="Times New Roman"/>
          <w:sz w:val="24"/>
          <w:szCs w:val="24"/>
          <w:lang w:val="pt-BR"/>
        </w:rPr>
        <w:t xml:space="preserve"> </w:t>
      </w:r>
      <w:proofErr w:type="spellStart"/>
      <w:r w:rsidRPr="00722D73">
        <w:rPr>
          <w:rFonts w:ascii="Times New Roman" w:hAnsi="Times New Roman" w:cs="Times New Roman"/>
          <w:sz w:val="24"/>
          <w:szCs w:val="24"/>
          <w:lang w:val="pt-BR"/>
        </w:rPr>
        <w:t>Development</w:t>
      </w:r>
      <w:proofErr w:type="spellEnd"/>
      <w:r w:rsidRPr="00722D73">
        <w:rPr>
          <w:rFonts w:ascii="Times New Roman" w:hAnsi="Times New Roman" w:cs="Times New Roman"/>
          <w:sz w:val="24"/>
          <w:szCs w:val="24"/>
          <w:lang w:val="pt-BR"/>
        </w:rPr>
        <w:t xml:space="preserve"> da LSE no dia 28 de fevereiro de 2018</w:t>
      </w:r>
      <w:r w:rsidR="009C14F0">
        <w:rPr>
          <w:rFonts w:ascii="Times New Roman" w:hAnsi="Times New Roman" w:cs="Times New Roman"/>
          <w:sz w:val="24"/>
          <w:szCs w:val="24"/>
          <w:lang w:val="pt-BR"/>
        </w:rPr>
        <w:t>;</w:t>
      </w:r>
    </w:p>
    <w:p w14:paraId="78AF230F" w14:textId="77777777" w:rsidR="009C14F0" w:rsidRDefault="009C14F0" w:rsidP="009C14F0">
      <w:pPr>
        <w:spacing w:after="0" w:line="240" w:lineRule="auto"/>
        <w:rPr>
          <w:rFonts w:ascii="Times New Roman" w:hAnsi="Times New Roman" w:cs="Times New Roman"/>
          <w:sz w:val="24"/>
          <w:szCs w:val="24"/>
          <w:lang w:val="pt-BR"/>
        </w:rPr>
      </w:pPr>
    </w:p>
    <w:p w14:paraId="5AA3195A" w14:textId="1098A547" w:rsidR="002B4FC4" w:rsidRDefault="002B4FC4" w:rsidP="009C14F0">
      <w:pPr>
        <w:spacing w:after="0" w:line="240" w:lineRule="auto"/>
        <w:rPr>
          <w:rFonts w:ascii="Times New Roman" w:hAnsi="Times New Roman" w:cs="Times New Roman"/>
          <w:sz w:val="24"/>
          <w:szCs w:val="24"/>
          <w:lang w:val="pt-BR"/>
        </w:rPr>
      </w:pPr>
      <w:r w:rsidRPr="002B4FC4">
        <w:rPr>
          <w:rFonts w:ascii="Times New Roman" w:hAnsi="Times New Roman" w:cs="Times New Roman"/>
          <w:sz w:val="24"/>
          <w:szCs w:val="24"/>
          <w:lang w:val="pt-BR"/>
        </w:rPr>
        <w:t>Compr</w:t>
      </w:r>
      <w:r w:rsidR="009C14F0">
        <w:rPr>
          <w:rFonts w:ascii="Times New Roman" w:hAnsi="Times New Roman" w:cs="Times New Roman"/>
          <w:sz w:val="24"/>
          <w:szCs w:val="24"/>
          <w:lang w:val="pt-BR"/>
        </w:rPr>
        <w:t>o</w:t>
      </w:r>
      <w:r w:rsidRPr="002B4FC4">
        <w:rPr>
          <w:rFonts w:ascii="Times New Roman" w:hAnsi="Times New Roman" w:cs="Times New Roman"/>
          <w:sz w:val="24"/>
          <w:szCs w:val="24"/>
          <w:lang w:val="pt-BR"/>
        </w:rPr>
        <w:t xml:space="preserve">vante 3 </w:t>
      </w:r>
      <w:r w:rsidR="009C14F0">
        <w:rPr>
          <w:rFonts w:ascii="Times New Roman" w:hAnsi="Times New Roman" w:cs="Times New Roman"/>
          <w:sz w:val="24"/>
          <w:szCs w:val="24"/>
          <w:lang w:val="pt-BR"/>
        </w:rPr>
        <w:t>–</w:t>
      </w:r>
      <w:r w:rsidRPr="002B4FC4">
        <w:rPr>
          <w:rFonts w:ascii="Times New Roman" w:hAnsi="Times New Roman" w:cs="Times New Roman"/>
          <w:sz w:val="24"/>
          <w:szCs w:val="24"/>
          <w:lang w:val="pt-BR"/>
        </w:rPr>
        <w:t xml:space="preserve"> </w:t>
      </w:r>
      <w:r w:rsidR="009C14F0">
        <w:rPr>
          <w:rFonts w:ascii="Times New Roman" w:hAnsi="Times New Roman" w:cs="Times New Roman"/>
          <w:sz w:val="24"/>
          <w:szCs w:val="24"/>
          <w:lang w:val="pt-BR"/>
        </w:rPr>
        <w:t xml:space="preserve">Segunda </w:t>
      </w:r>
      <w:r w:rsidRPr="002B4FC4">
        <w:rPr>
          <w:rFonts w:ascii="Times New Roman" w:hAnsi="Times New Roman" w:cs="Times New Roman"/>
          <w:sz w:val="24"/>
          <w:szCs w:val="24"/>
          <w:lang w:val="pt-BR"/>
        </w:rPr>
        <w:t>apresentação dos resultados parciais desta pesquisa</w:t>
      </w:r>
      <w:r w:rsidR="009C14F0">
        <w:rPr>
          <w:rFonts w:ascii="Times New Roman" w:hAnsi="Times New Roman" w:cs="Times New Roman"/>
          <w:sz w:val="24"/>
          <w:szCs w:val="24"/>
          <w:lang w:val="pt-BR"/>
        </w:rPr>
        <w:t xml:space="preserve"> </w:t>
      </w:r>
      <w:r w:rsidR="009C14F0" w:rsidRPr="002B4FC4">
        <w:rPr>
          <w:rFonts w:ascii="Times New Roman" w:hAnsi="Times New Roman" w:cs="Times New Roman"/>
          <w:sz w:val="24"/>
          <w:szCs w:val="24"/>
          <w:lang w:val="pt-BR"/>
        </w:rPr>
        <w:t xml:space="preserve">no </w:t>
      </w:r>
      <w:proofErr w:type="spellStart"/>
      <w:r w:rsidR="009C14F0" w:rsidRPr="002B4FC4">
        <w:rPr>
          <w:rFonts w:ascii="Times New Roman" w:hAnsi="Times New Roman" w:cs="Times New Roman"/>
          <w:sz w:val="24"/>
          <w:szCs w:val="24"/>
          <w:lang w:val="pt-BR"/>
        </w:rPr>
        <w:t>Department</w:t>
      </w:r>
      <w:proofErr w:type="spellEnd"/>
      <w:r w:rsidR="009C14F0" w:rsidRPr="002B4FC4">
        <w:rPr>
          <w:rFonts w:ascii="Times New Roman" w:hAnsi="Times New Roman" w:cs="Times New Roman"/>
          <w:sz w:val="24"/>
          <w:szCs w:val="24"/>
          <w:lang w:val="pt-BR"/>
        </w:rPr>
        <w:t xml:space="preserve"> </w:t>
      </w:r>
      <w:proofErr w:type="spellStart"/>
      <w:r w:rsidR="009C14F0" w:rsidRPr="002B4FC4">
        <w:rPr>
          <w:rFonts w:ascii="Times New Roman" w:hAnsi="Times New Roman" w:cs="Times New Roman"/>
          <w:sz w:val="24"/>
          <w:szCs w:val="24"/>
          <w:lang w:val="pt-BR"/>
        </w:rPr>
        <w:t>of</w:t>
      </w:r>
      <w:proofErr w:type="spellEnd"/>
      <w:r w:rsidR="009C14F0" w:rsidRPr="002B4FC4">
        <w:rPr>
          <w:rFonts w:ascii="Times New Roman" w:hAnsi="Times New Roman" w:cs="Times New Roman"/>
          <w:sz w:val="24"/>
          <w:szCs w:val="24"/>
          <w:lang w:val="pt-BR"/>
        </w:rPr>
        <w:t xml:space="preserve"> </w:t>
      </w:r>
      <w:proofErr w:type="spellStart"/>
      <w:r w:rsidR="009C14F0" w:rsidRPr="002B4FC4">
        <w:rPr>
          <w:rFonts w:ascii="Times New Roman" w:hAnsi="Times New Roman" w:cs="Times New Roman"/>
          <w:sz w:val="24"/>
          <w:szCs w:val="24"/>
          <w:lang w:val="pt-BR"/>
        </w:rPr>
        <w:t>Development</w:t>
      </w:r>
      <w:proofErr w:type="spellEnd"/>
      <w:r w:rsidR="009C14F0" w:rsidRPr="002B4FC4">
        <w:rPr>
          <w:rFonts w:ascii="Times New Roman" w:hAnsi="Times New Roman" w:cs="Times New Roman"/>
          <w:sz w:val="24"/>
          <w:szCs w:val="24"/>
          <w:lang w:val="pt-BR"/>
        </w:rPr>
        <w:t xml:space="preserve"> </w:t>
      </w:r>
      <w:proofErr w:type="spellStart"/>
      <w:r w:rsidR="009C14F0" w:rsidRPr="002B4FC4">
        <w:rPr>
          <w:rFonts w:ascii="Times New Roman" w:hAnsi="Times New Roman" w:cs="Times New Roman"/>
          <w:sz w:val="24"/>
          <w:szCs w:val="24"/>
          <w:lang w:val="pt-BR"/>
        </w:rPr>
        <w:t>Studies</w:t>
      </w:r>
      <w:proofErr w:type="spellEnd"/>
      <w:r w:rsidR="009C14F0" w:rsidRPr="002B4FC4">
        <w:rPr>
          <w:rFonts w:ascii="Times New Roman" w:hAnsi="Times New Roman" w:cs="Times New Roman"/>
          <w:sz w:val="24"/>
          <w:szCs w:val="24"/>
          <w:lang w:val="pt-BR"/>
        </w:rPr>
        <w:t xml:space="preserve"> da </w:t>
      </w:r>
      <w:proofErr w:type="spellStart"/>
      <w:r w:rsidR="009C14F0" w:rsidRPr="002B4FC4">
        <w:rPr>
          <w:rFonts w:ascii="Times New Roman" w:hAnsi="Times New Roman" w:cs="Times New Roman"/>
          <w:sz w:val="24"/>
          <w:szCs w:val="24"/>
          <w:lang w:val="pt-BR"/>
        </w:rPr>
        <w:t>School</w:t>
      </w:r>
      <w:proofErr w:type="spellEnd"/>
      <w:r w:rsidR="009C14F0" w:rsidRPr="002B4FC4">
        <w:rPr>
          <w:rFonts w:ascii="Times New Roman" w:hAnsi="Times New Roman" w:cs="Times New Roman"/>
          <w:sz w:val="24"/>
          <w:szCs w:val="24"/>
          <w:lang w:val="pt-BR"/>
        </w:rPr>
        <w:t xml:space="preserve"> </w:t>
      </w:r>
      <w:proofErr w:type="spellStart"/>
      <w:r w:rsidR="009C14F0" w:rsidRPr="002B4FC4">
        <w:rPr>
          <w:rFonts w:ascii="Times New Roman" w:hAnsi="Times New Roman" w:cs="Times New Roman"/>
          <w:sz w:val="24"/>
          <w:szCs w:val="24"/>
          <w:lang w:val="pt-BR"/>
        </w:rPr>
        <w:t>of</w:t>
      </w:r>
      <w:proofErr w:type="spellEnd"/>
      <w:r w:rsidR="009C14F0" w:rsidRPr="002B4FC4">
        <w:rPr>
          <w:rFonts w:ascii="Times New Roman" w:hAnsi="Times New Roman" w:cs="Times New Roman"/>
          <w:sz w:val="24"/>
          <w:szCs w:val="24"/>
          <w:lang w:val="pt-BR"/>
        </w:rPr>
        <w:t xml:space="preserve"> Oriental </w:t>
      </w:r>
      <w:proofErr w:type="spellStart"/>
      <w:r w:rsidR="009C14F0" w:rsidRPr="002B4FC4">
        <w:rPr>
          <w:rFonts w:ascii="Times New Roman" w:hAnsi="Times New Roman" w:cs="Times New Roman"/>
          <w:sz w:val="24"/>
          <w:szCs w:val="24"/>
          <w:lang w:val="pt-BR"/>
        </w:rPr>
        <w:t>and</w:t>
      </w:r>
      <w:proofErr w:type="spellEnd"/>
      <w:r w:rsidR="009C14F0" w:rsidRPr="002B4FC4">
        <w:rPr>
          <w:rFonts w:ascii="Times New Roman" w:hAnsi="Times New Roman" w:cs="Times New Roman"/>
          <w:sz w:val="24"/>
          <w:szCs w:val="24"/>
          <w:lang w:val="pt-BR"/>
        </w:rPr>
        <w:t xml:space="preserve"> </w:t>
      </w:r>
      <w:proofErr w:type="spellStart"/>
      <w:r w:rsidR="009C14F0" w:rsidRPr="002B4FC4">
        <w:rPr>
          <w:rFonts w:ascii="Times New Roman" w:hAnsi="Times New Roman" w:cs="Times New Roman"/>
          <w:sz w:val="24"/>
          <w:szCs w:val="24"/>
          <w:lang w:val="pt-BR"/>
        </w:rPr>
        <w:t>African</w:t>
      </w:r>
      <w:proofErr w:type="spellEnd"/>
      <w:r w:rsidR="009C14F0" w:rsidRPr="002B4FC4">
        <w:rPr>
          <w:rFonts w:ascii="Times New Roman" w:hAnsi="Times New Roman" w:cs="Times New Roman"/>
          <w:sz w:val="24"/>
          <w:szCs w:val="24"/>
          <w:lang w:val="pt-BR"/>
        </w:rPr>
        <w:t xml:space="preserve"> </w:t>
      </w:r>
      <w:proofErr w:type="spellStart"/>
      <w:r w:rsidR="009C14F0" w:rsidRPr="002B4FC4">
        <w:rPr>
          <w:rFonts w:ascii="Times New Roman" w:hAnsi="Times New Roman" w:cs="Times New Roman"/>
          <w:sz w:val="24"/>
          <w:szCs w:val="24"/>
          <w:lang w:val="pt-BR"/>
        </w:rPr>
        <w:t>Studies</w:t>
      </w:r>
      <w:proofErr w:type="spellEnd"/>
      <w:r w:rsidR="009C14F0" w:rsidRPr="002B4FC4">
        <w:rPr>
          <w:rFonts w:ascii="Times New Roman" w:hAnsi="Times New Roman" w:cs="Times New Roman"/>
          <w:sz w:val="24"/>
          <w:szCs w:val="24"/>
          <w:lang w:val="pt-BR"/>
        </w:rPr>
        <w:t xml:space="preserve"> </w:t>
      </w:r>
      <w:proofErr w:type="spellStart"/>
      <w:r w:rsidR="009C14F0" w:rsidRPr="002B4FC4">
        <w:rPr>
          <w:rFonts w:ascii="Times New Roman" w:hAnsi="Times New Roman" w:cs="Times New Roman"/>
          <w:sz w:val="24"/>
          <w:szCs w:val="24"/>
          <w:lang w:val="pt-BR"/>
        </w:rPr>
        <w:t>University</w:t>
      </w:r>
      <w:proofErr w:type="spellEnd"/>
      <w:r w:rsidR="009C14F0" w:rsidRPr="002B4FC4">
        <w:rPr>
          <w:rFonts w:ascii="Times New Roman" w:hAnsi="Times New Roman" w:cs="Times New Roman"/>
          <w:sz w:val="24"/>
          <w:szCs w:val="24"/>
          <w:lang w:val="pt-BR"/>
        </w:rPr>
        <w:t xml:space="preserve"> </w:t>
      </w:r>
      <w:proofErr w:type="spellStart"/>
      <w:r w:rsidR="009C14F0" w:rsidRPr="002B4FC4">
        <w:rPr>
          <w:rFonts w:ascii="Times New Roman" w:hAnsi="Times New Roman" w:cs="Times New Roman"/>
          <w:sz w:val="24"/>
          <w:szCs w:val="24"/>
          <w:lang w:val="pt-BR"/>
        </w:rPr>
        <w:t>of</w:t>
      </w:r>
      <w:proofErr w:type="spellEnd"/>
      <w:r w:rsidR="009C14F0" w:rsidRPr="002B4FC4">
        <w:rPr>
          <w:rFonts w:ascii="Times New Roman" w:hAnsi="Times New Roman" w:cs="Times New Roman"/>
          <w:sz w:val="24"/>
          <w:szCs w:val="24"/>
          <w:lang w:val="pt-BR"/>
        </w:rPr>
        <w:t xml:space="preserve"> London</w:t>
      </w:r>
      <w:r w:rsidR="009C14F0">
        <w:rPr>
          <w:rFonts w:ascii="Times New Roman" w:hAnsi="Times New Roman" w:cs="Times New Roman"/>
          <w:sz w:val="24"/>
          <w:szCs w:val="24"/>
          <w:lang w:val="pt-BR"/>
        </w:rPr>
        <w:t xml:space="preserve">, dia </w:t>
      </w:r>
      <w:r w:rsidRPr="002B4FC4">
        <w:rPr>
          <w:rFonts w:ascii="Times New Roman" w:hAnsi="Times New Roman" w:cs="Times New Roman"/>
          <w:sz w:val="24"/>
          <w:szCs w:val="24"/>
          <w:lang w:val="pt-BR"/>
        </w:rPr>
        <w:t>12 de Março de 2018</w:t>
      </w:r>
      <w:r w:rsidR="009C14F0">
        <w:rPr>
          <w:rFonts w:ascii="Times New Roman" w:hAnsi="Times New Roman" w:cs="Times New Roman"/>
          <w:sz w:val="24"/>
          <w:szCs w:val="24"/>
          <w:lang w:val="pt-BR"/>
        </w:rPr>
        <w:t>;</w:t>
      </w:r>
    </w:p>
    <w:p w14:paraId="2285E8A3" w14:textId="77777777" w:rsidR="009C14F0" w:rsidRDefault="009C14F0" w:rsidP="009C14F0">
      <w:pPr>
        <w:spacing w:after="0" w:line="240" w:lineRule="auto"/>
        <w:rPr>
          <w:rFonts w:ascii="Times New Roman" w:hAnsi="Times New Roman" w:cs="Times New Roman"/>
          <w:sz w:val="24"/>
          <w:szCs w:val="24"/>
          <w:lang w:val="pt-BR"/>
        </w:rPr>
      </w:pPr>
    </w:p>
    <w:p w14:paraId="752B0C3B" w14:textId="77777777" w:rsidR="009C14F0" w:rsidRPr="00117B92" w:rsidRDefault="009C14F0" w:rsidP="009C14F0">
      <w:pPr>
        <w:spacing w:after="0" w:line="240" w:lineRule="auto"/>
        <w:rPr>
          <w:rFonts w:ascii="Times New Roman" w:hAnsi="Times New Roman" w:cs="Times New Roman"/>
          <w:sz w:val="24"/>
          <w:szCs w:val="24"/>
        </w:rPr>
      </w:pPr>
      <w:proofErr w:type="spellStart"/>
      <w:r w:rsidRPr="009C14F0">
        <w:rPr>
          <w:rFonts w:ascii="Times New Roman" w:hAnsi="Times New Roman" w:cs="Times New Roman"/>
          <w:sz w:val="24"/>
          <w:szCs w:val="24"/>
        </w:rPr>
        <w:t>C</w:t>
      </w:r>
      <w:r w:rsidR="002B4FC4" w:rsidRPr="009C14F0">
        <w:rPr>
          <w:rFonts w:ascii="Times New Roman" w:hAnsi="Times New Roman" w:cs="Times New Roman"/>
          <w:sz w:val="24"/>
          <w:szCs w:val="24"/>
        </w:rPr>
        <w:t>om</w:t>
      </w:r>
      <w:r w:rsidRPr="009C14F0">
        <w:rPr>
          <w:rFonts w:ascii="Times New Roman" w:hAnsi="Times New Roman" w:cs="Times New Roman"/>
          <w:sz w:val="24"/>
          <w:szCs w:val="24"/>
        </w:rPr>
        <w:t>p</w:t>
      </w:r>
      <w:r>
        <w:rPr>
          <w:rFonts w:ascii="Times New Roman" w:hAnsi="Times New Roman" w:cs="Times New Roman"/>
          <w:sz w:val="24"/>
          <w:szCs w:val="24"/>
        </w:rPr>
        <w:t>ro</w:t>
      </w:r>
      <w:r w:rsidR="002B4FC4" w:rsidRPr="009C14F0">
        <w:rPr>
          <w:rFonts w:ascii="Times New Roman" w:hAnsi="Times New Roman" w:cs="Times New Roman"/>
          <w:sz w:val="24"/>
          <w:szCs w:val="24"/>
        </w:rPr>
        <w:t>vante</w:t>
      </w:r>
      <w:proofErr w:type="spellEnd"/>
      <w:r w:rsidR="002B4FC4" w:rsidRPr="009C14F0">
        <w:rPr>
          <w:rFonts w:ascii="Times New Roman" w:hAnsi="Times New Roman" w:cs="Times New Roman"/>
          <w:sz w:val="24"/>
          <w:szCs w:val="24"/>
        </w:rPr>
        <w:t xml:space="preserve"> 4 - </w:t>
      </w:r>
      <w:proofErr w:type="spellStart"/>
      <w:r w:rsidR="002B4FC4" w:rsidRPr="009C14F0">
        <w:rPr>
          <w:rFonts w:ascii="Times New Roman" w:hAnsi="Times New Roman" w:cs="Times New Roman"/>
          <w:sz w:val="24"/>
          <w:szCs w:val="24"/>
        </w:rPr>
        <w:t>Apresentação</w:t>
      </w:r>
      <w:proofErr w:type="spellEnd"/>
      <w:r w:rsidR="002B4FC4" w:rsidRPr="009C14F0">
        <w:rPr>
          <w:rFonts w:ascii="Times New Roman" w:hAnsi="Times New Roman" w:cs="Times New Roman"/>
          <w:sz w:val="24"/>
          <w:szCs w:val="24"/>
        </w:rPr>
        <w:t xml:space="preserve"> do </w:t>
      </w:r>
      <w:proofErr w:type="spellStart"/>
      <w:r w:rsidR="002B4FC4" w:rsidRPr="009C14F0">
        <w:rPr>
          <w:rFonts w:ascii="Times New Roman" w:hAnsi="Times New Roman" w:cs="Times New Roman"/>
          <w:sz w:val="24"/>
          <w:szCs w:val="24"/>
        </w:rPr>
        <w:t>trabalho</w:t>
      </w:r>
      <w:proofErr w:type="spellEnd"/>
      <w:r w:rsidR="002B4FC4" w:rsidRPr="009C14F0">
        <w:rPr>
          <w:rFonts w:ascii="Times New Roman" w:hAnsi="Times New Roman" w:cs="Times New Roman"/>
          <w:sz w:val="24"/>
          <w:szCs w:val="24"/>
        </w:rPr>
        <w:t xml:space="preserve"> </w:t>
      </w:r>
      <w:proofErr w:type="spellStart"/>
      <w:r w:rsidR="002B4FC4" w:rsidRPr="009C14F0">
        <w:rPr>
          <w:rFonts w:ascii="Times New Roman" w:hAnsi="Times New Roman" w:cs="Times New Roman"/>
          <w:sz w:val="24"/>
          <w:szCs w:val="24"/>
        </w:rPr>
        <w:t>intitulado</w:t>
      </w:r>
      <w:proofErr w:type="spellEnd"/>
      <w:r w:rsidR="002B4FC4" w:rsidRPr="009C14F0">
        <w:rPr>
          <w:rFonts w:ascii="Times New Roman" w:hAnsi="Times New Roman" w:cs="Times New Roman"/>
          <w:sz w:val="24"/>
          <w:szCs w:val="24"/>
        </w:rPr>
        <w:t xml:space="preserve"> “The international political economy of intellectual property: mapping the asymmetries between countries and regions” no workshop “Rising Powers in 2018” </w:t>
      </w:r>
      <w:proofErr w:type="spellStart"/>
      <w:r w:rsidR="002B4FC4" w:rsidRPr="009C14F0">
        <w:rPr>
          <w:rFonts w:ascii="Times New Roman" w:hAnsi="Times New Roman" w:cs="Times New Roman"/>
          <w:sz w:val="24"/>
          <w:szCs w:val="24"/>
        </w:rPr>
        <w:t>dia</w:t>
      </w:r>
      <w:proofErr w:type="spellEnd"/>
      <w:r w:rsidR="002B4FC4" w:rsidRPr="009C14F0">
        <w:rPr>
          <w:rFonts w:ascii="Times New Roman" w:hAnsi="Times New Roman" w:cs="Times New Roman"/>
          <w:sz w:val="24"/>
          <w:szCs w:val="24"/>
        </w:rPr>
        <w:t xml:space="preserve"> 23 de Abril de 2018. </w:t>
      </w:r>
      <w:r w:rsidR="002B4FC4" w:rsidRPr="00117B92">
        <w:rPr>
          <w:rFonts w:ascii="Times New Roman" w:hAnsi="Times New Roman" w:cs="Times New Roman"/>
          <w:sz w:val="24"/>
          <w:szCs w:val="24"/>
        </w:rPr>
        <w:t xml:space="preserve">O workshop </w:t>
      </w:r>
      <w:proofErr w:type="spellStart"/>
      <w:r w:rsidR="002B4FC4" w:rsidRPr="00117B92">
        <w:rPr>
          <w:rFonts w:ascii="Times New Roman" w:hAnsi="Times New Roman" w:cs="Times New Roman"/>
          <w:sz w:val="24"/>
          <w:szCs w:val="24"/>
        </w:rPr>
        <w:t>foi</w:t>
      </w:r>
      <w:proofErr w:type="spellEnd"/>
      <w:r w:rsidR="002B4FC4" w:rsidRPr="00117B92">
        <w:rPr>
          <w:rFonts w:ascii="Times New Roman" w:hAnsi="Times New Roman" w:cs="Times New Roman"/>
          <w:sz w:val="24"/>
          <w:szCs w:val="24"/>
        </w:rPr>
        <w:t xml:space="preserve"> </w:t>
      </w:r>
      <w:proofErr w:type="spellStart"/>
      <w:r w:rsidR="002B4FC4" w:rsidRPr="00117B92">
        <w:rPr>
          <w:rFonts w:ascii="Times New Roman" w:hAnsi="Times New Roman" w:cs="Times New Roman"/>
          <w:sz w:val="24"/>
          <w:szCs w:val="24"/>
        </w:rPr>
        <w:t>promovido</w:t>
      </w:r>
      <w:proofErr w:type="spellEnd"/>
      <w:r w:rsidR="002B4FC4" w:rsidRPr="00117B92">
        <w:rPr>
          <w:rFonts w:ascii="Times New Roman" w:hAnsi="Times New Roman" w:cs="Times New Roman"/>
          <w:sz w:val="24"/>
          <w:szCs w:val="24"/>
        </w:rPr>
        <w:t xml:space="preserve"> </w:t>
      </w:r>
      <w:proofErr w:type="spellStart"/>
      <w:r w:rsidR="002B4FC4" w:rsidRPr="00117B92">
        <w:rPr>
          <w:rFonts w:ascii="Times New Roman" w:hAnsi="Times New Roman" w:cs="Times New Roman"/>
          <w:sz w:val="24"/>
          <w:szCs w:val="24"/>
        </w:rPr>
        <w:t>pelo</w:t>
      </w:r>
      <w:proofErr w:type="spellEnd"/>
      <w:r w:rsidR="002B4FC4" w:rsidRPr="00117B92">
        <w:rPr>
          <w:rFonts w:ascii="Times New Roman" w:hAnsi="Times New Roman" w:cs="Times New Roman"/>
          <w:sz w:val="24"/>
          <w:szCs w:val="24"/>
        </w:rPr>
        <w:t xml:space="preserve"> </w:t>
      </w:r>
      <w:proofErr w:type="spellStart"/>
      <w:r w:rsidR="002B4FC4" w:rsidRPr="00117B92">
        <w:rPr>
          <w:rFonts w:ascii="Times New Roman" w:hAnsi="Times New Roman" w:cs="Times New Roman"/>
          <w:sz w:val="24"/>
          <w:szCs w:val="24"/>
        </w:rPr>
        <w:t>grupo</w:t>
      </w:r>
      <w:proofErr w:type="spellEnd"/>
      <w:r w:rsidR="002B4FC4" w:rsidRPr="00117B92">
        <w:rPr>
          <w:rFonts w:ascii="Times New Roman" w:hAnsi="Times New Roman" w:cs="Times New Roman"/>
          <w:sz w:val="24"/>
          <w:szCs w:val="24"/>
        </w:rPr>
        <w:t xml:space="preserve"> “Rising Powers Study Group” que é parte da “Development Studies Association”</w:t>
      </w:r>
      <w:r w:rsidRPr="00117B92">
        <w:rPr>
          <w:rFonts w:ascii="Times New Roman" w:hAnsi="Times New Roman" w:cs="Times New Roman"/>
          <w:sz w:val="24"/>
          <w:szCs w:val="24"/>
        </w:rPr>
        <w:t>;</w:t>
      </w:r>
    </w:p>
    <w:p w14:paraId="014D8510" w14:textId="6E0FF4B1" w:rsidR="002B4FC4" w:rsidRPr="00117B92" w:rsidRDefault="002B4FC4" w:rsidP="009C14F0">
      <w:pPr>
        <w:spacing w:after="0" w:line="240" w:lineRule="auto"/>
        <w:rPr>
          <w:rFonts w:ascii="Times New Roman" w:hAnsi="Times New Roman" w:cs="Times New Roman"/>
          <w:sz w:val="24"/>
          <w:szCs w:val="24"/>
        </w:rPr>
      </w:pPr>
      <w:r w:rsidRPr="00117B92">
        <w:rPr>
          <w:rFonts w:ascii="Times New Roman" w:hAnsi="Times New Roman" w:cs="Times New Roman"/>
          <w:sz w:val="24"/>
          <w:szCs w:val="24"/>
        </w:rPr>
        <w:t xml:space="preserve"> </w:t>
      </w:r>
    </w:p>
    <w:p w14:paraId="1E8BF05D" w14:textId="255C2ABC" w:rsidR="002B4FC4" w:rsidRPr="00117B92" w:rsidRDefault="002B4FC4" w:rsidP="009C14F0">
      <w:pPr>
        <w:spacing w:after="0" w:line="240" w:lineRule="auto"/>
        <w:rPr>
          <w:rFonts w:ascii="Times New Roman" w:hAnsi="Times New Roman" w:cs="Times New Roman"/>
          <w:sz w:val="24"/>
          <w:szCs w:val="24"/>
        </w:rPr>
      </w:pPr>
      <w:proofErr w:type="spellStart"/>
      <w:r w:rsidRPr="00117B92">
        <w:rPr>
          <w:rFonts w:ascii="Times New Roman" w:hAnsi="Times New Roman" w:cs="Times New Roman"/>
          <w:sz w:val="24"/>
          <w:szCs w:val="24"/>
        </w:rPr>
        <w:t>C</w:t>
      </w:r>
      <w:r w:rsidR="009C14F0" w:rsidRPr="00117B92">
        <w:rPr>
          <w:rFonts w:ascii="Times New Roman" w:hAnsi="Times New Roman" w:cs="Times New Roman"/>
          <w:sz w:val="24"/>
          <w:szCs w:val="24"/>
        </w:rPr>
        <w:t>omprovante</w:t>
      </w:r>
      <w:proofErr w:type="spellEnd"/>
      <w:r w:rsidR="009C14F0" w:rsidRPr="00117B92">
        <w:rPr>
          <w:rFonts w:ascii="Times New Roman" w:hAnsi="Times New Roman" w:cs="Times New Roman"/>
          <w:sz w:val="24"/>
          <w:szCs w:val="24"/>
        </w:rPr>
        <w:t xml:space="preserve"> </w:t>
      </w:r>
      <w:r w:rsidRPr="00117B92">
        <w:rPr>
          <w:rFonts w:ascii="Times New Roman" w:hAnsi="Times New Roman" w:cs="Times New Roman"/>
          <w:sz w:val="24"/>
          <w:szCs w:val="24"/>
        </w:rPr>
        <w:t xml:space="preserve">5 - </w:t>
      </w:r>
      <w:proofErr w:type="spellStart"/>
      <w:r w:rsidRPr="00117B92">
        <w:rPr>
          <w:rFonts w:ascii="Times New Roman" w:hAnsi="Times New Roman" w:cs="Times New Roman"/>
          <w:sz w:val="24"/>
          <w:szCs w:val="24"/>
        </w:rPr>
        <w:t>Apresentação</w:t>
      </w:r>
      <w:proofErr w:type="spellEnd"/>
      <w:r w:rsidRPr="00117B92">
        <w:rPr>
          <w:rFonts w:ascii="Times New Roman" w:hAnsi="Times New Roman" w:cs="Times New Roman"/>
          <w:sz w:val="24"/>
          <w:szCs w:val="24"/>
        </w:rPr>
        <w:t xml:space="preserve"> do </w:t>
      </w:r>
      <w:proofErr w:type="spellStart"/>
      <w:r w:rsidRPr="00117B92">
        <w:rPr>
          <w:rFonts w:ascii="Times New Roman" w:hAnsi="Times New Roman" w:cs="Times New Roman"/>
          <w:sz w:val="24"/>
          <w:szCs w:val="24"/>
        </w:rPr>
        <w:t>trabalho</w:t>
      </w:r>
      <w:proofErr w:type="spellEnd"/>
      <w:r w:rsidRPr="00117B92">
        <w:rPr>
          <w:rFonts w:ascii="Times New Roman" w:hAnsi="Times New Roman" w:cs="Times New Roman"/>
          <w:sz w:val="24"/>
          <w:szCs w:val="24"/>
        </w:rPr>
        <w:t xml:space="preserve"> </w:t>
      </w:r>
      <w:proofErr w:type="spellStart"/>
      <w:r w:rsidRPr="00117B92">
        <w:rPr>
          <w:rFonts w:ascii="Times New Roman" w:hAnsi="Times New Roman" w:cs="Times New Roman"/>
          <w:sz w:val="24"/>
          <w:szCs w:val="24"/>
        </w:rPr>
        <w:t>intitulado</w:t>
      </w:r>
      <w:proofErr w:type="spellEnd"/>
      <w:r w:rsidRPr="00117B92">
        <w:rPr>
          <w:rFonts w:ascii="Times New Roman" w:hAnsi="Times New Roman" w:cs="Times New Roman"/>
          <w:sz w:val="24"/>
          <w:szCs w:val="24"/>
        </w:rPr>
        <w:t xml:space="preserve"> “International flows of intellectual property: highlighting the asymmetries among countries and regions” no Young Scholars Initiative Workshop “Political Economy of Capitalism” </w:t>
      </w:r>
      <w:proofErr w:type="spellStart"/>
      <w:r w:rsidRPr="00117B92">
        <w:rPr>
          <w:rFonts w:ascii="Times New Roman" w:hAnsi="Times New Roman" w:cs="Times New Roman"/>
          <w:sz w:val="24"/>
          <w:szCs w:val="24"/>
        </w:rPr>
        <w:t>realizado</w:t>
      </w:r>
      <w:proofErr w:type="spellEnd"/>
      <w:r w:rsidRPr="00117B92">
        <w:rPr>
          <w:rFonts w:ascii="Times New Roman" w:hAnsi="Times New Roman" w:cs="Times New Roman"/>
          <w:sz w:val="24"/>
          <w:szCs w:val="24"/>
        </w:rPr>
        <w:t xml:space="preserve"> </w:t>
      </w:r>
      <w:proofErr w:type="spellStart"/>
      <w:r w:rsidRPr="00117B92">
        <w:rPr>
          <w:rFonts w:ascii="Times New Roman" w:hAnsi="Times New Roman" w:cs="Times New Roman"/>
          <w:sz w:val="24"/>
          <w:szCs w:val="24"/>
        </w:rPr>
        <w:t>na</w:t>
      </w:r>
      <w:proofErr w:type="spellEnd"/>
      <w:r w:rsidRPr="00117B92">
        <w:rPr>
          <w:rFonts w:ascii="Times New Roman" w:hAnsi="Times New Roman" w:cs="Times New Roman"/>
          <w:sz w:val="24"/>
          <w:szCs w:val="24"/>
        </w:rPr>
        <w:t xml:space="preserve"> </w:t>
      </w:r>
      <w:proofErr w:type="spellStart"/>
      <w:r w:rsidRPr="00117B92">
        <w:rPr>
          <w:rFonts w:ascii="Times New Roman" w:hAnsi="Times New Roman" w:cs="Times New Roman"/>
          <w:sz w:val="24"/>
          <w:szCs w:val="24"/>
        </w:rPr>
        <w:t>Universidade</w:t>
      </w:r>
      <w:proofErr w:type="spellEnd"/>
      <w:r w:rsidRPr="00117B92">
        <w:rPr>
          <w:rFonts w:ascii="Times New Roman" w:hAnsi="Times New Roman" w:cs="Times New Roman"/>
          <w:sz w:val="24"/>
          <w:szCs w:val="24"/>
        </w:rPr>
        <w:t xml:space="preserve"> de </w:t>
      </w:r>
      <w:proofErr w:type="spellStart"/>
      <w:r w:rsidRPr="00117B92">
        <w:rPr>
          <w:rFonts w:ascii="Times New Roman" w:hAnsi="Times New Roman" w:cs="Times New Roman"/>
          <w:sz w:val="24"/>
          <w:szCs w:val="24"/>
        </w:rPr>
        <w:t>Genebra</w:t>
      </w:r>
      <w:proofErr w:type="spellEnd"/>
      <w:r w:rsidRPr="00117B92">
        <w:rPr>
          <w:rFonts w:ascii="Times New Roman" w:hAnsi="Times New Roman" w:cs="Times New Roman"/>
          <w:sz w:val="24"/>
          <w:szCs w:val="24"/>
        </w:rPr>
        <w:t xml:space="preserve"> entre </w:t>
      </w:r>
      <w:proofErr w:type="spellStart"/>
      <w:r w:rsidRPr="00117B92">
        <w:rPr>
          <w:rFonts w:ascii="Times New Roman" w:hAnsi="Times New Roman" w:cs="Times New Roman"/>
          <w:sz w:val="24"/>
          <w:szCs w:val="24"/>
        </w:rPr>
        <w:t>os</w:t>
      </w:r>
      <w:proofErr w:type="spellEnd"/>
      <w:r w:rsidRPr="00117B92">
        <w:rPr>
          <w:rFonts w:ascii="Times New Roman" w:hAnsi="Times New Roman" w:cs="Times New Roman"/>
          <w:sz w:val="24"/>
          <w:szCs w:val="24"/>
        </w:rPr>
        <w:t xml:space="preserve"> </w:t>
      </w:r>
      <w:proofErr w:type="spellStart"/>
      <w:r w:rsidRPr="00117B92">
        <w:rPr>
          <w:rFonts w:ascii="Times New Roman" w:hAnsi="Times New Roman" w:cs="Times New Roman"/>
          <w:sz w:val="24"/>
          <w:szCs w:val="24"/>
        </w:rPr>
        <w:t>dias</w:t>
      </w:r>
      <w:proofErr w:type="spellEnd"/>
      <w:r w:rsidRPr="00117B92">
        <w:rPr>
          <w:rFonts w:ascii="Times New Roman" w:hAnsi="Times New Roman" w:cs="Times New Roman"/>
          <w:sz w:val="24"/>
          <w:szCs w:val="24"/>
        </w:rPr>
        <w:t xml:space="preserve"> 27 e 29​ de Agosto de 2018 </w:t>
      </w:r>
      <w:proofErr w:type="spellStart"/>
      <w:r w:rsidRPr="00117B92">
        <w:rPr>
          <w:rFonts w:ascii="Times New Roman" w:hAnsi="Times New Roman" w:cs="Times New Roman"/>
          <w:sz w:val="24"/>
          <w:szCs w:val="24"/>
        </w:rPr>
        <w:t>promovido</w:t>
      </w:r>
      <w:proofErr w:type="spellEnd"/>
      <w:r w:rsidRPr="00117B92">
        <w:rPr>
          <w:rFonts w:ascii="Times New Roman" w:hAnsi="Times New Roman" w:cs="Times New Roman"/>
          <w:sz w:val="24"/>
          <w:szCs w:val="24"/>
        </w:rPr>
        <w:t xml:space="preserve"> e </w:t>
      </w:r>
      <w:proofErr w:type="spellStart"/>
      <w:r w:rsidRPr="00117B92">
        <w:rPr>
          <w:rFonts w:ascii="Times New Roman" w:hAnsi="Times New Roman" w:cs="Times New Roman"/>
          <w:sz w:val="24"/>
          <w:szCs w:val="24"/>
        </w:rPr>
        <w:t>patrocinado</w:t>
      </w:r>
      <w:proofErr w:type="spellEnd"/>
      <w:r w:rsidRPr="00117B92">
        <w:rPr>
          <w:rFonts w:ascii="Times New Roman" w:hAnsi="Times New Roman" w:cs="Times New Roman"/>
          <w:sz w:val="24"/>
          <w:szCs w:val="24"/>
        </w:rPr>
        <w:t xml:space="preserve"> </w:t>
      </w:r>
      <w:proofErr w:type="spellStart"/>
      <w:r w:rsidRPr="00117B92">
        <w:rPr>
          <w:rFonts w:ascii="Times New Roman" w:hAnsi="Times New Roman" w:cs="Times New Roman"/>
          <w:sz w:val="24"/>
          <w:szCs w:val="24"/>
        </w:rPr>
        <w:t>pelo</w:t>
      </w:r>
      <w:proofErr w:type="spellEnd"/>
      <w:r w:rsidRPr="00117B92">
        <w:rPr>
          <w:rFonts w:ascii="Times New Roman" w:hAnsi="Times New Roman" w:cs="Times New Roman"/>
          <w:sz w:val="24"/>
          <w:szCs w:val="24"/>
        </w:rPr>
        <w:t xml:space="preserve"> Institute for New Economic Thinking</w:t>
      </w:r>
      <w:r w:rsidR="009C14F0" w:rsidRPr="00117B92">
        <w:rPr>
          <w:rFonts w:ascii="Times New Roman" w:hAnsi="Times New Roman" w:cs="Times New Roman"/>
          <w:sz w:val="24"/>
          <w:szCs w:val="24"/>
        </w:rPr>
        <w:t>;</w:t>
      </w:r>
    </w:p>
    <w:p w14:paraId="55B8B31C" w14:textId="24F85525" w:rsidR="002B4FC4" w:rsidRPr="00117B92" w:rsidRDefault="002B4FC4" w:rsidP="00574DA4">
      <w:pPr>
        <w:spacing w:after="0" w:line="240" w:lineRule="auto"/>
        <w:rPr>
          <w:rFonts w:ascii="Times New Roman" w:hAnsi="Times New Roman" w:cs="Times New Roman"/>
          <w:sz w:val="24"/>
          <w:szCs w:val="24"/>
        </w:rPr>
      </w:pPr>
    </w:p>
    <w:sectPr w:rsidR="002B4FC4" w:rsidRPr="00117B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5E48B" w14:textId="77777777" w:rsidR="00896EA6" w:rsidRDefault="00896EA6" w:rsidP="00F16D95">
      <w:pPr>
        <w:spacing w:after="0" w:line="240" w:lineRule="auto"/>
      </w:pPr>
      <w:r>
        <w:separator/>
      </w:r>
    </w:p>
  </w:endnote>
  <w:endnote w:type="continuationSeparator" w:id="0">
    <w:p w14:paraId="22665CDE" w14:textId="77777777" w:rsidR="00896EA6" w:rsidRDefault="00896EA6" w:rsidP="00F16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29A2B" w14:textId="77777777" w:rsidR="00896EA6" w:rsidRDefault="00896EA6" w:rsidP="00F16D95">
      <w:pPr>
        <w:spacing w:after="0" w:line="240" w:lineRule="auto"/>
      </w:pPr>
      <w:r>
        <w:separator/>
      </w:r>
    </w:p>
  </w:footnote>
  <w:footnote w:type="continuationSeparator" w:id="0">
    <w:p w14:paraId="7D0DA337" w14:textId="77777777" w:rsidR="00896EA6" w:rsidRDefault="00896EA6" w:rsidP="00F16D95">
      <w:pPr>
        <w:spacing w:after="0" w:line="240" w:lineRule="auto"/>
      </w:pPr>
      <w:r>
        <w:continuationSeparator/>
      </w:r>
    </w:p>
  </w:footnote>
  <w:footnote w:id="1">
    <w:p w14:paraId="69E66544" w14:textId="7474A1C8" w:rsidR="00DA318C" w:rsidRPr="00942A30" w:rsidRDefault="00DA318C" w:rsidP="003C3202">
      <w:pPr>
        <w:pStyle w:val="Textodenotaderodap"/>
        <w:rPr>
          <w:rFonts w:ascii="Times New Roman" w:hAnsi="Times New Roman" w:cs="Times New Roman"/>
          <w:lang w:val="pt-BR"/>
        </w:rPr>
      </w:pPr>
      <w:r w:rsidRPr="00942A30">
        <w:rPr>
          <w:rStyle w:val="Refdenotaderodap"/>
          <w:rFonts w:ascii="Times New Roman" w:hAnsi="Times New Roman" w:cs="Times New Roman"/>
        </w:rPr>
        <w:footnoteRef/>
      </w:r>
      <w:r w:rsidRPr="00942A30">
        <w:rPr>
          <w:rFonts w:ascii="Times New Roman" w:hAnsi="Times New Roman" w:cs="Times New Roman"/>
          <w:lang w:val="pt-BR"/>
        </w:rPr>
        <w:t xml:space="preserve"> A única pesquisa </w:t>
      </w:r>
      <w:r w:rsidR="00226A75" w:rsidRPr="00942A30">
        <w:rPr>
          <w:rFonts w:ascii="Times New Roman" w:hAnsi="Times New Roman" w:cs="Times New Roman"/>
          <w:lang w:val="pt-BR"/>
        </w:rPr>
        <w:t xml:space="preserve">(relatório técnico) </w:t>
      </w:r>
      <w:r w:rsidRPr="00942A30">
        <w:rPr>
          <w:rFonts w:ascii="Times New Roman" w:hAnsi="Times New Roman" w:cs="Times New Roman"/>
          <w:lang w:val="pt-BR"/>
        </w:rPr>
        <w:t xml:space="preserve">identificada que é mais próxima da nossa abordagem foi publicada por </w:t>
      </w:r>
      <w:proofErr w:type="spellStart"/>
      <w:r w:rsidRPr="00942A30">
        <w:rPr>
          <w:rFonts w:ascii="Times New Roman" w:hAnsi="Times New Roman" w:cs="Times New Roman"/>
          <w:lang w:val="pt-BR"/>
        </w:rPr>
        <w:t>Neubig</w:t>
      </w:r>
      <w:proofErr w:type="spellEnd"/>
      <w:r w:rsidRPr="00942A30">
        <w:rPr>
          <w:rFonts w:ascii="Times New Roman" w:hAnsi="Times New Roman" w:cs="Times New Roman"/>
          <w:lang w:val="pt-BR"/>
        </w:rPr>
        <w:t xml:space="preserve"> e </w:t>
      </w:r>
      <w:proofErr w:type="spellStart"/>
      <w:r w:rsidRPr="00942A30">
        <w:rPr>
          <w:rFonts w:ascii="Times New Roman" w:hAnsi="Times New Roman" w:cs="Times New Roman"/>
          <w:lang w:val="pt-BR"/>
        </w:rPr>
        <w:t>Wunsch</w:t>
      </w:r>
      <w:proofErr w:type="spellEnd"/>
      <w:r w:rsidRPr="00942A30">
        <w:rPr>
          <w:rFonts w:ascii="Times New Roman" w:hAnsi="Times New Roman" w:cs="Times New Roman"/>
          <w:lang w:val="pt-BR"/>
        </w:rPr>
        <w:t>-Vincent (2017) no site da O</w:t>
      </w:r>
      <w:r w:rsidR="00226A75" w:rsidRPr="00942A30">
        <w:rPr>
          <w:rFonts w:ascii="Times New Roman" w:hAnsi="Times New Roman" w:cs="Times New Roman"/>
          <w:lang w:val="pt-BR"/>
        </w:rPr>
        <w:t>rganização Mundial da Propriedade intelectual (O</w:t>
      </w:r>
      <w:r w:rsidRPr="00942A30">
        <w:rPr>
          <w:rFonts w:ascii="Times New Roman" w:hAnsi="Times New Roman" w:cs="Times New Roman"/>
          <w:lang w:val="pt-BR"/>
        </w:rPr>
        <w:t>MPI</w:t>
      </w:r>
      <w:r w:rsidR="00226A75" w:rsidRPr="00942A30">
        <w:rPr>
          <w:rFonts w:ascii="Times New Roman" w:hAnsi="Times New Roman" w:cs="Times New Roman"/>
          <w:lang w:val="pt-BR"/>
        </w:rPr>
        <w:t>)</w:t>
      </w:r>
      <w:r w:rsidRPr="00942A30">
        <w:rPr>
          <w:rFonts w:ascii="Times New Roman" w:hAnsi="Times New Roman" w:cs="Times New Roman"/>
          <w:lang w:val="pt-BR"/>
        </w:rPr>
        <w:t>. Eles também usam os dados de balanço de pagamentos relativos aos “serviços de propriedade intelectual” e os agrupam entre grupos de países</w:t>
      </w:r>
      <w:r w:rsidR="00226A75" w:rsidRPr="00942A30">
        <w:rPr>
          <w:rFonts w:ascii="Times New Roman" w:hAnsi="Times New Roman" w:cs="Times New Roman"/>
          <w:lang w:val="pt-BR"/>
        </w:rPr>
        <w:t xml:space="preserve"> (por nível de desenvolvimento e renda)</w:t>
      </w:r>
      <w:r w:rsidRPr="00942A30">
        <w:rPr>
          <w:rFonts w:ascii="Times New Roman" w:hAnsi="Times New Roman" w:cs="Times New Roman"/>
          <w:lang w:val="pt-BR"/>
        </w:rPr>
        <w:t xml:space="preserve">, mas seu objetivo principal foi relacionar esses dados à evasão fiscal. Nosso foco principal é trazer evidências para mostrar possíveis assimetrias entre países e regiões em relação ao comércio de bens e serviços relacionados à PI. Dito isto, ambas as pesquisas provavelmente começaram mais ou menos ao mesmo tempo, tendo </w:t>
      </w:r>
      <w:proofErr w:type="gramStart"/>
      <w:r w:rsidRPr="00942A30">
        <w:rPr>
          <w:rFonts w:ascii="Times New Roman" w:hAnsi="Times New Roman" w:cs="Times New Roman"/>
          <w:lang w:val="pt-BR"/>
        </w:rPr>
        <w:t>ambos atingido</w:t>
      </w:r>
      <w:proofErr w:type="gramEnd"/>
      <w:r w:rsidRPr="00942A30">
        <w:rPr>
          <w:rFonts w:ascii="Times New Roman" w:hAnsi="Times New Roman" w:cs="Times New Roman"/>
          <w:lang w:val="pt-BR"/>
        </w:rPr>
        <w:t xml:space="preserve"> resultados semelhantes no que diz respeito ao comércio transfronteiriço de bens que dependem de PI.</w:t>
      </w:r>
    </w:p>
  </w:footnote>
  <w:footnote w:id="2">
    <w:p w14:paraId="08AA77B5" w14:textId="03DC942F" w:rsidR="00DA318C" w:rsidRPr="00942A30" w:rsidRDefault="00DA318C">
      <w:pPr>
        <w:pStyle w:val="Textodenotaderodap"/>
        <w:rPr>
          <w:rFonts w:ascii="Times New Roman" w:hAnsi="Times New Roman" w:cs="Times New Roman"/>
          <w:lang w:val="pt-BR"/>
        </w:rPr>
      </w:pPr>
      <w:r w:rsidRPr="00942A30">
        <w:rPr>
          <w:rStyle w:val="Refdenotaderodap"/>
          <w:rFonts w:ascii="Times New Roman" w:hAnsi="Times New Roman" w:cs="Times New Roman"/>
        </w:rPr>
        <w:footnoteRef/>
      </w:r>
      <w:r w:rsidRPr="00942A30">
        <w:rPr>
          <w:rFonts w:ascii="Times New Roman" w:hAnsi="Times New Roman" w:cs="Times New Roman"/>
          <w:lang w:val="pt-BR"/>
        </w:rPr>
        <w:t xml:space="preserve"> Há um debate acadêmico em torno da consistência dos dados bilaterais entre países, para tanto ver, por exemplo, </w:t>
      </w:r>
      <w:proofErr w:type="spellStart"/>
      <w:r w:rsidRPr="00942A30">
        <w:rPr>
          <w:rFonts w:ascii="Times New Roman" w:hAnsi="Times New Roman" w:cs="Times New Roman"/>
          <w:lang w:val="pt-BR"/>
        </w:rPr>
        <w:t>Markhonko</w:t>
      </w:r>
      <w:proofErr w:type="spellEnd"/>
      <w:r w:rsidRPr="00942A30">
        <w:rPr>
          <w:rFonts w:ascii="Times New Roman" w:hAnsi="Times New Roman" w:cs="Times New Roman"/>
          <w:lang w:val="pt-BR"/>
        </w:rPr>
        <w:t xml:space="preserve"> (2014). </w:t>
      </w:r>
    </w:p>
  </w:footnote>
  <w:footnote w:id="3">
    <w:p w14:paraId="631EB1D5" w14:textId="6051FC1D" w:rsidR="00DA318C" w:rsidRPr="00942A30" w:rsidRDefault="00DA318C">
      <w:pPr>
        <w:pStyle w:val="Textodenotaderodap"/>
        <w:rPr>
          <w:rFonts w:ascii="Times New Roman" w:hAnsi="Times New Roman" w:cs="Times New Roman"/>
          <w:lang w:val="pt-BR"/>
        </w:rPr>
      </w:pPr>
      <w:r w:rsidRPr="00942A30">
        <w:rPr>
          <w:rStyle w:val="Refdenotaderodap"/>
          <w:rFonts w:ascii="Times New Roman" w:hAnsi="Times New Roman" w:cs="Times New Roman"/>
        </w:rPr>
        <w:footnoteRef/>
      </w:r>
      <w:r w:rsidRPr="00942A30">
        <w:rPr>
          <w:rFonts w:ascii="Times New Roman" w:hAnsi="Times New Roman" w:cs="Times New Roman"/>
          <w:lang w:val="pt-BR"/>
        </w:rPr>
        <w:t xml:space="preserve"> Solicitamos os dados bilaterais da conta “serviços de propriedade intelectual” do Balanço de Pagamentos brasileiro para o Banco Central do Brasil e conseguimos obter apenas os fluxos </w:t>
      </w:r>
      <w:proofErr w:type="gramStart"/>
      <w:r w:rsidRPr="00942A30">
        <w:rPr>
          <w:rFonts w:ascii="Times New Roman" w:hAnsi="Times New Roman" w:cs="Times New Roman"/>
          <w:lang w:val="pt-BR"/>
        </w:rPr>
        <w:t>líquidos (exportações menos importações) desagregado por país</w:t>
      </w:r>
      <w:proofErr w:type="gramEnd"/>
      <w:r w:rsidRPr="00942A30">
        <w:rPr>
          <w:rFonts w:ascii="Times New Roman" w:hAnsi="Times New Roman" w:cs="Times New Roman"/>
          <w:lang w:val="pt-BR"/>
        </w:rPr>
        <w:t xml:space="preserve">. No e-mail o Banco Central do Brasil alega que “por motivo de sigilo, os dados relativo </w:t>
      </w:r>
      <w:proofErr w:type="gramStart"/>
      <w:r w:rsidRPr="00942A30">
        <w:rPr>
          <w:rFonts w:ascii="Times New Roman" w:hAnsi="Times New Roman" w:cs="Times New Roman"/>
          <w:lang w:val="pt-BR"/>
        </w:rPr>
        <w:t>à</w:t>
      </w:r>
      <w:proofErr w:type="gramEnd"/>
      <w:r w:rsidRPr="00942A30">
        <w:rPr>
          <w:rFonts w:ascii="Times New Roman" w:hAnsi="Times New Roman" w:cs="Times New Roman"/>
          <w:lang w:val="pt-BR"/>
        </w:rPr>
        <w:t xml:space="preserve"> créditos ou débitos da conta de “serviços de propriedade intelectual” não podem ser divulgados”.</w:t>
      </w:r>
    </w:p>
  </w:footnote>
  <w:footnote w:id="4">
    <w:p w14:paraId="7193A20D" w14:textId="35B06A7B" w:rsidR="000B0C2B" w:rsidRPr="00942A30" w:rsidRDefault="000B0C2B">
      <w:pPr>
        <w:pStyle w:val="Textodenotaderodap"/>
        <w:rPr>
          <w:rFonts w:ascii="Times New Roman" w:hAnsi="Times New Roman" w:cs="Times New Roman"/>
          <w:lang w:val="pt-BR"/>
        </w:rPr>
      </w:pPr>
      <w:r w:rsidRPr="00942A30">
        <w:rPr>
          <w:rStyle w:val="Refdenotaderodap"/>
          <w:rFonts w:ascii="Times New Roman" w:hAnsi="Times New Roman" w:cs="Times New Roman"/>
        </w:rPr>
        <w:footnoteRef/>
      </w:r>
      <w:r w:rsidRPr="00942A30">
        <w:rPr>
          <w:rFonts w:ascii="Times New Roman" w:hAnsi="Times New Roman" w:cs="Times New Roman"/>
          <w:lang w:val="pt-BR"/>
        </w:rPr>
        <w:t xml:space="preserve"> O UN </w:t>
      </w:r>
      <w:proofErr w:type="spellStart"/>
      <w:r w:rsidRPr="00942A30">
        <w:rPr>
          <w:rFonts w:ascii="Times New Roman" w:hAnsi="Times New Roman" w:cs="Times New Roman"/>
          <w:lang w:val="pt-BR"/>
        </w:rPr>
        <w:t>Comtrade</w:t>
      </w:r>
      <w:proofErr w:type="spellEnd"/>
      <w:r w:rsidRPr="00942A30">
        <w:rPr>
          <w:rFonts w:ascii="Times New Roman" w:hAnsi="Times New Roman" w:cs="Times New Roman"/>
          <w:lang w:val="pt-BR"/>
        </w:rPr>
        <w:t xml:space="preserve"> é um repositório de estatísticas oficiais de comércio internacional e tabelas analíticas relevantes das Nações Unidas. </w:t>
      </w:r>
    </w:p>
  </w:footnote>
  <w:footnote w:id="5">
    <w:p w14:paraId="5599458E" w14:textId="244C2301" w:rsidR="00B32803" w:rsidRPr="00942A30" w:rsidRDefault="00B32803">
      <w:pPr>
        <w:pStyle w:val="Textodenotaderodap"/>
        <w:rPr>
          <w:rFonts w:ascii="Times New Roman" w:hAnsi="Times New Roman" w:cs="Times New Roman"/>
          <w:lang w:val="pt-BR"/>
        </w:rPr>
      </w:pPr>
      <w:r w:rsidRPr="00942A30">
        <w:rPr>
          <w:rStyle w:val="Refdenotaderodap"/>
          <w:rFonts w:ascii="Times New Roman" w:hAnsi="Times New Roman" w:cs="Times New Roman"/>
        </w:rPr>
        <w:footnoteRef/>
      </w:r>
      <w:r w:rsidRPr="00942A30">
        <w:rPr>
          <w:rFonts w:ascii="Times New Roman" w:hAnsi="Times New Roman" w:cs="Times New Roman"/>
          <w:lang w:val="pt-BR"/>
        </w:rPr>
        <w:t xml:space="preserve"> Este </w:t>
      </w:r>
      <w:proofErr w:type="spellStart"/>
      <w:r w:rsidRPr="00942A30">
        <w:rPr>
          <w:rFonts w:ascii="Times New Roman" w:hAnsi="Times New Roman" w:cs="Times New Roman"/>
          <w:lang w:val="pt-BR"/>
        </w:rPr>
        <w:t>working</w:t>
      </w:r>
      <w:proofErr w:type="spellEnd"/>
      <w:r w:rsidRPr="00942A30">
        <w:rPr>
          <w:rFonts w:ascii="Times New Roman" w:hAnsi="Times New Roman" w:cs="Times New Roman"/>
          <w:lang w:val="pt-BR"/>
        </w:rPr>
        <w:t xml:space="preserve"> </w:t>
      </w:r>
      <w:proofErr w:type="spellStart"/>
      <w:r w:rsidRPr="00942A30">
        <w:rPr>
          <w:rFonts w:ascii="Times New Roman" w:hAnsi="Times New Roman" w:cs="Times New Roman"/>
          <w:lang w:val="pt-BR"/>
        </w:rPr>
        <w:t>paper</w:t>
      </w:r>
      <w:proofErr w:type="spellEnd"/>
      <w:r w:rsidRPr="00942A30">
        <w:rPr>
          <w:rFonts w:ascii="Times New Roman" w:hAnsi="Times New Roman" w:cs="Times New Roman"/>
          <w:lang w:val="pt-BR"/>
        </w:rPr>
        <w:t xml:space="preserve"> já foi publicado nos anais de </w:t>
      </w:r>
      <w:proofErr w:type="gramStart"/>
      <w:r w:rsidRPr="00942A30">
        <w:rPr>
          <w:rFonts w:ascii="Times New Roman" w:hAnsi="Times New Roman" w:cs="Times New Roman"/>
          <w:lang w:val="pt-BR"/>
        </w:rPr>
        <w:t>2</w:t>
      </w:r>
      <w:proofErr w:type="gramEnd"/>
      <w:r w:rsidRPr="00942A30">
        <w:rPr>
          <w:rFonts w:ascii="Times New Roman" w:hAnsi="Times New Roman" w:cs="Times New Roman"/>
          <w:lang w:val="pt-BR"/>
        </w:rPr>
        <w:t xml:space="preserve"> encontros acadêmicos e atualmente possui três versões em paralelo. Está aguardando o retorno do coautor para ser encaminhado para a revista acadêmica “</w:t>
      </w:r>
      <w:proofErr w:type="spellStart"/>
      <w:r w:rsidRPr="00942A30">
        <w:rPr>
          <w:rFonts w:ascii="Times New Roman" w:hAnsi="Times New Roman" w:cs="Times New Roman"/>
          <w:lang w:val="pt-BR"/>
        </w:rPr>
        <w:t>International</w:t>
      </w:r>
      <w:proofErr w:type="spellEnd"/>
      <w:r w:rsidRPr="00942A30">
        <w:rPr>
          <w:rFonts w:ascii="Times New Roman" w:hAnsi="Times New Roman" w:cs="Times New Roman"/>
          <w:lang w:val="pt-BR"/>
        </w:rPr>
        <w:t xml:space="preserve"> </w:t>
      </w:r>
      <w:proofErr w:type="spellStart"/>
      <w:r w:rsidRPr="00942A30">
        <w:rPr>
          <w:rFonts w:ascii="Times New Roman" w:hAnsi="Times New Roman" w:cs="Times New Roman"/>
          <w:lang w:val="pt-BR"/>
        </w:rPr>
        <w:t>Journal</w:t>
      </w:r>
      <w:proofErr w:type="spellEnd"/>
      <w:r w:rsidRPr="00942A30">
        <w:rPr>
          <w:rFonts w:ascii="Times New Roman" w:hAnsi="Times New Roman" w:cs="Times New Roman"/>
          <w:lang w:val="pt-BR"/>
        </w:rPr>
        <w:t xml:space="preserve"> </w:t>
      </w:r>
      <w:proofErr w:type="spellStart"/>
      <w:r w:rsidRPr="00942A30">
        <w:rPr>
          <w:rFonts w:ascii="Times New Roman" w:hAnsi="Times New Roman" w:cs="Times New Roman"/>
          <w:lang w:val="pt-BR"/>
        </w:rPr>
        <w:t>of</w:t>
      </w:r>
      <w:proofErr w:type="spellEnd"/>
      <w:r w:rsidRPr="00942A30">
        <w:rPr>
          <w:rFonts w:ascii="Times New Roman" w:hAnsi="Times New Roman" w:cs="Times New Roman"/>
          <w:lang w:val="pt-BR"/>
        </w:rPr>
        <w:t xml:space="preserve"> </w:t>
      </w:r>
      <w:proofErr w:type="spellStart"/>
      <w:r w:rsidRPr="00942A30">
        <w:rPr>
          <w:rFonts w:ascii="Times New Roman" w:hAnsi="Times New Roman" w:cs="Times New Roman"/>
          <w:lang w:val="pt-BR"/>
        </w:rPr>
        <w:t>Political</w:t>
      </w:r>
      <w:proofErr w:type="spellEnd"/>
      <w:r w:rsidRPr="00942A30">
        <w:rPr>
          <w:rFonts w:ascii="Times New Roman" w:hAnsi="Times New Roman" w:cs="Times New Roman"/>
          <w:lang w:val="pt-BR"/>
        </w:rPr>
        <w:t xml:space="preserve"> </w:t>
      </w:r>
      <w:proofErr w:type="spellStart"/>
      <w:r w:rsidRPr="00942A30">
        <w:rPr>
          <w:rFonts w:ascii="Times New Roman" w:hAnsi="Times New Roman" w:cs="Times New Roman"/>
          <w:lang w:val="pt-BR"/>
        </w:rPr>
        <w:t>Economy</w:t>
      </w:r>
      <w:proofErr w:type="spellEnd"/>
      <w:r w:rsidRPr="00942A30">
        <w:rPr>
          <w:rFonts w:ascii="Times New Roman" w:hAnsi="Times New Roman" w:cs="Times New Roman"/>
          <w:lang w:val="pt-BR"/>
        </w:rPr>
        <w:t>”.</w:t>
      </w:r>
    </w:p>
  </w:footnote>
  <w:footnote w:id="6">
    <w:p w14:paraId="00B38B64" w14:textId="4CF2B6A9" w:rsidR="00DA318C" w:rsidRPr="00942A30" w:rsidRDefault="00DA318C" w:rsidP="004F5401">
      <w:pPr>
        <w:pStyle w:val="Textodenotaderodap"/>
        <w:rPr>
          <w:rFonts w:ascii="Times New Roman" w:hAnsi="Times New Roman" w:cs="Times New Roman"/>
          <w:lang w:val="pt-BR"/>
        </w:rPr>
      </w:pPr>
      <w:r w:rsidRPr="00942A30">
        <w:rPr>
          <w:rStyle w:val="Refdenotaderodap"/>
          <w:rFonts w:ascii="Times New Roman" w:hAnsi="Times New Roman" w:cs="Times New Roman"/>
        </w:rPr>
        <w:footnoteRef/>
      </w:r>
      <w:r w:rsidRPr="00942A30">
        <w:rPr>
          <w:rFonts w:ascii="Times New Roman" w:hAnsi="Times New Roman" w:cs="Times New Roman"/>
          <w:lang w:val="pt-BR"/>
        </w:rPr>
        <w:t xml:space="preserve"> De acordo com a base de dados </w:t>
      </w:r>
      <w:proofErr w:type="spellStart"/>
      <w:r w:rsidRPr="00942A30">
        <w:rPr>
          <w:rFonts w:ascii="Times New Roman" w:hAnsi="Times New Roman" w:cs="Times New Roman"/>
          <w:lang w:val="pt-BR"/>
        </w:rPr>
        <w:t>Statista</w:t>
      </w:r>
      <w:proofErr w:type="spellEnd"/>
      <w:r w:rsidRPr="00942A30">
        <w:rPr>
          <w:rFonts w:ascii="Times New Roman" w:hAnsi="Times New Roman" w:cs="Times New Roman"/>
          <w:lang w:val="pt-BR"/>
        </w:rPr>
        <w:t xml:space="preserve"> (fonte </w:t>
      </w:r>
      <w:proofErr w:type="spellStart"/>
      <w:proofErr w:type="gramStart"/>
      <w:r w:rsidRPr="00942A30">
        <w:rPr>
          <w:rFonts w:ascii="Times New Roman" w:hAnsi="Times New Roman" w:cs="Times New Roman"/>
          <w:lang w:val="pt-BR"/>
        </w:rPr>
        <w:t>EvaluatePharma</w:t>
      </w:r>
      <w:proofErr w:type="spellEnd"/>
      <w:proofErr w:type="gramEnd"/>
      <w:r w:rsidRPr="00942A30">
        <w:rPr>
          <w:rFonts w:ascii="Times New Roman" w:hAnsi="Times New Roman" w:cs="Times New Roman"/>
          <w:lang w:val="pt-BR"/>
        </w:rPr>
        <w:t xml:space="preserve">) a receita mundial de drogas genéricas prescritas como porcentagem do total de receitas de drogas prescritas aumentou de 8.1% em 2009 para 10.2% em 2016 e está estimada em aumentar para 11.1% em 2018. Dados acessados em 11 de Maio de 2011 de: </w:t>
      </w:r>
      <w:proofErr w:type="gramStart"/>
      <w:r w:rsidRPr="00942A30">
        <w:rPr>
          <w:rFonts w:ascii="Times New Roman" w:hAnsi="Times New Roman" w:cs="Times New Roman"/>
          <w:lang w:val="pt-BR"/>
        </w:rPr>
        <w:t>https</w:t>
      </w:r>
      <w:proofErr w:type="gramEnd"/>
      <w:r w:rsidRPr="00942A30">
        <w:rPr>
          <w:rFonts w:ascii="Times New Roman" w:hAnsi="Times New Roman" w:cs="Times New Roman"/>
          <w:lang w:val="pt-BR"/>
        </w:rPr>
        <w:t>://www.statista.com/statistics/309412/global-total-generic-prescription-drug-revenues-as-percentage-of-prescribed-sales/</w:t>
      </w:r>
    </w:p>
  </w:footnote>
  <w:footnote w:id="7">
    <w:p w14:paraId="65F7D355" w14:textId="259A432B" w:rsidR="00942A30" w:rsidRPr="00942A30" w:rsidRDefault="00942A30">
      <w:pPr>
        <w:pStyle w:val="Textodenotaderodap"/>
        <w:rPr>
          <w:lang w:val="pt-BR"/>
        </w:rPr>
      </w:pPr>
      <w:r>
        <w:rPr>
          <w:rStyle w:val="Refdenotaderodap"/>
        </w:rPr>
        <w:footnoteRef/>
      </w:r>
      <w:r w:rsidRPr="00942A30">
        <w:rPr>
          <w:lang w:val="pt-BR"/>
        </w:rPr>
        <w:t xml:space="preserve"> R é um ambiente de software livre para computação estatística e </w:t>
      </w:r>
      <w:r>
        <w:rPr>
          <w:lang w:val="pt-BR"/>
        </w:rPr>
        <w:t xml:space="preserve">para a elaboração de </w:t>
      </w:r>
      <w:r w:rsidRPr="00942A30">
        <w:rPr>
          <w:lang w:val="pt-BR"/>
        </w:rPr>
        <w:t xml:space="preserve">gráficos. </w:t>
      </w:r>
      <w:r>
        <w:rPr>
          <w:lang w:val="pt-BR"/>
        </w:rPr>
        <w:t xml:space="preserve">O software vem sendo utilizado de forma crescente na academia e é ideal para a análise de big data (centenas de milhares de dados) realizada nesta pesquisa. O software </w:t>
      </w:r>
      <w:r w:rsidRPr="00942A30">
        <w:rPr>
          <w:lang w:val="pt-BR"/>
        </w:rPr>
        <w:t>R</w:t>
      </w:r>
      <w:r>
        <w:rPr>
          <w:lang w:val="pt-BR"/>
        </w:rPr>
        <w:t xml:space="preserve"> é gratuito e pode ser baixado no seguinte link: </w:t>
      </w:r>
      <w:proofErr w:type="gramStart"/>
      <w:r w:rsidRPr="00942A30">
        <w:rPr>
          <w:lang w:val="pt-BR"/>
        </w:rPr>
        <w:t>https</w:t>
      </w:r>
      <w:proofErr w:type="gramEnd"/>
      <w:r w:rsidRPr="00942A30">
        <w:rPr>
          <w:lang w:val="pt-BR"/>
        </w:rPr>
        <w:t>://www.r-project.org/</w:t>
      </w:r>
    </w:p>
  </w:footnote>
  <w:footnote w:id="8">
    <w:p w14:paraId="52576979" w14:textId="77777777" w:rsidR="00DA318C" w:rsidRPr="00942A30" w:rsidRDefault="00DA318C" w:rsidP="006722D2">
      <w:pPr>
        <w:pStyle w:val="Textodenotaderodap"/>
        <w:rPr>
          <w:rFonts w:ascii="Times New Roman" w:hAnsi="Times New Roman" w:cs="Times New Roman"/>
        </w:rPr>
      </w:pPr>
      <w:r w:rsidRPr="00942A30">
        <w:rPr>
          <w:rStyle w:val="Refdenotaderodap"/>
          <w:rFonts w:ascii="Times New Roman" w:hAnsi="Times New Roman" w:cs="Times New Roman"/>
        </w:rPr>
        <w:footnoteRef/>
      </w:r>
      <w:r w:rsidRPr="00942A30">
        <w:rPr>
          <w:rFonts w:ascii="Times New Roman" w:hAnsi="Times New Roman" w:cs="Times New Roman"/>
        </w:rPr>
        <w:t xml:space="preserve"> According to United Nations International Trade Statistics re-exports are exports of foreign goods in the same state as previously imported and re-imports are goods imported in the same state as previously exported. We decided to take those records out to have a cleaner dataset. More information are available at their website: https://unstats.un.org/unsd/tradekb/Knowledgebase/Reexports-and-Reimports</w:t>
      </w:r>
    </w:p>
  </w:footnote>
  <w:footnote w:id="9">
    <w:p w14:paraId="594ADF0D" w14:textId="3D70FAAA" w:rsidR="003C6BC2" w:rsidRPr="00942A30" w:rsidRDefault="003C6BC2" w:rsidP="003C6BC2">
      <w:pPr>
        <w:pStyle w:val="Textodenotaderodap"/>
        <w:rPr>
          <w:rFonts w:ascii="Times New Roman" w:hAnsi="Times New Roman" w:cs="Times New Roman"/>
          <w:lang w:val="pt-BR"/>
        </w:rPr>
      </w:pPr>
      <w:r w:rsidRPr="00942A30">
        <w:rPr>
          <w:rStyle w:val="Refdenotaderodap"/>
          <w:rFonts w:ascii="Times New Roman" w:hAnsi="Times New Roman" w:cs="Times New Roman"/>
        </w:rPr>
        <w:footnoteRef/>
      </w:r>
      <w:r w:rsidRPr="00942A30">
        <w:rPr>
          <w:rFonts w:ascii="Times New Roman" w:hAnsi="Times New Roman" w:cs="Times New Roman"/>
          <w:lang w:val="pt-BR"/>
        </w:rPr>
        <w:t xml:space="preserve"> São elas: 1) o componente “serviços de propriedade intelectual”; 2) o subitem “serviços de computador, software” que é parte do subitem “serviços de computador” que é parte do componente “telecomunicação, computação e informações”; 3) o subitem “pesquisa e desenvolvimento” que é parte do componente “outros serviços de negócio, inclusive arquitetura e engenharia”; 4) o subitem “audiovisual e serviços relacionados” que é parte do componente “serviços culturais, pessoais e recreativos”.</w:t>
      </w:r>
    </w:p>
  </w:footnote>
  <w:footnote w:id="10">
    <w:p w14:paraId="0B6011EF" w14:textId="4A3E9B59" w:rsidR="00DA318C" w:rsidRPr="00942A30" w:rsidRDefault="00DA318C" w:rsidP="00CD6BE7">
      <w:pPr>
        <w:pStyle w:val="Textodenotaderodap"/>
        <w:rPr>
          <w:rFonts w:ascii="Times New Roman" w:hAnsi="Times New Roman" w:cs="Times New Roman"/>
        </w:rPr>
      </w:pPr>
      <w:r w:rsidRPr="00942A30">
        <w:rPr>
          <w:rStyle w:val="Refdenotaderodap"/>
          <w:rFonts w:ascii="Times New Roman" w:hAnsi="Times New Roman" w:cs="Times New Roman"/>
        </w:rPr>
        <w:footnoteRef/>
      </w:r>
      <w:r w:rsidRPr="00942A30">
        <w:rPr>
          <w:rFonts w:ascii="Times New Roman" w:hAnsi="Times New Roman" w:cs="Times New Roman"/>
        </w:rPr>
        <w:t xml:space="preserve"> O </w:t>
      </w:r>
      <w:proofErr w:type="spellStart"/>
      <w:r w:rsidRPr="00942A30">
        <w:rPr>
          <w:rFonts w:ascii="Times New Roman" w:hAnsi="Times New Roman" w:cs="Times New Roman"/>
        </w:rPr>
        <w:t>código</w:t>
      </w:r>
      <w:proofErr w:type="spellEnd"/>
      <w:r w:rsidRPr="00942A30">
        <w:rPr>
          <w:rFonts w:ascii="Times New Roman" w:hAnsi="Times New Roman" w:cs="Times New Roman"/>
        </w:rPr>
        <w:t xml:space="preserve"> 3003 se </w:t>
      </w:r>
      <w:proofErr w:type="spellStart"/>
      <w:r w:rsidRPr="00942A30">
        <w:rPr>
          <w:rFonts w:ascii="Times New Roman" w:hAnsi="Times New Roman" w:cs="Times New Roman"/>
        </w:rPr>
        <w:t>refere</w:t>
      </w:r>
      <w:proofErr w:type="spellEnd"/>
      <w:r w:rsidRPr="00942A30">
        <w:rPr>
          <w:rFonts w:ascii="Times New Roman" w:hAnsi="Times New Roman" w:cs="Times New Roman"/>
        </w:rPr>
        <w:t xml:space="preserve"> </w:t>
      </w:r>
      <w:proofErr w:type="spellStart"/>
      <w:r w:rsidRPr="00942A30">
        <w:rPr>
          <w:rFonts w:ascii="Times New Roman" w:hAnsi="Times New Roman" w:cs="Times New Roman"/>
        </w:rPr>
        <w:t>ao</w:t>
      </w:r>
      <w:proofErr w:type="spellEnd"/>
      <w:r w:rsidRPr="00942A30">
        <w:rPr>
          <w:rFonts w:ascii="Times New Roman" w:hAnsi="Times New Roman" w:cs="Times New Roman"/>
        </w:rPr>
        <w:t xml:space="preserve"> </w:t>
      </w:r>
      <w:proofErr w:type="spellStart"/>
      <w:r w:rsidRPr="00942A30">
        <w:rPr>
          <w:rFonts w:ascii="Times New Roman" w:hAnsi="Times New Roman" w:cs="Times New Roman"/>
        </w:rPr>
        <w:t>comércio</w:t>
      </w:r>
      <w:proofErr w:type="spellEnd"/>
      <w:r w:rsidRPr="00942A30">
        <w:rPr>
          <w:rFonts w:ascii="Times New Roman" w:hAnsi="Times New Roman" w:cs="Times New Roman"/>
        </w:rPr>
        <w:t xml:space="preserve"> de “Medicaments consisting of two or more constituents mixed together for therapeutic or prophylactic uses, not in measured doses or put up for retail sale (excluding goods of heading 3002, 3005 or 3006)” e o </w:t>
      </w:r>
      <w:proofErr w:type="spellStart"/>
      <w:r w:rsidRPr="00942A30">
        <w:rPr>
          <w:rFonts w:ascii="Times New Roman" w:hAnsi="Times New Roman" w:cs="Times New Roman"/>
        </w:rPr>
        <w:t>código</w:t>
      </w:r>
      <w:proofErr w:type="spellEnd"/>
      <w:r w:rsidRPr="00942A30">
        <w:rPr>
          <w:rFonts w:ascii="Times New Roman" w:hAnsi="Times New Roman" w:cs="Times New Roman"/>
        </w:rPr>
        <w:t xml:space="preserve"> 3004 se </w:t>
      </w:r>
      <w:proofErr w:type="spellStart"/>
      <w:r w:rsidRPr="00942A30">
        <w:rPr>
          <w:rFonts w:ascii="Times New Roman" w:hAnsi="Times New Roman" w:cs="Times New Roman"/>
        </w:rPr>
        <w:t>refere</w:t>
      </w:r>
      <w:proofErr w:type="spellEnd"/>
      <w:r w:rsidRPr="00942A30">
        <w:rPr>
          <w:rFonts w:ascii="Times New Roman" w:hAnsi="Times New Roman" w:cs="Times New Roman"/>
        </w:rPr>
        <w:t xml:space="preserve"> </w:t>
      </w:r>
      <w:proofErr w:type="spellStart"/>
      <w:r w:rsidRPr="00942A30">
        <w:rPr>
          <w:rFonts w:ascii="Times New Roman" w:hAnsi="Times New Roman" w:cs="Times New Roman"/>
        </w:rPr>
        <w:t>ao</w:t>
      </w:r>
      <w:proofErr w:type="spellEnd"/>
      <w:r w:rsidRPr="00942A30">
        <w:rPr>
          <w:rFonts w:ascii="Times New Roman" w:hAnsi="Times New Roman" w:cs="Times New Roman"/>
        </w:rPr>
        <w:t xml:space="preserve"> </w:t>
      </w:r>
      <w:proofErr w:type="spellStart"/>
      <w:r w:rsidRPr="00942A30">
        <w:rPr>
          <w:rFonts w:ascii="Times New Roman" w:hAnsi="Times New Roman" w:cs="Times New Roman"/>
        </w:rPr>
        <w:t>comércio</w:t>
      </w:r>
      <w:proofErr w:type="spellEnd"/>
      <w:r w:rsidRPr="00942A30">
        <w:rPr>
          <w:rFonts w:ascii="Times New Roman" w:hAnsi="Times New Roman" w:cs="Times New Roman"/>
        </w:rPr>
        <w:t xml:space="preserve"> de “Medicaments consisting of mixed or unmixed products for therapeutic or prophylactic uses, put up in measured doses "incl. those in the form of transdermal administration" or in forms or packings for retail sale (excluding goods of heading 3002, 3005 or 3006)” </w:t>
      </w:r>
      <w:proofErr w:type="spellStart"/>
      <w:r w:rsidRPr="00942A30">
        <w:rPr>
          <w:rFonts w:ascii="Times New Roman" w:hAnsi="Times New Roman" w:cs="Times New Roman"/>
        </w:rPr>
        <w:t>segundo</w:t>
      </w:r>
      <w:proofErr w:type="spellEnd"/>
      <w:r w:rsidRPr="00942A30">
        <w:rPr>
          <w:rFonts w:ascii="Times New Roman" w:hAnsi="Times New Roman" w:cs="Times New Roman"/>
        </w:rPr>
        <w:t xml:space="preserve"> a </w:t>
      </w:r>
      <w:proofErr w:type="spellStart"/>
      <w:r w:rsidRPr="00942A30">
        <w:rPr>
          <w:rFonts w:ascii="Times New Roman" w:hAnsi="Times New Roman" w:cs="Times New Roman"/>
        </w:rPr>
        <w:t>denominação</w:t>
      </w:r>
      <w:proofErr w:type="spellEnd"/>
      <w:r w:rsidRPr="00942A30">
        <w:rPr>
          <w:rFonts w:ascii="Times New Roman" w:hAnsi="Times New Roman" w:cs="Times New Roman"/>
        </w:rPr>
        <w:t xml:space="preserve"> do Harmonized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4014"/>
    <w:multiLevelType w:val="hybridMultilevel"/>
    <w:tmpl w:val="A44EE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E05D96"/>
    <w:multiLevelType w:val="hybridMultilevel"/>
    <w:tmpl w:val="8BD6163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B61314"/>
    <w:multiLevelType w:val="hybridMultilevel"/>
    <w:tmpl w:val="FC0ABF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5D3048"/>
    <w:multiLevelType w:val="hybridMultilevel"/>
    <w:tmpl w:val="13726E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D519FC"/>
    <w:multiLevelType w:val="hybridMultilevel"/>
    <w:tmpl w:val="2E70E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C61CE8"/>
    <w:multiLevelType w:val="hybridMultilevel"/>
    <w:tmpl w:val="D624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0C3243"/>
    <w:multiLevelType w:val="hybridMultilevel"/>
    <w:tmpl w:val="CE064E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3C0AD6"/>
    <w:multiLevelType w:val="hybridMultilevel"/>
    <w:tmpl w:val="3790FED2"/>
    <w:lvl w:ilvl="0" w:tplc="EF0638B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nsid w:val="5CF72EB4"/>
    <w:multiLevelType w:val="hybridMultilevel"/>
    <w:tmpl w:val="E2545F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B4C08D6"/>
    <w:multiLevelType w:val="hybridMultilevel"/>
    <w:tmpl w:val="91C604F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ADC2548"/>
    <w:multiLevelType w:val="hybridMultilevel"/>
    <w:tmpl w:val="4274B964"/>
    <w:lvl w:ilvl="0" w:tplc="4D7CF00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6C2747"/>
    <w:multiLevelType w:val="hybridMultilevel"/>
    <w:tmpl w:val="12968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A37DF5"/>
    <w:multiLevelType w:val="hybridMultilevel"/>
    <w:tmpl w:val="91C604F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2"/>
  </w:num>
  <w:num w:numId="5">
    <w:abstractNumId w:val="8"/>
  </w:num>
  <w:num w:numId="6">
    <w:abstractNumId w:val="1"/>
  </w:num>
  <w:num w:numId="7">
    <w:abstractNumId w:val="0"/>
  </w:num>
  <w:num w:numId="8">
    <w:abstractNumId w:val="7"/>
  </w:num>
  <w:num w:numId="9">
    <w:abstractNumId w:val="5"/>
  </w:num>
  <w:num w:numId="10">
    <w:abstractNumId w:val="12"/>
  </w:num>
  <w:num w:numId="11">
    <w:abstractNumId w:val="1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4C0"/>
    <w:rsid w:val="000008C3"/>
    <w:rsid w:val="00007EBF"/>
    <w:rsid w:val="00012B8A"/>
    <w:rsid w:val="00016AB1"/>
    <w:rsid w:val="00086F9B"/>
    <w:rsid w:val="00093B2C"/>
    <w:rsid w:val="00093E99"/>
    <w:rsid w:val="00094288"/>
    <w:rsid w:val="000B0C2B"/>
    <w:rsid w:val="000B4A9F"/>
    <w:rsid w:val="000C316B"/>
    <w:rsid w:val="000F4FE3"/>
    <w:rsid w:val="00117B92"/>
    <w:rsid w:val="001458CD"/>
    <w:rsid w:val="0014716E"/>
    <w:rsid w:val="0015487B"/>
    <w:rsid w:val="0016597A"/>
    <w:rsid w:val="00180186"/>
    <w:rsid w:val="001F14C5"/>
    <w:rsid w:val="00200CDB"/>
    <w:rsid w:val="00226A75"/>
    <w:rsid w:val="00235605"/>
    <w:rsid w:val="00246ACB"/>
    <w:rsid w:val="00262213"/>
    <w:rsid w:val="00274055"/>
    <w:rsid w:val="00277F27"/>
    <w:rsid w:val="00295919"/>
    <w:rsid w:val="002A24FC"/>
    <w:rsid w:val="002A6E5B"/>
    <w:rsid w:val="002B4FC4"/>
    <w:rsid w:val="002F7223"/>
    <w:rsid w:val="00301B66"/>
    <w:rsid w:val="003257B7"/>
    <w:rsid w:val="0033562F"/>
    <w:rsid w:val="00343EFA"/>
    <w:rsid w:val="003803CB"/>
    <w:rsid w:val="003819AF"/>
    <w:rsid w:val="00386F8F"/>
    <w:rsid w:val="00396669"/>
    <w:rsid w:val="003C3202"/>
    <w:rsid w:val="003C6BC2"/>
    <w:rsid w:val="003C6D45"/>
    <w:rsid w:val="003D2808"/>
    <w:rsid w:val="003E0D33"/>
    <w:rsid w:val="003F15EF"/>
    <w:rsid w:val="003F6556"/>
    <w:rsid w:val="00404811"/>
    <w:rsid w:val="00443E1C"/>
    <w:rsid w:val="00446F90"/>
    <w:rsid w:val="004604A1"/>
    <w:rsid w:val="00476CC0"/>
    <w:rsid w:val="0048486B"/>
    <w:rsid w:val="0048574C"/>
    <w:rsid w:val="0049138B"/>
    <w:rsid w:val="00497C71"/>
    <w:rsid w:val="004B2973"/>
    <w:rsid w:val="004B6117"/>
    <w:rsid w:val="004C68AA"/>
    <w:rsid w:val="004F5401"/>
    <w:rsid w:val="00502ACF"/>
    <w:rsid w:val="00506301"/>
    <w:rsid w:val="00521A96"/>
    <w:rsid w:val="00522A25"/>
    <w:rsid w:val="00543A82"/>
    <w:rsid w:val="00556A70"/>
    <w:rsid w:val="00574DA4"/>
    <w:rsid w:val="00581D6F"/>
    <w:rsid w:val="005A7DD6"/>
    <w:rsid w:val="005B6935"/>
    <w:rsid w:val="005C559F"/>
    <w:rsid w:val="005D7E01"/>
    <w:rsid w:val="005E04C0"/>
    <w:rsid w:val="005E6374"/>
    <w:rsid w:val="005F36A9"/>
    <w:rsid w:val="005F7DAA"/>
    <w:rsid w:val="006176A9"/>
    <w:rsid w:val="006217DA"/>
    <w:rsid w:val="00653049"/>
    <w:rsid w:val="00655243"/>
    <w:rsid w:val="00661B3D"/>
    <w:rsid w:val="006720E3"/>
    <w:rsid w:val="006722D2"/>
    <w:rsid w:val="00683426"/>
    <w:rsid w:val="00695AAA"/>
    <w:rsid w:val="006A5E70"/>
    <w:rsid w:val="006B7B00"/>
    <w:rsid w:val="00701A60"/>
    <w:rsid w:val="007037CB"/>
    <w:rsid w:val="00722D73"/>
    <w:rsid w:val="0073433B"/>
    <w:rsid w:val="00741184"/>
    <w:rsid w:val="00741844"/>
    <w:rsid w:val="007424FB"/>
    <w:rsid w:val="00742987"/>
    <w:rsid w:val="00743C6E"/>
    <w:rsid w:val="00765698"/>
    <w:rsid w:val="00790B08"/>
    <w:rsid w:val="007A338C"/>
    <w:rsid w:val="007A5834"/>
    <w:rsid w:val="007A74EF"/>
    <w:rsid w:val="00810221"/>
    <w:rsid w:val="00814DC4"/>
    <w:rsid w:val="00814FF4"/>
    <w:rsid w:val="00855B92"/>
    <w:rsid w:val="00882577"/>
    <w:rsid w:val="00887A3A"/>
    <w:rsid w:val="00896EA6"/>
    <w:rsid w:val="008A23C8"/>
    <w:rsid w:val="008B0E7D"/>
    <w:rsid w:val="008D65D7"/>
    <w:rsid w:val="008F3DE0"/>
    <w:rsid w:val="009073B2"/>
    <w:rsid w:val="00907505"/>
    <w:rsid w:val="00933967"/>
    <w:rsid w:val="00941BE3"/>
    <w:rsid w:val="00942A30"/>
    <w:rsid w:val="0094359D"/>
    <w:rsid w:val="00951C1E"/>
    <w:rsid w:val="009A2055"/>
    <w:rsid w:val="009C14F0"/>
    <w:rsid w:val="00A120BB"/>
    <w:rsid w:val="00A12BAE"/>
    <w:rsid w:val="00A3143F"/>
    <w:rsid w:val="00A423E7"/>
    <w:rsid w:val="00A44F2B"/>
    <w:rsid w:val="00A474A5"/>
    <w:rsid w:val="00A47BDD"/>
    <w:rsid w:val="00A5196A"/>
    <w:rsid w:val="00A61DAB"/>
    <w:rsid w:val="00A93158"/>
    <w:rsid w:val="00A9387C"/>
    <w:rsid w:val="00AB16D6"/>
    <w:rsid w:val="00AD3F96"/>
    <w:rsid w:val="00AE7674"/>
    <w:rsid w:val="00B32803"/>
    <w:rsid w:val="00B72309"/>
    <w:rsid w:val="00B74CF8"/>
    <w:rsid w:val="00B92A04"/>
    <w:rsid w:val="00B9491B"/>
    <w:rsid w:val="00BA6DEC"/>
    <w:rsid w:val="00BC7BD4"/>
    <w:rsid w:val="00BD2F29"/>
    <w:rsid w:val="00BF37E2"/>
    <w:rsid w:val="00C05B62"/>
    <w:rsid w:val="00C2207B"/>
    <w:rsid w:val="00C27CCC"/>
    <w:rsid w:val="00C60B0A"/>
    <w:rsid w:val="00C911FB"/>
    <w:rsid w:val="00CA0E6A"/>
    <w:rsid w:val="00CA1AED"/>
    <w:rsid w:val="00CB0FEA"/>
    <w:rsid w:val="00CB232F"/>
    <w:rsid w:val="00CC1AC2"/>
    <w:rsid w:val="00CD6BE7"/>
    <w:rsid w:val="00CE05C4"/>
    <w:rsid w:val="00CE0739"/>
    <w:rsid w:val="00CF72F5"/>
    <w:rsid w:val="00D011C5"/>
    <w:rsid w:val="00D058C8"/>
    <w:rsid w:val="00D0679E"/>
    <w:rsid w:val="00D6249B"/>
    <w:rsid w:val="00D63899"/>
    <w:rsid w:val="00D86962"/>
    <w:rsid w:val="00D9310C"/>
    <w:rsid w:val="00DA14A2"/>
    <w:rsid w:val="00DA318C"/>
    <w:rsid w:val="00DA4DD8"/>
    <w:rsid w:val="00DA5256"/>
    <w:rsid w:val="00DA53A2"/>
    <w:rsid w:val="00DC02DD"/>
    <w:rsid w:val="00DC5297"/>
    <w:rsid w:val="00DE22D8"/>
    <w:rsid w:val="00DF2A15"/>
    <w:rsid w:val="00DF468E"/>
    <w:rsid w:val="00DF6742"/>
    <w:rsid w:val="00E10C36"/>
    <w:rsid w:val="00E14008"/>
    <w:rsid w:val="00E17E10"/>
    <w:rsid w:val="00E227DE"/>
    <w:rsid w:val="00E41CFE"/>
    <w:rsid w:val="00E53AA3"/>
    <w:rsid w:val="00E638CE"/>
    <w:rsid w:val="00E66273"/>
    <w:rsid w:val="00E81255"/>
    <w:rsid w:val="00E8345B"/>
    <w:rsid w:val="00E84E14"/>
    <w:rsid w:val="00E86D14"/>
    <w:rsid w:val="00E956F3"/>
    <w:rsid w:val="00E97054"/>
    <w:rsid w:val="00EB630E"/>
    <w:rsid w:val="00EC194B"/>
    <w:rsid w:val="00ED1A79"/>
    <w:rsid w:val="00ED64B6"/>
    <w:rsid w:val="00EE297F"/>
    <w:rsid w:val="00EE3446"/>
    <w:rsid w:val="00EE4F34"/>
    <w:rsid w:val="00EF2B9D"/>
    <w:rsid w:val="00F14412"/>
    <w:rsid w:val="00F16D95"/>
    <w:rsid w:val="00F22C4E"/>
    <w:rsid w:val="00F27B9C"/>
    <w:rsid w:val="00F32D84"/>
    <w:rsid w:val="00F366F1"/>
    <w:rsid w:val="00F40491"/>
    <w:rsid w:val="00F4094D"/>
    <w:rsid w:val="00F44534"/>
    <w:rsid w:val="00F54830"/>
    <w:rsid w:val="00F6022F"/>
    <w:rsid w:val="00F71A02"/>
    <w:rsid w:val="00F85C9F"/>
    <w:rsid w:val="00F97217"/>
    <w:rsid w:val="00FB1AEB"/>
    <w:rsid w:val="00FC0FC1"/>
    <w:rsid w:val="00FE3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semiHidden/>
    <w:unhideWhenUsed/>
    <w:qFormat/>
    <w:rsid w:val="00BC7BD4"/>
    <w:pPr>
      <w:spacing w:before="100" w:beforeAutospacing="1" w:after="100" w:afterAutospacing="1" w:line="240" w:lineRule="auto"/>
      <w:outlineLvl w:val="1"/>
    </w:pPr>
    <w:rPr>
      <w:rFonts w:ascii="Times New Roman" w:eastAsia="Times New Roman" w:hAnsi="Times New Roman" w:cs="Times New Roman"/>
      <w:b/>
      <w:bCs/>
      <w:color w:val="00000A"/>
      <w:sz w:val="24"/>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2055"/>
    <w:pPr>
      <w:ind w:left="720"/>
      <w:contextualSpacing/>
    </w:pPr>
  </w:style>
  <w:style w:type="paragraph" w:styleId="Textodenotaderodap">
    <w:name w:val="footnote text"/>
    <w:basedOn w:val="Normal"/>
    <w:link w:val="TextodenotaderodapChar"/>
    <w:uiPriority w:val="99"/>
    <w:semiHidden/>
    <w:unhideWhenUsed/>
    <w:qFormat/>
    <w:rsid w:val="00F16D9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qFormat/>
    <w:rsid w:val="00F16D95"/>
    <w:rPr>
      <w:sz w:val="20"/>
      <w:szCs w:val="20"/>
    </w:rPr>
  </w:style>
  <w:style w:type="character" w:styleId="Refdenotaderodap">
    <w:name w:val="footnote reference"/>
    <w:basedOn w:val="Fontepargpadro"/>
    <w:semiHidden/>
    <w:unhideWhenUsed/>
    <w:qFormat/>
    <w:rsid w:val="00F16D95"/>
    <w:rPr>
      <w:vertAlign w:val="superscript"/>
    </w:rPr>
  </w:style>
  <w:style w:type="character" w:styleId="Refdecomentrio">
    <w:name w:val="annotation reference"/>
    <w:basedOn w:val="Fontepargpadro"/>
    <w:uiPriority w:val="99"/>
    <w:semiHidden/>
    <w:unhideWhenUsed/>
    <w:rsid w:val="003F6556"/>
    <w:rPr>
      <w:sz w:val="16"/>
      <w:szCs w:val="16"/>
    </w:rPr>
  </w:style>
  <w:style w:type="paragraph" w:styleId="Textodecomentrio">
    <w:name w:val="annotation text"/>
    <w:basedOn w:val="Normal"/>
    <w:link w:val="TextodecomentrioChar"/>
    <w:uiPriority w:val="99"/>
    <w:semiHidden/>
    <w:unhideWhenUsed/>
    <w:rsid w:val="003F655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F6556"/>
    <w:rPr>
      <w:sz w:val="20"/>
      <w:szCs w:val="20"/>
    </w:rPr>
  </w:style>
  <w:style w:type="paragraph" w:styleId="Assuntodocomentrio">
    <w:name w:val="annotation subject"/>
    <w:basedOn w:val="Textodecomentrio"/>
    <w:next w:val="Textodecomentrio"/>
    <w:link w:val="AssuntodocomentrioChar"/>
    <w:uiPriority w:val="99"/>
    <w:semiHidden/>
    <w:unhideWhenUsed/>
    <w:rsid w:val="003F6556"/>
    <w:rPr>
      <w:b/>
      <w:bCs/>
    </w:rPr>
  </w:style>
  <w:style w:type="character" w:customStyle="1" w:styleId="AssuntodocomentrioChar">
    <w:name w:val="Assunto do comentário Char"/>
    <w:basedOn w:val="TextodecomentrioChar"/>
    <w:link w:val="Assuntodocomentrio"/>
    <w:uiPriority w:val="99"/>
    <w:semiHidden/>
    <w:rsid w:val="003F6556"/>
    <w:rPr>
      <w:b/>
      <w:bCs/>
      <w:sz w:val="20"/>
      <w:szCs w:val="20"/>
    </w:rPr>
  </w:style>
  <w:style w:type="paragraph" w:styleId="Textodebalo">
    <w:name w:val="Balloon Text"/>
    <w:basedOn w:val="Normal"/>
    <w:link w:val="TextodebaloChar"/>
    <w:uiPriority w:val="99"/>
    <w:semiHidden/>
    <w:unhideWhenUsed/>
    <w:rsid w:val="003F655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F6556"/>
    <w:rPr>
      <w:rFonts w:ascii="Segoe UI" w:hAnsi="Segoe UI" w:cs="Segoe UI"/>
      <w:sz w:val="18"/>
      <w:szCs w:val="18"/>
    </w:rPr>
  </w:style>
  <w:style w:type="paragraph" w:customStyle="1" w:styleId="Default">
    <w:name w:val="Default"/>
    <w:rsid w:val="00F97217"/>
    <w:pPr>
      <w:autoSpaceDE w:val="0"/>
      <w:autoSpaceDN w:val="0"/>
      <w:adjustRightInd w:val="0"/>
      <w:spacing w:after="0" w:line="240" w:lineRule="auto"/>
    </w:pPr>
    <w:rPr>
      <w:rFonts w:ascii="Arial" w:eastAsia="Times New Roman" w:hAnsi="Arial" w:cs="Arial"/>
      <w:color w:val="000000"/>
      <w:sz w:val="24"/>
      <w:szCs w:val="24"/>
      <w:lang w:val="pt-BR" w:eastAsia="pt-BR"/>
    </w:rPr>
  </w:style>
  <w:style w:type="character" w:customStyle="1" w:styleId="Ttulo2Char">
    <w:name w:val="Título 2 Char"/>
    <w:basedOn w:val="Fontepargpadro"/>
    <w:link w:val="Ttulo2"/>
    <w:uiPriority w:val="9"/>
    <w:semiHidden/>
    <w:qFormat/>
    <w:rsid w:val="00BC7BD4"/>
    <w:rPr>
      <w:rFonts w:ascii="Times New Roman" w:eastAsia="Times New Roman" w:hAnsi="Times New Roman" w:cs="Times New Roman"/>
      <w:b/>
      <w:bCs/>
      <w:color w:val="00000A"/>
      <w:sz w:val="24"/>
      <w:szCs w:val="36"/>
      <w:lang w:val="pt-BR" w:eastAsia="pt-BR"/>
    </w:rPr>
  </w:style>
  <w:style w:type="character" w:styleId="Hyperlink">
    <w:name w:val="Hyperlink"/>
    <w:basedOn w:val="Fontepargpadro"/>
    <w:uiPriority w:val="99"/>
    <w:semiHidden/>
    <w:unhideWhenUsed/>
    <w:rsid w:val="00BC7BD4"/>
    <w:rPr>
      <w:color w:val="0563C1" w:themeColor="hyperlink"/>
      <w:u w:val="single"/>
    </w:rPr>
  </w:style>
  <w:style w:type="paragraph" w:styleId="NormalWeb">
    <w:name w:val="Normal (Web)"/>
    <w:basedOn w:val="Normal"/>
    <w:uiPriority w:val="99"/>
    <w:semiHidden/>
    <w:unhideWhenUsed/>
    <w:qFormat/>
    <w:rsid w:val="00BC7BD4"/>
    <w:pPr>
      <w:spacing w:before="100" w:beforeAutospacing="1" w:after="100" w:afterAutospacing="1" w:line="360" w:lineRule="auto"/>
    </w:pPr>
    <w:rPr>
      <w:rFonts w:ascii="Times New Roman" w:eastAsia="Times New Roman" w:hAnsi="Times New Roman" w:cs="Times New Roman"/>
      <w:color w:val="00000A"/>
      <w:sz w:val="24"/>
      <w:szCs w:val="24"/>
      <w:lang w:val="pt-BR" w:eastAsia="pt-BR"/>
    </w:rPr>
  </w:style>
  <w:style w:type="paragraph" w:styleId="Cabealho">
    <w:name w:val="header"/>
    <w:basedOn w:val="Normal"/>
    <w:link w:val="CabealhoChar"/>
    <w:uiPriority w:val="99"/>
    <w:unhideWhenUsed/>
    <w:rsid w:val="00722D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2D73"/>
  </w:style>
  <w:style w:type="paragraph" w:styleId="Rodap">
    <w:name w:val="footer"/>
    <w:basedOn w:val="Normal"/>
    <w:link w:val="RodapChar"/>
    <w:uiPriority w:val="99"/>
    <w:unhideWhenUsed/>
    <w:rsid w:val="00722D73"/>
    <w:pPr>
      <w:tabs>
        <w:tab w:val="center" w:pos="4252"/>
        <w:tab w:val="right" w:pos="8504"/>
      </w:tabs>
      <w:spacing w:after="0" w:line="240" w:lineRule="auto"/>
    </w:pPr>
  </w:style>
  <w:style w:type="character" w:customStyle="1" w:styleId="RodapChar">
    <w:name w:val="Rodapé Char"/>
    <w:basedOn w:val="Fontepargpadro"/>
    <w:link w:val="Rodap"/>
    <w:uiPriority w:val="99"/>
    <w:rsid w:val="00722D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semiHidden/>
    <w:unhideWhenUsed/>
    <w:qFormat/>
    <w:rsid w:val="00BC7BD4"/>
    <w:pPr>
      <w:spacing w:before="100" w:beforeAutospacing="1" w:after="100" w:afterAutospacing="1" w:line="240" w:lineRule="auto"/>
      <w:outlineLvl w:val="1"/>
    </w:pPr>
    <w:rPr>
      <w:rFonts w:ascii="Times New Roman" w:eastAsia="Times New Roman" w:hAnsi="Times New Roman" w:cs="Times New Roman"/>
      <w:b/>
      <w:bCs/>
      <w:color w:val="00000A"/>
      <w:sz w:val="24"/>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2055"/>
    <w:pPr>
      <w:ind w:left="720"/>
      <w:contextualSpacing/>
    </w:pPr>
  </w:style>
  <w:style w:type="paragraph" w:styleId="Textodenotaderodap">
    <w:name w:val="footnote text"/>
    <w:basedOn w:val="Normal"/>
    <w:link w:val="TextodenotaderodapChar"/>
    <w:uiPriority w:val="99"/>
    <w:semiHidden/>
    <w:unhideWhenUsed/>
    <w:qFormat/>
    <w:rsid w:val="00F16D9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qFormat/>
    <w:rsid w:val="00F16D95"/>
    <w:rPr>
      <w:sz w:val="20"/>
      <w:szCs w:val="20"/>
    </w:rPr>
  </w:style>
  <w:style w:type="character" w:styleId="Refdenotaderodap">
    <w:name w:val="footnote reference"/>
    <w:basedOn w:val="Fontepargpadro"/>
    <w:semiHidden/>
    <w:unhideWhenUsed/>
    <w:qFormat/>
    <w:rsid w:val="00F16D95"/>
    <w:rPr>
      <w:vertAlign w:val="superscript"/>
    </w:rPr>
  </w:style>
  <w:style w:type="character" w:styleId="Refdecomentrio">
    <w:name w:val="annotation reference"/>
    <w:basedOn w:val="Fontepargpadro"/>
    <w:uiPriority w:val="99"/>
    <w:semiHidden/>
    <w:unhideWhenUsed/>
    <w:rsid w:val="003F6556"/>
    <w:rPr>
      <w:sz w:val="16"/>
      <w:szCs w:val="16"/>
    </w:rPr>
  </w:style>
  <w:style w:type="paragraph" w:styleId="Textodecomentrio">
    <w:name w:val="annotation text"/>
    <w:basedOn w:val="Normal"/>
    <w:link w:val="TextodecomentrioChar"/>
    <w:uiPriority w:val="99"/>
    <w:semiHidden/>
    <w:unhideWhenUsed/>
    <w:rsid w:val="003F655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F6556"/>
    <w:rPr>
      <w:sz w:val="20"/>
      <w:szCs w:val="20"/>
    </w:rPr>
  </w:style>
  <w:style w:type="paragraph" w:styleId="Assuntodocomentrio">
    <w:name w:val="annotation subject"/>
    <w:basedOn w:val="Textodecomentrio"/>
    <w:next w:val="Textodecomentrio"/>
    <w:link w:val="AssuntodocomentrioChar"/>
    <w:uiPriority w:val="99"/>
    <w:semiHidden/>
    <w:unhideWhenUsed/>
    <w:rsid w:val="003F6556"/>
    <w:rPr>
      <w:b/>
      <w:bCs/>
    </w:rPr>
  </w:style>
  <w:style w:type="character" w:customStyle="1" w:styleId="AssuntodocomentrioChar">
    <w:name w:val="Assunto do comentário Char"/>
    <w:basedOn w:val="TextodecomentrioChar"/>
    <w:link w:val="Assuntodocomentrio"/>
    <w:uiPriority w:val="99"/>
    <w:semiHidden/>
    <w:rsid w:val="003F6556"/>
    <w:rPr>
      <w:b/>
      <w:bCs/>
      <w:sz w:val="20"/>
      <w:szCs w:val="20"/>
    </w:rPr>
  </w:style>
  <w:style w:type="paragraph" w:styleId="Textodebalo">
    <w:name w:val="Balloon Text"/>
    <w:basedOn w:val="Normal"/>
    <w:link w:val="TextodebaloChar"/>
    <w:uiPriority w:val="99"/>
    <w:semiHidden/>
    <w:unhideWhenUsed/>
    <w:rsid w:val="003F655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F6556"/>
    <w:rPr>
      <w:rFonts w:ascii="Segoe UI" w:hAnsi="Segoe UI" w:cs="Segoe UI"/>
      <w:sz w:val="18"/>
      <w:szCs w:val="18"/>
    </w:rPr>
  </w:style>
  <w:style w:type="paragraph" w:customStyle="1" w:styleId="Default">
    <w:name w:val="Default"/>
    <w:rsid w:val="00F97217"/>
    <w:pPr>
      <w:autoSpaceDE w:val="0"/>
      <w:autoSpaceDN w:val="0"/>
      <w:adjustRightInd w:val="0"/>
      <w:spacing w:after="0" w:line="240" w:lineRule="auto"/>
    </w:pPr>
    <w:rPr>
      <w:rFonts w:ascii="Arial" w:eastAsia="Times New Roman" w:hAnsi="Arial" w:cs="Arial"/>
      <w:color w:val="000000"/>
      <w:sz w:val="24"/>
      <w:szCs w:val="24"/>
      <w:lang w:val="pt-BR" w:eastAsia="pt-BR"/>
    </w:rPr>
  </w:style>
  <w:style w:type="character" w:customStyle="1" w:styleId="Ttulo2Char">
    <w:name w:val="Título 2 Char"/>
    <w:basedOn w:val="Fontepargpadro"/>
    <w:link w:val="Ttulo2"/>
    <w:uiPriority w:val="9"/>
    <w:semiHidden/>
    <w:qFormat/>
    <w:rsid w:val="00BC7BD4"/>
    <w:rPr>
      <w:rFonts w:ascii="Times New Roman" w:eastAsia="Times New Roman" w:hAnsi="Times New Roman" w:cs="Times New Roman"/>
      <w:b/>
      <w:bCs/>
      <w:color w:val="00000A"/>
      <w:sz w:val="24"/>
      <w:szCs w:val="36"/>
      <w:lang w:val="pt-BR" w:eastAsia="pt-BR"/>
    </w:rPr>
  </w:style>
  <w:style w:type="character" w:styleId="Hyperlink">
    <w:name w:val="Hyperlink"/>
    <w:basedOn w:val="Fontepargpadro"/>
    <w:uiPriority w:val="99"/>
    <w:semiHidden/>
    <w:unhideWhenUsed/>
    <w:rsid w:val="00BC7BD4"/>
    <w:rPr>
      <w:color w:val="0563C1" w:themeColor="hyperlink"/>
      <w:u w:val="single"/>
    </w:rPr>
  </w:style>
  <w:style w:type="paragraph" w:styleId="NormalWeb">
    <w:name w:val="Normal (Web)"/>
    <w:basedOn w:val="Normal"/>
    <w:uiPriority w:val="99"/>
    <w:semiHidden/>
    <w:unhideWhenUsed/>
    <w:qFormat/>
    <w:rsid w:val="00BC7BD4"/>
    <w:pPr>
      <w:spacing w:before="100" w:beforeAutospacing="1" w:after="100" w:afterAutospacing="1" w:line="360" w:lineRule="auto"/>
    </w:pPr>
    <w:rPr>
      <w:rFonts w:ascii="Times New Roman" w:eastAsia="Times New Roman" w:hAnsi="Times New Roman" w:cs="Times New Roman"/>
      <w:color w:val="00000A"/>
      <w:sz w:val="24"/>
      <w:szCs w:val="24"/>
      <w:lang w:val="pt-BR" w:eastAsia="pt-BR"/>
    </w:rPr>
  </w:style>
  <w:style w:type="paragraph" w:styleId="Cabealho">
    <w:name w:val="header"/>
    <w:basedOn w:val="Normal"/>
    <w:link w:val="CabealhoChar"/>
    <w:uiPriority w:val="99"/>
    <w:unhideWhenUsed/>
    <w:rsid w:val="00722D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2D73"/>
  </w:style>
  <w:style w:type="paragraph" w:styleId="Rodap">
    <w:name w:val="footer"/>
    <w:basedOn w:val="Normal"/>
    <w:link w:val="RodapChar"/>
    <w:uiPriority w:val="99"/>
    <w:unhideWhenUsed/>
    <w:rsid w:val="00722D73"/>
    <w:pPr>
      <w:tabs>
        <w:tab w:val="center" w:pos="4252"/>
        <w:tab w:val="right" w:pos="8504"/>
      </w:tabs>
      <w:spacing w:after="0" w:line="240" w:lineRule="auto"/>
    </w:pPr>
  </w:style>
  <w:style w:type="character" w:customStyle="1" w:styleId="RodapChar">
    <w:name w:val="Rodapé Char"/>
    <w:basedOn w:val="Fontepargpadro"/>
    <w:link w:val="Rodap"/>
    <w:uiPriority w:val="99"/>
    <w:rsid w:val="0072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29299">
      <w:bodyDiv w:val="1"/>
      <w:marLeft w:val="0"/>
      <w:marRight w:val="0"/>
      <w:marTop w:val="0"/>
      <w:marBottom w:val="0"/>
      <w:divBdr>
        <w:top w:val="none" w:sz="0" w:space="0" w:color="auto"/>
        <w:left w:val="none" w:sz="0" w:space="0" w:color="auto"/>
        <w:bottom w:val="none" w:sz="0" w:space="0" w:color="auto"/>
        <w:right w:val="none" w:sz="0" w:space="0" w:color="auto"/>
      </w:divBdr>
    </w:div>
    <w:div w:id="514998921">
      <w:bodyDiv w:val="1"/>
      <w:marLeft w:val="0"/>
      <w:marRight w:val="0"/>
      <w:marTop w:val="0"/>
      <w:marBottom w:val="0"/>
      <w:divBdr>
        <w:top w:val="none" w:sz="0" w:space="0" w:color="auto"/>
        <w:left w:val="none" w:sz="0" w:space="0" w:color="auto"/>
        <w:bottom w:val="none" w:sz="0" w:space="0" w:color="auto"/>
        <w:right w:val="none" w:sz="0" w:space="0" w:color="auto"/>
      </w:divBdr>
    </w:div>
    <w:div w:id="840581279">
      <w:bodyDiv w:val="1"/>
      <w:marLeft w:val="0"/>
      <w:marRight w:val="0"/>
      <w:marTop w:val="0"/>
      <w:marBottom w:val="0"/>
      <w:divBdr>
        <w:top w:val="none" w:sz="0" w:space="0" w:color="auto"/>
        <w:left w:val="none" w:sz="0" w:space="0" w:color="auto"/>
        <w:bottom w:val="none" w:sz="0" w:space="0" w:color="auto"/>
        <w:right w:val="none" w:sz="0" w:space="0" w:color="auto"/>
      </w:divBdr>
    </w:div>
    <w:div w:id="986475002">
      <w:bodyDiv w:val="1"/>
      <w:marLeft w:val="0"/>
      <w:marRight w:val="0"/>
      <w:marTop w:val="0"/>
      <w:marBottom w:val="0"/>
      <w:divBdr>
        <w:top w:val="none" w:sz="0" w:space="0" w:color="auto"/>
        <w:left w:val="none" w:sz="0" w:space="0" w:color="auto"/>
        <w:bottom w:val="none" w:sz="0" w:space="0" w:color="auto"/>
        <w:right w:val="none" w:sz="0" w:space="0" w:color="auto"/>
      </w:divBdr>
    </w:div>
    <w:div w:id="1040979118">
      <w:bodyDiv w:val="1"/>
      <w:marLeft w:val="0"/>
      <w:marRight w:val="0"/>
      <w:marTop w:val="0"/>
      <w:marBottom w:val="0"/>
      <w:divBdr>
        <w:top w:val="none" w:sz="0" w:space="0" w:color="auto"/>
        <w:left w:val="none" w:sz="0" w:space="0" w:color="auto"/>
        <w:bottom w:val="none" w:sz="0" w:space="0" w:color="auto"/>
        <w:right w:val="none" w:sz="0" w:space="0" w:color="auto"/>
      </w:divBdr>
    </w:div>
    <w:div w:id="1333021443">
      <w:bodyDiv w:val="1"/>
      <w:marLeft w:val="0"/>
      <w:marRight w:val="0"/>
      <w:marTop w:val="0"/>
      <w:marBottom w:val="0"/>
      <w:divBdr>
        <w:top w:val="none" w:sz="0" w:space="0" w:color="auto"/>
        <w:left w:val="none" w:sz="0" w:space="0" w:color="auto"/>
        <w:bottom w:val="none" w:sz="0" w:space="0" w:color="auto"/>
        <w:right w:val="none" w:sz="0" w:space="0" w:color="auto"/>
      </w:divBdr>
    </w:div>
    <w:div w:id="1383365918">
      <w:bodyDiv w:val="1"/>
      <w:marLeft w:val="0"/>
      <w:marRight w:val="0"/>
      <w:marTop w:val="0"/>
      <w:marBottom w:val="0"/>
      <w:divBdr>
        <w:top w:val="none" w:sz="0" w:space="0" w:color="auto"/>
        <w:left w:val="none" w:sz="0" w:space="0" w:color="auto"/>
        <w:bottom w:val="none" w:sz="0" w:space="0" w:color="auto"/>
        <w:right w:val="none" w:sz="0" w:space="0" w:color="auto"/>
      </w:divBdr>
    </w:div>
    <w:div w:id="1826430438">
      <w:bodyDiv w:val="1"/>
      <w:marLeft w:val="0"/>
      <w:marRight w:val="0"/>
      <w:marTop w:val="0"/>
      <w:marBottom w:val="0"/>
      <w:divBdr>
        <w:top w:val="none" w:sz="0" w:space="0" w:color="auto"/>
        <w:left w:val="none" w:sz="0" w:space="0" w:color="auto"/>
        <w:bottom w:val="none" w:sz="0" w:space="0" w:color="auto"/>
        <w:right w:val="none" w:sz="0" w:space="0" w:color="auto"/>
      </w:divBdr>
    </w:div>
    <w:div w:id="1976325946">
      <w:bodyDiv w:val="1"/>
      <w:marLeft w:val="0"/>
      <w:marRight w:val="0"/>
      <w:marTop w:val="0"/>
      <w:marBottom w:val="0"/>
      <w:divBdr>
        <w:top w:val="none" w:sz="0" w:space="0" w:color="auto"/>
        <w:left w:val="none" w:sz="0" w:space="0" w:color="auto"/>
        <w:bottom w:val="none" w:sz="0" w:space="0" w:color="auto"/>
        <w:right w:val="none" w:sz="0" w:space="0" w:color="auto"/>
      </w:divBdr>
    </w:div>
    <w:div w:id="1994289893">
      <w:bodyDiv w:val="1"/>
      <w:marLeft w:val="0"/>
      <w:marRight w:val="0"/>
      <w:marTop w:val="0"/>
      <w:marBottom w:val="0"/>
      <w:divBdr>
        <w:top w:val="none" w:sz="0" w:space="0" w:color="auto"/>
        <w:left w:val="none" w:sz="0" w:space="0" w:color="auto"/>
        <w:bottom w:val="none" w:sz="0" w:space="0" w:color="auto"/>
        <w:right w:val="none" w:sz="0" w:space="0" w:color="auto"/>
      </w:divBdr>
    </w:div>
    <w:div w:id="208136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doi.org/10.1007/s12247-008-9024-4" TargetMode="External"/><Relationship Id="rId26" Type="http://schemas.openxmlformats.org/officeDocument/2006/relationships/hyperlink" Target="https://doi.org/10.1179/102452906X104222" TargetMode="External"/><Relationship Id="rId3" Type="http://schemas.openxmlformats.org/officeDocument/2006/relationships/styles" Target="styles.xml"/><Relationship Id="rId21" Type="http://schemas.openxmlformats.org/officeDocument/2006/relationships/hyperlink" Target="http://documents.worldbank.org/curated/pt/191191468341930761/pdf/WPS6143.pdf" TargetMode="External"/><Relationship Id="rId34" Type="http://schemas.openxmlformats.org/officeDocument/2006/relationships/hyperlink" Target="https://data.worldbank.org/"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www.pc.gov.au/research/supporting/copyright-reform/ecoanala.pdf" TargetMode="External"/><Relationship Id="rId25" Type="http://schemas.openxmlformats.org/officeDocument/2006/relationships/hyperlink" Target="http://documents.worldbank.org/curated/en/285571468337817024/Global-economic-prospects-and-the-developing-countries-2002-making-trade-work-for-the-worlds-poor" TargetMode="External"/><Relationship Id="rId33" Type="http://schemas.openxmlformats.org/officeDocument/2006/relationships/hyperlink" Target="https://comtrade.un.org/data/" TargetMode="External"/><Relationship Id="rId2" Type="http://schemas.openxmlformats.org/officeDocument/2006/relationships/numbering" Target="numbering.xml"/><Relationship Id="rId16" Type="http://schemas.openxmlformats.org/officeDocument/2006/relationships/hyperlink" Target="https://www.thelancet.com/journals/langlo/article/PIIS2214-109X(15)00156-4/fulltext" TargetMode="External"/><Relationship Id="rId20" Type="http://schemas.openxmlformats.org/officeDocument/2006/relationships/hyperlink" Target="https://doi.org/10.1093/scipol/scw034" TargetMode="External"/><Relationship Id="rId29" Type="http://schemas.openxmlformats.org/officeDocument/2006/relationships/hyperlink" Target="http://oll.libertyfund.org/titles/10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yperlink" Target="http://www.wipo.int/edocs/pubdocs/en/wipo_pub_econstat_wp_37.pdf" TargetMode="External"/><Relationship Id="rId32" Type="http://schemas.openxmlformats.org/officeDocument/2006/relationships/hyperlink" Target="http://elibrary-data.imf.org" TargetMode="External"/><Relationship Id="rId5" Type="http://schemas.openxmlformats.org/officeDocument/2006/relationships/settings" Target="settings.xml"/><Relationship Id="rId15" Type="http://schemas.openxmlformats.org/officeDocument/2006/relationships/hyperlink" Target="http://www.jstor.org/stable/40380275" TargetMode="External"/><Relationship Id="rId23" Type="http://schemas.openxmlformats.org/officeDocument/2006/relationships/hyperlink" Target="https://www.imf.org/external/pubs/ft/bop/2007/pdf/bpm6.pdf" TargetMode="External"/><Relationship Id="rId28" Type="http://schemas.openxmlformats.org/officeDocument/2006/relationships/hyperlink" Target="http://dx.doi.org/10.1787/244764462745" TargetMode="External"/><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doi.org/10.1093/qje/121.1.321" TargetMode="External"/><Relationship Id="rId31" Type="http://schemas.openxmlformats.org/officeDocument/2006/relationships/hyperlink" Target="https://doi.org/10.1016/j.jdeveco.2008.11.003"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doi.org/10.1093/cid/ciu012" TargetMode="External"/><Relationship Id="rId27" Type="http://schemas.openxmlformats.org/officeDocument/2006/relationships/hyperlink" Target="https://doi.org/10.1093/cje/bep033" TargetMode="External"/><Relationship Id="rId30" Type="http://schemas.openxmlformats.org/officeDocument/2006/relationships/hyperlink" Target="https://www.aei.org/publication/the-economic-value-of-intellectual-property/"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areaChart>
        <c:grouping val="percentStacked"/>
        <c:varyColors val="0"/>
        <c:ser>
          <c:idx val="0"/>
          <c:order val="0"/>
          <c:tx>
            <c:strRef>
              <c:f>Sheet1!$A$9</c:f>
              <c:strCache>
                <c:ptCount val="1"/>
                <c:pt idx="0">
                  <c:v>Developed (total%)</c:v>
                </c:pt>
              </c:strCache>
            </c:strRef>
          </c:tx>
          <c:spPr>
            <a:solidFill>
              <a:schemeClr val="bg1">
                <a:lumMod val="95000"/>
              </a:schemeClr>
            </a:solidFill>
            <a:ln>
              <a:solidFill>
                <a:schemeClr val="bg2">
                  <a:lumMod val="90000"/>
                </a:schemeClr>
              </a:solidFill>
            </a:ln>
            <a:effectLst/>
          </c:spPr>
          <c:cat>
            <c:numRef>
              <c:f>Sheet1!$B$1:$AL$1</c:f>
              <c:numCache>
                <c:formatCode>General</c:formatCode>
                <c:ptCount val="22"/>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numCache>
            </c:numRef>
          </c:cat>
          <c:val>
            <c:numRef>
              <c:f>Sheet1!$B$9:$AL$9</c:f>
              <c:numCache>
                <c:formatCode>0.00%</c:formatCode>
                <c:ptCount val="22"/>
                <c:pt idx="0">
                  <c:v>0.8788127108952315</c:v>
                </c:pt>
                <c:pt idx="1">
                  <c:v>0.89152816561935389</c:v>
                </c:pt>
                <c:pt idx="2">
                  <c:v>0.85980376418649784</c:v>
                </c:pt>
                <c:pt idx="3">
                  <c:v>0.8475255541254213</c:v>
                </c:pt>
                <c:pt idx="4">
                  <c:v>0.83675579566933977</c:v>
                </c:pt>
                <c:pt idx="5">
                  <c:v>0.83982501062472836</c:v>
                </c:pt>
                <c:pt idx="6">
                  <c:v>0.82613146841873242</c:v>
                </c:pt>
                <c:pt idx="7">
                  <c:v>0.82457235206665536</c:v>
                </c:pt>
                <c:pt idx="8">
                  <c:v>0.82463422094008476</c:v>
                </c:pt>
                <c:pt idx="9">
                  <c:v>0.84869422235775971</c:v>
                </c:pt>
                <c:pt idx="10">
                  <c:v>0.86320420145851307</c:v>
                </c:pt>
                <c:pt idx="11">
                  <c:v>0.86446956916078022</c:v>
                </c:pt>
                <c:pt idx="12">
                  <c:v>0.87157123966055849</c:v>
                </c:pt>
                <c:pt idx="13">
                  <c:v>0.87298612976926471</c:v>
                </c:pt>
                <c:pt idx="14">
                  <c:v>0.86644156845295883</c:v>
                </c:pt>
                <c:pt idx="15">
                  <c:v>0.86921675660857645</c:v>
                </c:pt>
                <c:pt idx="16">
                  <c:v>0.87587671804211631</c:v>
                </c:pt>
                <c:pt idx="17">
                  <c:v>0.86654855787113383</c:v>
                </c:pt>
                <c:pt idx="18">
                  <c:v>0.86369927123908508</c:v>
                </c:pt>
                <c:pt idx="19">
                  <c:v>0.86981706077821097</c:v>
                </c:pt>
                <c:pt idx="20">
                  <c:v>0.86239804564340328</c:v>
                </c:pt>
                <c:pt idx="21">
                  <c:v>0.85844664217767652</c:v>
                </c:pt>
              </c:numCache>
            </c:numRef>
          </c:val>
          <c:extLst xmlns:c16r2="http://schemas.microsoft.com/office/drawing/2015/06/chart">
            <c:ext xmlns:c16="http://schemas.microsoft.com/office/drawing/2014/chart" uri="{C3380CC4-5D6E-409C-BE32-E72D297353CC}">
              <c16:uniqueId val="{00000000-F909-42BA-82CB-5158C0AE5DB1}"/>
            </c:ext>
          </c:extLst>
        </c:ser>
        <c:ser>
          <c:idx val="1"/>
          <c:order val="1"/>
          <c:tx>
            <c:strRef>
              <c:f>Sheet1!$A$10</c:f>
              <c:strCache>
                <c:ptCount val="1"/>
                <c:pt idx="0">
                  <c:v>Developing (total%)</c:v>
                </c:pt>
              </c:strCache>
            </c:strRef>
          </c:tx>
          <c:spPr>
            <a:solidFill>
              <a:schemeClr val="bg2">
                <a:lumMod val="90000"/>
              </a:schemeClr>
            </a:solidFill>
            <a:ln>
              <a:noFill/>
            </a:ln>
            <a:effectLst/>
          </c:spPr>
          <c:cat>
            <c:numRef>
              <c:f>Sheet1!$B$1:$AL$1</c:f>
              <c:numCache>
                <c:formatCode>General</c:formatCode>
                <c:ptCount val="22"/>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numCache>
            </c:numRef>
          </c:cat>
          <c:val>
            <c:numRef>
              <c:f>Sheet1!$B$10:$AL$10</c:f>
              <c:numCache>
                <c:formatCode>0.0%</c:formatCode>
                <c:ptCount val="22"/>
                <c:pt idx="0">
                  <c:v>0.12118728910476852</c:v>
                </c:pt>
                <c:pt idx="1">
                  <c:v>0.1084718343806461</c:v>
                </c:pt>
                <c:pt idx="2">
                  <c:v>0.1401962358135021</c:v>
                </c:pt>
                <c:pt idx="3">
                  <c:v>0.15247444587457853</c:v>
                </c:pt>
                <c:pt idx="4">
                  <c:v>0.16324420433066014</c:v>
                </c:pt>
                <c:pt idx="5">
                  <c:v>0.16017498937527158</c:v>
                </c:pt>
                <c:pt idx="6">
                  <c:v>0.17386853158126772</c:v>
                </c:pt>
                <c:pt idx="7">
                  <c:v>0.17542764793334456</c:v>
                </c:pt>
                <c:pt idx="8">
                  <c:v>0.17536577905991529</c:v>
                </c:pt>
                <c:pt idx="9">
                  <c:v>0.15130577764224021</c:v>
                </c:pt>
                <c:pt idx="10">
                  <c:v>0.13679579854148713</c:v>
                </c:pt>
                <c:pt idx="11">
                  <c:v>0.13553043083921987</c:v>
                </c:pt>
                <c:pt idx="12">
                  <c:v>0.12842876033944148</c:v>
                </c:pt>
                <c:pt idx="13">
                  <c:v>0.12701387023073529</c:v>
                </c:pt>
                <c:pt idx="14">
                  <c:v>0.13355843154704128</c:v>
                </c:pt>
                <c:pt idx="15">
                  <c:v>0.13078324339142364</c:v>
                </c:pt>
                <c:pt idx="16">
                  <c:v>0.12412328195788377</c:v>
                </c:pt>
                <c:pt idx="17">
                  <c:v>0.13345144212886606</c:v>
                </c:pt>
                <c:pt idx="18">
                  <c:v>0.13630072876091473</c:v>
                </c:pt>
                <c:pt idx="19">
                  <c:v>0.13018293922178917</c:v>
                </c:pt>
                <c:pt idx="20">
                  <c:v>0.13760195435659678</c:v>
                </c:pt>
                <c:pt idx="21">
                  <c:v>0.14155335782232342</c:v>
                </c:pt>
              </c:numCache>
            </c:numRef>
          </c:val>
          <c:extLst xmlns:c16r2="http://schemas.microsoft.com/office/drawing/2015/06/chart">
            <c:ext xmlns:c16="http://schemas.microsoft.com/office/drawing/2014/chart" uri="{C3380CC4-5D6E-409C-BE32-E72D297353CC}">
              <c16:uniqueId val="{00000001-F909-42BA-82CB-5158C0AE5DB1}"/>
            </c:ext>
          </c:extLst>
        </c:ser>
        <c:dLbls>
          <c:showLegendKey val="0"/>
          <c:showVal val="0"/>
          <c:showCatName val="0"/>
          <c:showSerName val="0"/>
          <c:showPercent val="0"/>
          <c:showBubbleSize val="0"/>
        </c:dLbls>
        <c:axId val="124824192"/>
        <c:axId val="124822656"/>
      </c:areaChart>
      <c:lineChart>
        <c:grouping val="standard"/>
        <c:varyColors val="0"/>
        <c:ser>
          <c:idx val="2"/>
          <c:order val="2"/>
          <c:tx>
            <c:strRef>
              <c:f>Sheet1!$A$12</c:f>
              <c:strCache>
                <c:ptCount val="1"/>
                <c:pt idx="0">
                  <c:v>Developed (net)</c:v>
                </c:pt>
              </c:strCache>
            </c:strRef>
          </c:tx>
          <c:spPr>
            <a:ln w="28575" cap="rnd">
              <a:solidFill>
                <a:schemeClr val="tx1">
                  <a:lumMod val="85000"/>
                  <a:lumOff val="15000"/>
                </a:schemeClr>
              </a:solidFill>
              <a:prstDash val="dash"/>
              <a:round/>
            </a:ln>
            <a:effectLst/>
          </c:spPr>
          <c:marker>
            <c:symbol val="none"/>
          </c:marker>
          <c:trendline>
            <c:spPr>
              <a:ln w="19050" cap="rnd">
                <a:solidFill>
                  <a:schemeClr val="accent3"/>
                </a:solidFill>
                <a:prstDash val="sysDot"/>
              </a:ln>
              <a:effectLst/>
            </c:spPr>
            <c:trendlineType val="linear"/>
            <c:dispRSqr val="1"/>
            <c:dispEq val="0"/>
            <c:trendlineLbl>
              <c:layout>
                <c:manualLayout>
                  <c:x val="4.4211487452957268E-3"/>
                  <c:y val="-2.58877524030426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trendlineLbl>
          </c:trendline>
          <c:cat>
            <c:numRef>
              <c:f>Sheet1!$B$1:$AL$1</c:f>
              <c:numCache>
                <c:formatCode>General</c:formatCode>
                <c:ptCount val="22"/>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numCache>
            </c:numRef>
          </c:cat>
          <c:val>
            <c:numRef>
              <c:f>Sheet1!$B$12:$AL$12</c:f>
              <c:numCache>
                <c:formatCode>General</c:formatCode>
                <c:ptCount val="22"/>
                <c:pt idx="0">
                  <c:v>32201.704852473878</c:v>
                </c:pt>
                <c:pt idx="1">
                  <c:v>24945.527335632272</c:v>
                </c:pt>
                <c:pt idx="2">
                  <c:v>18006.706732986291</c:v>
                </c:pt>
                <c:pt idx="3">
                  <c:v>20447.934556823908</c:v>
                </c:pt>
                <c:pt idx="4">
                  <c:v>44707.894568543736</c:v>
                </c:pt>
                <c:pt idx="5">
                  <c:v>51293.691003921325</c:v>
                </c:pt>
                <c:pt idx="6">
                  <c:v>55484.346338712028</c:v>
                </c:pt>
                <c:pt idx="7">
                  <c:v>65761.502086717664</c:v>
                </c:pt>
                <c:pt idx="8">
                  <c:v>69798.805473754415</c:v>
                </c:pt>
                <c:pt idx="9">
                  <c:v>70018.221040492208</c:v>
                </c:pt>
                <c:pt idx="10">
                  <c:v>55359.027724321553</c:v>
                </c:pt>
                <c:pt idx="11">
                  <c:v>57194.632182249712</c:v>
                </c:pt>
                <c:pt idx="12">
                  <c:v>71050.807796369307</c:v>
                </c:pt>
                <c:pt idx="13">
                  <c:v>49281.598991353327</c:v>
                </c:pt>
                <c:pt idx="14">
                  <c:v>48455.391151724092</c:v>
                </c:pt>
                <c:pt idx="15">
                  <c:v>39528.328033134923</c:v>
                </c:pt>
                <c:pt idx="16">
                  <c:v>43565.775810788298</c:v>
                </c:pt>
                <c:pt idx="17">
                  <c:v>42188.246404473321</c:v>
                </c:pt>
                <c:pt idx="18">
                  <c:v>39332.032006155729</c:v>
                </c:pt>
                <c:pt idx="19">
                  <c:v>28277.189100713178</c:v>
                </c:pt>
                <c:pt idx="20">
                  <c:v>19568.677342483774</c:v>
                </c:pt>
                <c:pt idx="21">
                  <c:v>27880.556521961407</c:v>
                </c:pt>
              </c:numCache>
            </c:numRef>
          </c:val>
          <c:smooth val="0"/>
          <c:extLst xmlns:c16r2="http://schemas.microsoft.com/office/drawing/2015/06/chart">
            <c:ext xmlns:c16="http://schemas.microsoft.com/office/drawing/2014/chart" uri="{C3380CC4-5D6E-409C-BE32-E72D297353CC}">
              <c16:uniqueId val="{00000003-F909-42BA-82CB-5158C0AE5DB1}"/>
            </c:ext>
          </c:extLst>
        </c:ser>
        <c:ser>
          <c:idx val="3"/>
          <c:order val="3"/>
          <c:tx>
            <c:strRef>
              <c:f>Sheet1!$A$13</c:f>
              <c:strCache>
                <c:ptCount val="1"/>
                <c:pt idx="0">
                  <c:v>Developing (net)</c:v>
                </c:pt>
              </c:strCache>
            </c:strRef>
          </c:tx>
          <c:spPr>
            <a:ln w="34925" cap="rnd">
              <a:solidFill>
                <a:schemeClr val="tx1">
                  <a:lumMod val="85000"/>
                  <a:lumOff val="15000"/>
                </a:schemeClr>
              </a:solidFill>
              <a:prstDash val="sysDot"/>
              <a:round/>
            </a:ln>
            <a:effectLst/>
          </c:spPr>
          <c:marker>
            <c:symbol val="none"/>
          </c:marker>
          <c:trendline>
            <c:spPr>
              <a:ln w="19050" cap="rnd">
                <a:solidFill>
                  <a:schemeClr val="accent4"/>
                </a:solidFill>
                <a:prstDash val="sysDot"/>
              </a:ln>
              <a:effectLst/>
            </c:spPr>
            <c:trendlineType val="linear"/>
            <c:dispRSqr val="1"/>
            <c:dispEq val="0"/>
            <c:trendlineLbl>
              <c:layout>
                <c:manualLayout>
                  <c:x val="1.1977669457984418E-5"/>
                  <c:y val="2.781483709885101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trendlineLbl>
          </c:trendline>
          <c:cat>
            <c:numRef>
              <c:f>Sheet1!$B$1:$AL$1</c:f>
              <c:numCache>
                <c:formatCode>General</c:formatCode>
                <c:ptCount val="22"/>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numCache>
            </c:numRef>
          </c:cat>
          <c:val>
            <c:numRef>
              <c:f>Sheet1!$B$13:$AL$13</c:f>
              <c:numCache>
                <c:formatCode>General</c:formatCode>
                <c:ptCount val="22"/>
                <c:pt idx="0">
                  <c:v>-20030.877134470447</c:v>
                </c:pt>
                <c:pt idx="1">
                  <c:v>-21019.693189204147</c:v>
                </c:pt>
                <c:pt idx="2">
                  <c:v>-27169.138809548338</c:v>
                </c:pt>
                <c:pt idx="3">
                  <c:v>-32177.977038859819</c:v>
                </c:pt>
                <c:pt idx="4">
                  <c:v>-43205.191364136495</c:v>
                </c:pt>
                <c:pt idx="5">
                  <c:v>-40768.334512429792</c:v>
                </c:pt>
                <c:pt idx="6">
                  <c:v>-46464.564242561552</c:v>
                </c:pt>
                <c:pt idx="7">
                  <c:v>-53910.235417467535</c:v>
                </c:pt>
                <c:pt idx="8">
                  <c:v>-52437.649728281103</c:v>
                </c:pt>
                <c:pt idx="9">
                  <c:v>-51414.088686224364</c:v>
                </c:pt>
                <c:pt idx="10">
                  <c:v>-49846.252017008359</c:v>
                </c:pt>
                <c:pt idx="11">
                  <c:v>-46161.815685352572</c:v>
                </c:pt>
                <c:pt idx="12">
                  <c:v>-46434.488716981941</c:v>
                </c:pt>
                <c:pt idx="13">
                  <c:v>-44483.87743464599</c:v>
                </c:pt>
                <c:pt idx="14">
                  <c:v>-58831.086408847914</c:v>
                </c:pt>
                <c:pt idx="15">
                  <c:v>-54513.394592721139</c:v>
                </c:pt>
                <c:pt idx="16">
                  <c:v>-46513.321309665465</c:v>
                </c:pt>
                <c:pt idx="17">
                  <c:v>-52362.123161398747</c:v>
                </c:pt>
                <c:pt idx="18">
                  <c:v>-55292.808096184868</c:v>
                </c:pt>
                <c:pt idx="19">
                  <c:v>-56704.389773020412</c:v>
                </c:pt>
                <c:pt idx="20">
                  <c:v>-62321.143460363761</c:v>
                </c:pt>
                <c:pt idx="21">
                  <c:v>-66472.335796197469</c:v>
                </c:pt>
              </c:numCache>
            </c:numRef>
          </c:val>
          <c:smooth val="0"/>
          <c:extLst xmlns:c16r2="http://schemas.microsoft.com/office/drawing/2015/06/chart">
            <c:ext xmlns:c16="http://schemas.microsoft.com/office/drawing/2014/chart" uri="{C3380CC4-5D6E-409C-BE32-E72D297353CC}">
              <c16:uniqueId val="{00000005-F909-42BA-82CB-5158C0AE5DB1}"/>
            </c:ext>
          </c:extLst>
        </c:ser>
        <c:dLbls>
          <c:showLegendKey val="0"/>
          <c:showVal val="0"/>
          <c:showCatName val="0"/>
          <c:showSerName val="0"/>
          <c:showPercent val="0"/>
          <c:showBubbleSize val="0"/>
        </c:dLbls>
        <c:marker val="1"/>
        <c:smooth val="0"/>
        <c:axId val="124819328"/>
        <c:axId val="124820864"/>
      </c:lineChart>
      <c:dateAx>
        <c:axId val="12481932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4820864"/>
        <c:crosses val="autoZero"/>
        <c:auto val="0"/>
        <c:lblOffset val="100"/>
        <c:baseTimeUnit val="days"/>
      </c:dateAx>
      <c:valAx>
        <c:axId val="12482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4819328"/>
        <c:crosses val="autoZero"/>
        <c:crossBetween val="between"/>
      </c:valAx>
      <c:valAx>
        <c:axId val="124822656"/>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4824192"/>
        <c:crosses val="max"/>
        <c:crossBetween val="between"/>
        <c:majorUnit val="0.2"/>
      </c:valAx>
      <c:catAx>
        <c:axId val="124824192"/>
        <c:scaling>
          <c:orientation val="minMax"/>
        </c:scaling>
        <c:delete val="1"/>
        <c:axPos val="b"/>
        <c:numFmt formatCode="General" sourceLinked="1"/>
        <c:majorTickMark val="out"/>
        <c:minorTickMark val="none"/>
        <c:tickLblPos val="nextTo"/>
        <c:crossAx val="124822656"/>
        <c:crosses val="autoZero"/>
        <c:auto val="1"/>
        <c:lblAlgn val="ctr"/>
        <c:lblOffset val="100"/>
        <c:noMultiLvlLbl val="0"/>
      </c:catAx>
      <c:spPr>
        <a:noFill/>
        <a:ln>
          <a:noFill/>
        </a:ln>
        <a:effectLst/>
      </c:spPr>
    </c:plotArea>
    <c:legend>
      <c:legendPos val="b"/>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85000"/>
          <a:lumOff val="15000"/>
        </a:schemeClr>
      </a:solidFill>
      <a:round/>
    </a:ln>
    <a:effectLst/>
  </c:spPr>
  <c:txPr>
    <a:bodyPr/>
    <a:lstStyle/>
    <a:p>
      <a:pPr>
        <a:defRPr/>
      </a:pPr>
      <a:endParaRPr lang="pt-BR"/>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933DB-E731-49A5-B833-37949E9EA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7948</Words>
  <Characters>42923</Characters>
  <Application>Microsoft Office Word</Application>
  <DocSecurity>0</DocSecurity>
  <Lines>357</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London School of Economics</Company>
  <LinksUpToDate>false</LinksUpToDate>
  <CharactersWithSpaces>50770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Guedes,J</dc:creator>
  <cp:lastModifiedBy>Jose Paulo Guedes Pinto</cp:lastModifiedBy>
  <cp:revision>6</cp:revision>
  <cp:lastPrinted>2018-10-30T18:33:00Z</cp:lastPrinted>
  <dcterms:created xsi:type="dcterms:W3CDTF">2018-10-30T18:32:00Z</dcterms:created>
  <dcterms:modified xsi:type="dcterms:W3CDTF">2018-10-30T18:59:00Z</dcterms:modified>
</cp:coreProperties>
</file>