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9A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C7CEB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A </w:t>
      </w:r>
      <w:r>
        <w:rPr>
          <w:rFonts w:hint="default" w:ascii="Arial" w:hAnsi="Arial" w:cs="Arial"/>
          <w:sz w:val="24"/>
          <w:lang w:val="pt-BR"/>
        </w:rPr>
        <w:t>AR Rodriguez</w:t>
      </w:r>
      <w:r>
        <w:rPr>
          <w:rFonts w:ascii="Arial" w:hAnsi="Arial" w:cs="Arial"/>
          <w:sz w:val="24"/>
        </w:rPr>
        <w:t>, ciente dos esforços de cada colaborador para o aumento da qualidade de seus produtos e serviços, pela busca da melhoria contínua dos processos e do Sistema de Gestão da Qualidade, pela minimização de desperdícios e o aumento da produtividade e rentabilidade, compromete-se com a seguinte Política da Qualidade</w:t>
      </w:r>
      <w:r>
        <w:rPr>
          <w:rFonts w:ascii="Arial" w:hAnsi="Arial" w:cs="Arial"/>
          <w:sz w:val="24"/>
          <w:szCs w:val="24"/>
        </w:rPr>
        <w:t>:</w:t>
      </w:r>
    </w:p>
    <w:p w14:paraId="375E50C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4445</wp:posOffset>
                </wp:positionV>
                <wp:extent cx="4933950" cy="3218180"/>
                <wp:effectExtent l="4445" t="4445" r="14605" b="15875"/>
                <wp:wrapNone/>
                <wp:docPr id="30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0EA8D64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Garantir a satisfação do cliente, baseado em princípios de honestidade, transparência, integridade e respeito às leis na condição dos nossos negócios e relacionamentos;</w:t>
                            </w:r>
                          </w:p>
                          <w:p w14:paraId="713F2BF0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Assegurar treinamento e motivação dos colaboradores, desenvolvendo a cultura de conscientização e engajamento, refletindo diretamente na qualidade de processos e produtos;</w:t>
                            </w:r>
                          </w:p>
                          <w:p w14:paraId="1F8584B6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Aliar e desenvolver produtos e serviços inovadores, parcerias e fornecedores comprometidos, para assim, proporcionar soluções aos processos de comercialização e serviços;</w:t>
                            </w:r>
                          </w:p>
                          <w:p w14:paraId="6040EA98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Prevenir e minimizar a geração de resíduos, os aspectos e impactos ambientais durante suas atividades;</w:t>
                            </w:r>
                          </w:p>
                          <w:p w14:paraId="3574B711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Atuar sempre em busca da Melhoria contínua dos processos;</w:t>
                            </w:r>
                          </w:p>
                          <w:p w14:paraId="52759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45.3pt;margin-top:0.35pt;height:253.4pt;width:388.5pt;z-index:251660288;mso-width-relative:page;mso-height-relative:page;" fillcolor="#FFFFFF" filled="t" stroked="t" coordsize="21600,21600" o:gfxdata="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vH571QAAAAcBAAAPAAAAAAAAAAEAIAAAACIAAABkcnMvZG93bnJldi54bWxQSwEC&#10;FAAUAAAACACHTuJAxMyrnDACAACDBAAADgAAAAAAAAABACAAAAAk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0EA8D64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Garantir a satisfação do cliente, baseado em princípios de honestidade, transparência, integridade e respeito às leis na condição dos nossos negócios e relacionamentos;</w:t>
                      </w:r>
                    </w:p>
                    <w:p w14:paraId="713F2BF0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Assegurar treinamento e motivação dos colaboradores, desenvolvendo a cultura de conscientização e engajamento, refletindo diretamente na qualidade de processos e produtos;</w:t>
                      </w:r>
                    </w:p>
                    <w:p w14:paraId="1F8584B6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Aliar e desenvolver produtos e serviços inovadores, parcerias e fornecedores comprometidos, para assim, proporcionar soluções aos processos de comercialização e serviços;</w:t>
                      </w:r>
                    </w:p>
                    <w:p w14:paraId="6040EA98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Prevenir e minimizar a geração de resíduos, os aspectos e impactos ambientais durante suas atividades;</w:t>
                      </w:r>
                    </w:p>
                    <w:p w14:paraId="3574B711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Atuar sempre em busca da Melhoria contínua dos processos;</w:t>
                      </w:r>
                    </w:p>
                    <w:p w14:paraId="52759570"/>
                  </w:txbxContent>
                </v:textbox>
              </v:shape>
            </w:pict>
          </mc:Fallback>
        </mc:AlternateContent>
      </w:r>
    </w:p>
    <w:p w14:paraId="44F1930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DE02D76">
      <w:pPr>
        <w:pStyle w:val="17"/>
        <w:rPr>
          <w:rFonts w:ascii="Arial" w:hAnsi="Arial" w:cs="Arial"/>
          <w:i/>
          <w:sz w:val="24"/>
          <w:szCs w:val="24"/>
        </w:rPr>
      </w:pPr>
    </w:p>
    <w:p w14:paraId="0487B32F">
      <w:pPr>
        <w:spacing w:after="120" w:line="360" w:lineRule="auto"/>
        <w:ind w:firstLine="567"/>
        <w:rPr>
          <w:rFonts w:ascii="Arial" w:hAnsi="Arial" w:cs="Arial"/>
          <w:sz w:val="24"/>
        </w:rPr>
      </w:pPr>
    </w:p>
    <w:p w14:paraId="0BBE0BDA">
      <w:pPr>
        <w:spacing w:after="120" w:line="360" w:lineRule="auto"/>
        <w:ind w:firstLine="567"/>
        <w:rPr>
          <w:rFonts w:ascii="Arial" w:hAnsi="Arial" w:cs="Arial"/>
          <w:sz w:val="24"/>
        </w:rPr>
      </w:pPr>
    </w:p>
    <w:p w14:paraId="010E2E84">
      <w:pPr>
        <w:spacing w:after="120" w:line="360" w:lineRule="auto"/>
        <w:ind w:firstLine="567"/>
        <w:rPr>
          <w:rFonts w:ascii="Arial" w:hAnsi="Arial" w:cs="Arial"/>
          <w:sz w:val="24"/>
        </w:rPr>
      </w:pPr>
    </w:p>
    <w:p w14:paraId="452678F3">
      <w:pPr>
        <w:spacing w:after="120" w:line="360" w:lineRule="auto"/>
        <w:ind w:firstLine="567"/>
        <w:jc w:val="both"/>
        <w:rPr>
          <w:rFonts w:ascii="Arial" w:hAnsi="Arial" w:cs="Arial"/>
          <w:sz w:val="24"/>
        </w:rPr>
      </w:pPr>
    </w:p>
    <w:p w14:paraId="09058246">
      <w:pPr>
        <w:spacing w:after="120" w:line="360" w:lineRule="auto"/>
        <w:ind w:firstLine="567"/>
        <w:jc w:val="both"/>
        <w:rPr>
          <w:rFonts w:ascii="Arial" w:hAnsi="Arial" w:cs="Arial"/>
          <w:sz w:val="24"/>
        </w:rPr>
      </w:pPr>
    </w:p>
    <w:p w14:paraId="09D0D603">
      <w:pPr>
        <w:spacing w:after="120" w:line="360" w:lineRule="auto"/>
        <w:ind w:firstLine="567"/>
        <w:jc w:val="both"/>
        <w:rPr>
          <w:rFonts w:ascii="Arial" w:hAnsi="Arial" w:cs="Arial"/>
          <w:sz w:val="24"/>
        </w:rPr>
      </w:pPr>
    </w:p>
    <w:p w14:paraId="0BD6FB8A">
      <w:pPr>
        <w:spacing w:after="120" w:line="360" w:lineRule="auto"/>
        <w:ind w:firstLine="567"/>
        <w:jc w:val="both"/>
        <w:rPr>
          <w:rFonts w:ascii="Arial" w:hAnsi="Arial" w:cs="Arial"/>
          <w:sz w:val="24"/>
        </w:rPr>
      </w:pPr>
    </w:p>
    <w:p w14:paraId="6C7BC2D9">
      <w:pPr>
        <w:spacing w:after="120"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Visando garantir a concretização das ações e o atendimento aos requisitos do Sistema de Gestão da Qualidade, os assuntos da qualidade são apoiados pela Diretoria, que tem como meta a contínua divulgação desta Política da Qualidade através do treinamento e conscientização de nossos colaboradores e incentivo destes princípios junto aos nossos fornecedores.</w:t>
      </w:r>
    </w:p>
    <w:p w14:paraId="329974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31D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292735</wp:posOffset>
                </wp:positionV>
                <wp:extent cx="2762250" cy="0"/>
                <wp:effectExtent l="0" t="0" r="19050" b="1905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40.2pt;margin-top:23.05pt;height:0pt;width:217.5pt;z-index:251659264;mso-width-relative:page;mso-height-relative:page;" filled="f" stroked="t" coordsize="21600,21600" o:gfxdata="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SSDpjWAAAACQEAAA8AAAAAAAAAAQAgAAAA&#10;IgAAAGRycy9kb3ducmV2LnhtbFBLAQIUABQAAAAIAIdO4kBxvsW51AEAALI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FEFC945"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Antônio Rodriguez Y Rodriguez Neto</w:t>
      </w:r>
    </w:p>
    <w:sectPr>
      <w:headerReference r:id="rId5" w:type="default"/>
      <w:footerReference r:id="rId6" w:type="default"/>
      <w:pgSz w:w="11906" w:h="16838"/>
      <w:pgMar w:top="1701" w:right="924" w:bottom="1134" w:left="1134" w:header="709" w:footer="86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C659F">
    <w:pPr>
      <w:pStyle w:val="11"/>
    </w:pPr>
    <w:r>
      <w:rPr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428625</wp:posOffset>
          </wp:positionH>
          <wp:positionV relativeFrom="paragraph">
            <wp:posOffset>10415270</wp:posOffset>
          </wp:positionV>
          <wp:extent cx="733425" cy="195580"/>
          <wp:effectExtent l="0" t="0" r="9525" b="0"/>
          <wp:wrapNone/>
          <wp:docPr id="6" name="Imagem 6" descr="Description: Description: Description: cid:8183FE9C-B133-4F2C-BA38-EAA68A598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Description: Description: Description: cid:8183FE9C-B133-4F2C-BA38-EAA68A5981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195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79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050"/>
      <w:gridCol w:w="2840"/>
      <w:gridCol w:w="3260"/>
      <w:gridCol w:w="1640"/>
    </w:tblGrid>
    <w:tr w14:paraId="61E1EE3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548" w:hRule="atLeast"/>
      </w:trPr>
      <w:tc>
        <w:tcPr>
          <w:tcW w:w="2050" w:type="dxa"/>
          <w:vMerge w:val="restart"/>
          <w:vAlign w:val="center"/>
        </w:tcPr>
        <w:p w14:paraId="1A6C125D">
          <w:pPr>
            <w:pStyle w:val="10"/>
            <w:tabs>
              <w:tab w:val="left" w:pos="1843"/>
            </w:tabs>
            <w:ind w:right="67"/>
            <w:jc w:val="center"/>
            <w:rPr>
              <w:rFonts w:ascii="Arial" w:hAnsi="Arial"/>
              <w:b/>
              <w:color w:val="000000"/>
              <w:lang w:val="en-US"/>
            </w:rPr>
          </w:pPr>
          <w:bookmarkStart w:id="0" w:name="_GoBack"/>
          <w:r>
            <w:drawing>
              <wp:inline distT="0" distB="0" distL="114300" distR="114300">
                <wp:extent cx="988060" cy="198120"/>
                <wp:effectExtent l="0" t="0" r="2540" b="5080"/>
                <wp:docPr id="4" name="Imagem 2" descr="Placa vermelha com letras brancas em fundo pre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Placa vermelha com letras brancas em fundo pret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0" t="-294" r="-60" b="-2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8060" cy="198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gridSpan w:val="2"/>
          <w:shd w:val="clear" w:color="auto" w:fill="002060"/>
          <w:vAlign w:val="center"/>
        </w:tcPr>
        <w:p w14:paraId="68505F8E">
          <w:pPr>
            <w:pStyle w:val="4"/>
            <w:numPr>
              <w:ilvl w:val="0"/>
              <w:numId w:val="0"/>
            </w:numPr>
            <w:jc w:val="center"/>
            <w:rPr>
              <w:i w:val="0"/>
              <w:color w:val="000000"/>
            </w:rPr>
          </w:pPr>
          <w:r>
            <w:rPr>
              <w:i w:val="0"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POLÍTICA D</w:t>
          </w:r>
          <w:r>
            <w:rPr>
              <w:rFonts w:hint="default"/>
              <w:i w:val="0"/>
              <w:color w:val="FFFFFF" w:themeColor="background1"/>
              <w:sz w:val="24"/>
              <w:lang w:val="pt-BR"/>
              <w14:textFill>
                <w14:solidFill>
                  <w14:schemeClr w14:val="bg1"/>
                </w14:solidFill>
              </w14:textFill>
            </w:rPr>
            <w:t>E</w:t>
          </w:r>
          <w:r>
            <w:rPr>
              <w:i w:val="0"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 xml:space="preserve"> QUALIDADE</w:t>
          </w:r>
        </w:p>
      </w:tc>
      <w:tc>
        <w:tcPr>
          <w:tcW w:w="1640" w:type="dxa"/>
          <w:vAlign w:val="center"/>
        </w:tcPr>
        <w:p w14:paraId="1E3FF0B8">
          <w:pPr>
            <w:pStyle w:val="10"/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Data:</w:t>
          </w:r>
        </w:p>
        <w:p w14:paraId="7DAAB505">
          <w:pPr>
            <w:pStyle w:val="10"/>
            <w:jc w:val="center"/>
            <w:rPr>
              <w:rFonts w:ascii="Arial" w:hAnsi="Arial"/>
              <w:b/>
              <w:color w:val="000000"/>
            </w:rPr>
          </w:pPr>
          <w:r>
            <w:rPr>
              <w:rFonts w:hint="default" w:ascii="Arial" w:hAnsi="Arial"/>
              <w:b w:val="0"/>
              <w:bCs/>
              <w:color w:val="000000"/>
              <w:lang w:val="pt-BR"/>
            </w:rPr>
            <w:t>01/10/2024</w:t>
          </w:r>
        </w:p>
      </w:tc>
    </w:tr>
    <w:bookmarkEnd w:id="0"/>
    <w:tr w14:paraId="25A9BB5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573" w:hRule="atLeast"/>
      </w:trPr>
      <w:tc>
        <w:tcPr>
          <w:tcW w:w="2050" w:type="dxa"/>
          <w:vMerge w:val="continue"/>
        </w:tcPr>
        <w:p w14:paraId="1C2A9F2B">
          <w:pPr>
            <w:pStyle w:val="10"/>
            <w:jc w:val="center"/>
            <w:rPr>
              <w:rFonts w:ascii="Arial" w:hAnsi="Arial"/>
              <w:b/>
              <w:color w:val="000000"/>
            </w:rPr>
          </w:pPr>
        </w:p>
      </w:tc>
      <w:tc>
        <w:tcPr>
          <w:tcW w:w="2840" w:type="dxa"/>
          <w:vAlign w:val="center"/>
        </w:tcPr>
        <w:p w14:paraId="2E17F5DE">
          <w:pPr>
            <w:spacing w:after="0" w:line="240" w:lineRule="auto"/>
            <w:jc w:val="center"/>
            <w:rPr>
              <w:rFonts w:ascii="Arial" w:hAnsi="Arial"/>
              <w:b/>
              <w:bCs/>
              <w:color w:val="000000"/>
              <w:sz w:val="18"/>
            </w:rPr>
          </w:pPr>
          <w:r>
            <w:rPr>
              <w:rFonts w:ascii="Arial" w:hAnsi="Arial"/>
              <w:b/>
              <w:bCs/>
              <w:color w:val="000000"/>
              <w:sz w:val="18"/>
            </w:rPr>
            <w:t>COD:</w:t>
          </w:r>
        </w:p>
        <w:p w14:paraId="031E3E0B">
          <w:pPr>
            <w:spacing w:after="0" w:line="240" w:lineRule="auto"/>
            <w:jc w:val="center"/>
            <w:rPr>
              <w:rFonts w:ascii="Arial" w:hAnsi="Arial"/>
              <w:bCs/>
              <w:color w:val="000000"/>
              <w:sz w:val="18"/>
            </w:rPr>
          </w:pPr>
          <w:r>
            <w:rPr>
              <w:rFonts w:ascii="Arial" w:hAnsi="Arial"/>
              <w:bCs/>
              <w:color w:val="000000"/>
              <w:sz w:val="18"/>
            </w:rPr>
            <w:t>F</w:t>
          </w:r>
          <w:r>
            <w:rPr>
              <w:rFonts w:hint="default" w:ascii="Arial" w:hAnsi="Arial"/>
              <w:bCs/>
              <w:color w:val="000000"/>
              <w:sz w:val="18"/>
              <w:lang w:val="pt-BR"/>
            </w:rPr>
            <w:t>.SGQ</w:t>
          </w:r>
          <w:r>
            <w:rPr>
              <w:rFonts w:ascii="Arial" w:hAnsi="Arial"/>
              <w:bCs/>
              <w:color w:val="000000"/>
              <w:sz w:val="18"/>
            </w:rPr>
            <w:t>.00</w:t>
          </w:r>
          <w:r>
            <w:rPr>
              <w:rFonts w:hint="default" w:ascii="Arial" w:hAnsi="Arial"/>
              <w:bCs/>
              <w:color w:val="000000"/>
              <w:sz w:val="18"/>
              <w:lang w:val="pt-BR"/>
            </w:rPr>
            <w:t>6</w:t>
          </w:r>
          <w:r>
            <w:rPr>
              <w:rFonts w:ascii="Arial" w:hAnsi="Arial"/>
              <w:bCs/>
              <w:color w:val="000000"/>
              <w:sz w:val="18"/>
            </w:rPr>
            <w:t>/00</w:t>
          </w:r>
        </w:p>
      </w:tc>
      <w:tc>
        <w:tcPr>
          <w:tcW w:w="3260" w:type="dxa"/>
          <w:vAlign w:val="center"/>
        </w:tcPr>
        <w:p w14:paraId="75B06BC2">
          <w:pPr>
            <w:spacing w:after="0" w:line="240" w:lineRule="auto"/>
            <w:jc w:val="center"/>
            <w:rPr>
              <w:rFonts w:ascii="Arial" w:hAnsi="Arial"/>
              <w:b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>Responsável:</w:t>
          </w:r>
        </w:p>
        <w:p w14:paraId="155BADFD">
          <w:pPr>
            <w:spacing w:after="0" w:line="240" w:lineRule="auto"/>
            <w:jc w:val="center"/>
            <w:rPr>
              <w:rFonts w:ascii="Arial" w:hAnsi="Arial"/>
              <w:color w:val="000000"/>
              <w:sz w:val="18"/>
            </w:rPr>
          </w:pPr>
          <w:r>
            <w:rPr>
              <w:rFonts w:hint="default" w:ascii="Arial" w:hAnsi="Arial"/>
              <w:color w:val="000000"/>
              <w:sz w:val="18"/>
              <w:lang w:val="pt-BR"/>
            </w:rPr>
            <w:t>Antônio Rodriguez</w:t>
          </w:r>
          <w:r>
            <w:rPr>
              <w:rFonts w:ascii="Arial" w:hAnsi="Arial"/>
              <w:color w:val="000000"/>
              <w:sz w:val="18"/>
            </w:rPr>
            <w:fldChar w:fldCharType="begin"/>
          </w:r>
          <w:r>
            <w:rPr>
              <w:rFonts w:ascii="Arial" w:hAnsi="Arial"/>
              <w:color w:val="000000"/>
              <w:sz w:val="18"/>
            </w:rPr>
            <w:instrText xml:space="preserve"> COMMENTS  \* LOWER </w:instrText>
          </w:r>
          <w:r>
            <w:rPr>
              <w:rFonts w:ascii="Arial" w:hAnsi="Arial"/>
              <w:color w:val="000000"/>
              <w:sz w:val="18"/>
            </w:rPr>
            <w:fldChar w:fldCharType="end"/>
          </w:r>
        </w:p>
      </w:tc>
      <w:tc>
        <w:tcPr>
          <w:tcW w:w="1640" w:type="dxa"/>
          <w:vAlign w:val="center"/>
        </w:tcPr>
        <w:p w14:paraId="06EF33CC">
          <w:pPr>
            <w:pStyle w:val="10"/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Rev.: 00</w:t>
          </w:r>
        </w:p>
      </w:tc>
    </w:tr>
  </w:tbl>
  <w:p w14:paraId="5566EC3A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3E886"/>
    <w:multiLevelType w:val="singleLevel"/>
    <w:tmpl w:val="D783E8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0B5E4405"/>
    <w:multiLevelType w:val="multilevel"/>
    <w:tmpl w:val="0B5E4405"/>
    <w:lvl w:ilvl="0" w:tentative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lang w:val="pt-BR"/>
      </w:rPr>
    </w:lvl>
    <w:lvl w:ilvl="1" w:tentative="0">
      <w:start w:val="1"/>
      <w:numFmt w:val="decimal"/>
      <w:pStyle w:val="3"/>
      <w:isLgl/>
      <w:lvlText w:val="%1.%2."/>
      <w:lvlJc w:val="left"/>
      <w:pPr>
        <w:ind w:left="1883" w:hanging="465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2564" w:hanging="720"/>
      </w:pPr>
      <w:rPr>
        <w:rFonts w:hint="default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8C"/>
    <w:rsid w:val="000178C1"/>
    <w:rsid w:val="0004142A"/>
    <w:rsid w:val="00043DA7"/>
    <w:rsid w:val="00095F48"/>
    <w:rsid w:val="00120106"/>
    <w:rsid w:val="001350B0"/>
    <w:rsid w:val="00157406"/>
    <w:rsid w:val="00167736"/>
    <w:rsid w:val="00184A04"/>
    <w:rsid w:val="001D54AB"/>
    <w:rsid w:val="002275CB"/>
    <w:rsid w:val="00234A02"/>
    <w:rsid w:val="00237A0B"/>
    <w:rsid w:val="002A7B21"/>
    <w:rsid w:val="002B240B"/>
    <w:rsid w:val="002B51ED"/>
    <w:rsid w:val="00301E70"/>
    <w:rsid w:val="00331B9B"/>
    <w:rsid w:val="00335980"/>
    <w:rsid w:val="00376D36"/>
    <w:rsid w:val="003C21D9"/>
    <w:rsid w:val="003C38DF"/>
    <w:rsid w:val="003D2231"/>
    <w:rsid w:val="004941D1"/>
    <w:rsid w:val="004D1B9A"/>
    <w:rsid w:val="00501FB3"/>
    <w:rsid w:val="00520902"/>
    <w:rsid w:val="005A08E1"/>
    <w:rsid w:val="005C5328"/>
    <w:rsid w:val="005F7941"/>
    <w:rsid w:val="0060765C"/>
    <w:rsid w:val="006762CD"/>
    <w:rsid w:val="0068632D"/>
    <w:rsid w:val="006D76AB"/>
    <w:rsid w:val="007720D8"/>
    <w:rsid w:val="00781C5B"/>
    <w:rsid w:val="00785B94"/>
    <w:rsid w:val="0080015B"/>
    <w:rsid w:val="00833CB5"/>
    <w:rsid w:val="008432CB"/>
    <w:rsid w:val="00862455"/>
    <w:rsid w:val="00887F6C"/>
    <w:rsid w:val="008F2501"/>
    <w:rsid w:val="00916AB6"/>
    <w:rsid w:val="00921C1D"/>
    <w:rsid w:val="009275BF"/>
    <w:rsid w:val="00942F32"/>
    <w:rsid w:val="009520B9"/>
    <w:rsid w:val="009733F7"/>
    <w:rsid w:val="009C57B3"/>
    <w:rsid w:val="009D1886"/>
    <w:rsid w:val="009D473F"/>
    <w:rsid w:val="00A21C53"/>
    <w:rsid w:val="00A22754"/>
    <w:rsid w:val="00A7460F"/>
    <w:rsid w:val="00AA5954"/>
    <w:rsid w:val="00B07AB0"/>
    <w:rsid w:val="00B10254"/>
    <w:rsid w:val="00B354C2"/>
    <w:rsid w:val="00B7168C"/>
    <w:rsid w:val="00B76A8A"/>
    <w:rsid w:val="00BB1A5F"/>
    <w:rsid w:val="00BC0A0B"/>
    <w:rsid w:val="00BD5324"/>
    <w:rsid w:val="00C31B51"/>
    <w:rsid w:val="00C82430"/>
    <w:rsid w:val="00C9178C"/>
    <w:rsid w:val="00CE6F6C"/>
    <w:rsid w:val="00D20D16"/>
    <w:rsid w:val="00D541D3"/>
    <w:rsid w:val="00D73CD0"/>
    <w:rsid w:val="00DA518E"/>
    <w:rsid w:val="00DF7C79"/>
    <w:rsid w:val="00E2573D"/>
    <w:rsid w:val="00E47A6C"/>
    <w:rsid w:val="00E614F5"/>
    <w:rsid w:val="00EC4C42"/>
    <w:rsid w:val="00EF6893"/>
    <w:rsid w:val="00F11326"/>
    <w:rsid w:val="00F2102C"/>
    <w:rsid w:val="00FD7453"/>
    <w:rsid w:val="61A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after="0" w:line="240" w:lineRule="auto"/>
      <w:jc w:val="both"/>
      <w:outlineLvl w:val="0"/>
    </w:pPr>
    <w:rPr>
      <w:rFonts w:ascii="Arial" w:hAnsi="Arial" w:eastAsia="Times New Roman" w:cs="Arial"/>
      <w:b/>
      <w:sz w:val="28"/>
      <w:szCs w:val="28"/>
    </w:rPr>
  </w:style>
  <w:style w:type="paragraph" w:styleId="3">
    <w:name w:val="heading 2"/>
    <w:basedOn w:val="1"/>
    <w:next w:val="1"/>
    <w:link w:val="19"/>
    <w:qFormat/>
    <w:uiPriority w:val="0"/>
    <w:pPr>
      <w:keepNext/>
      <w:numPr>
        <w:ilvl w:val="1"/>
        <w:numId w:val="1"/>
      </w:numPr>
      <w:spacing w:after="0" w:line="240" w:lineRule="auto"/>
      <w:ind w:left="825"/>
      <w:jc w:val="both"/>
      <w:outlineLvl w:val="1"/>
    </w:pPr>
    <w:rPr>
      <w:rFonts w:ascii="Arial" w:hAnsi="Arial" w:eastAsia="Times New Roman" w:cs="Arial"/>
      <w:b/>
      <w:bCs/>
      <w:sz w:val="26"/>
      <w:szCs w:val="26"/>
    </w:rPr>
  </w:style>
  <w:style w:type="paragraph" w:styleId="4">
    <w:name w:val="heading 3"/>
    <w:basedOn w:val="1"/>
    <w:next w:val="1"/>
    <w:link w:val="20"/>
    <w:qFormat/>
    <w:uiPriority w:val="0"/>
    <w:pPr>
      <w:keepNext/>
      <w:numPr>
        <w:ilvl w:val="2"/>
        <w:numId w:val="1"/>
      </w:numPr>
      <w:spacing w:after="0" w:line="240" w:lineRule="auto"/>
      <w:ind w:left="1080"/>
      <w:jc w:val="both"/>
      <w:outlineLvl w:val="2"/>
    </w:pPr>
    <w:rPr>
      <w:rFonts w:ascii="Arial" w:hAnsi="Arial" w:eastAsia="Times New Roman" w:cs="Arial"/>
      <w:b/>
      <w:i/>
    </w:rPr>
  </w:style>
  <w:style w:type="paragraph" w:styleId="5">
    <w:name w:val="heading 4"/>
    <w:basedOn w:val="1"/>
    <w:next w:val="1"/>
    <w:link w:val="21"/>
    <w:qFormat/>
    <w:uiPriority w:val="0"/>
    <w:pPr>
      <w:keepNext/>
      <w:numPr>
        <w:ilvl w:val="3"/>
        <w:numId w:val="1"/>
      </w:numPr>
      <w:spacing w:after="0" w:line="240" w:lineRule="auto"/>
      <w:ind w:right="-1"/>
      <w:jc w:val="both"/>
      <w:outlineLvl w:val="3"/>
    </w:pPr>
    <w:rPr>
      <w:rFonts w:ascii="Arial" w:hAnsi="Arial" w:eastAsia="Times New Roman" w:cs="Arial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6"/>
    <w:semiHidden/>
    <w:uiPriority w:val="0"/>
  </w:style>
  <w:style w:type="paragraph" w:styleId="9">
    <w:name w:val="Body Text"/>
    <w:basedOn w:val="1"/>
    <w:link w:val="22"/>
    <w:uiPriority w:val="0"/>
    <w:pPr>
      <w:spacing w:after="0" w:line="240" w:lineRule="auto"/>
    </w:pPr>
    <w:rPr>
      <w:rFonts w:ascii="Bookman Old Style" w:hAnsi="Bookman Old Style" w:eastAsia="Times New Roman" w:cs="Times New Roman"/>
      <w:b/>
      <w:sz w:val="28"/>
      <w:szCs w:val="20"/>
      <w:lang w:eastAsia="pt-BR"/>
    </w:rPr>
  </w:style>
  <w:style w:type="paragraph" w:styleId="10">
    <w:name w:val="header"/>
    <w:basedOn w:val="1"/>
    <w:link w:val="14"/>
    <w:unhideWhenUsed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3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Cabeçalho Char"/>
    <w:basedOn w:val="6"/>
    <w:link w:val="10"/>
    <w:uiPriority w:val="0"/>
  </w:style>
  <w:style w:type="character" w:customStyle="1" w:styleId="15">
    <w:name w:val="Rodapé Char"/>
    <w:basedOn w:val="6"/>
    <w:link w:val="11"/>
    <w:uiPriority w:val="99"/>
  </w:style>
  <w:style w:type="character" w:customStyle="1" w:styleId="16">
    <w:name w:val="Texto de balão Char"/>
    <w:basedOn w:val="6"/>
    <w:link w:val="12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ítulo 1 Char"/>
    <w:basedOn w:val="6"/>
    <w:link w:val="2"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9">
    <w:name w:val="Título 2 Char"/>
    <w:basedOn w:val="6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20">
    <w:name w:val="Título 3 Char"/>
    <w:basedOn w:val="6"/>
    <w:link w:val="4"/>
    <w:qFormat/>
    <w:uiPriority w:val="0"/>
    <w:rPr>
      <w:rFonts w:ascii="Arial" w:hAnsi="Arial" w:eastAsia="Times New Roman" w:cs="Arial"/>
      <w:b/>
      <w:i/>
    </w:rPr>
  </w:style>
  <w:style w:type="character" w:customStyle="1" w:styleId="21">
    <w:name w:val="Título 4 Char"/>
    <w:basedOn w:val="6"/>
    <w:link w:val="5"/>
    <w:qFormat/>
    <w:uiPriority w:val="0"/>
    <w:rPr>
      <w:rFonts w:ascii="Arial" w:hAnsi="Arial" w:eastAsia="Times New Roman" w:cs="Arial"/>
    </w:rPr>
  </w:style>
  <w:style w:type="character" w:customStyle="1" w:styleId="22">
    <w:name w:val="Corpo de texto Char"/>
    <w:basedOn w:val="6"/>
    <w:link w:val="9"/>
    <w:uiPriority w:val="0"/>
    <w:rPr>
      <w:rFonts w:ascii="Bookman Old Style" w:hAnsi="Bookman Old Style" w:eastAsia="Times New Roman" w:cs="Times New Roman"/>
      <w:b/>
      <w:sz w:val="28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89C6D-ACF0-4AB2-A3E5-9091DB93A3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607</Characters>
  <Lines>5</Lines>
  <Paragraphs>1</Paragraphs>
  <TotalTime>3</TotalTime>
  <ScaleCrop>false</ScaleCrop>
  <LinksUpToDate>false</LinksUpToDate>
  <CharactersWithSpaces>718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2018-05-31T13:42:00Z</dcterms:created>
  <dc:creator>arocha</dc:creator>
  <cp:lastModifiedBy>thiago.botinelly</cp:lastModifiedBy>
  <cp:lastPrinted>2017-05-07T17:56:00Z</cp:lastPrinted>
  <dcterms:modified xsi:type="dcterms:W3CDTF">2024-10-15T12:47:55Z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CC551EDB9EAE46BFAE20CF17C4CE36D4_13</vt:lpwstr>
  </property>
</Properties>
</file>