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31DBC">
      <w:pPr>
        <w:numPr>
          <w:ilvl w:val="0"/>
          <w:numId w:val="1"/>
        </w:numPr>
        <w:ind w:left="580" w:leftChars="0" w:firstLineChars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14:paraId="7CE101B5"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pt-BR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>Estabelece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r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uma sistemática para adquirir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produtos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e serviços, utilizados nos </w:t>
      </w:r>
    </w:p>
    <w:p w14:paraId="16284702"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processos da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organização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, visando assegurar que os produtos e serviços adquiridos, estejam dentro dos requisitos especificados pela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AR Rodriguez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>.</w:t>
      </w:r>
    </w:p>
    <w:p w14:paraId="1184A6CC">
      <w:pPr>
        <w:keepNext w:val="0"/>
        <w:keepLines w:val="0"/>
        <w:widowControl/>
        <w:suppressLineNumbers w:val="0"/>
        <w:jc w:val="left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pt-BR" w:bidi="ar-SA"/>
        </w:rPr>
      </w:pPr>
    </w:p>
    <w:p w14:paraId="43638D81">
      <w:pPr>
        <w:numPr>
          <w:ilvl w:val="0"/>
          <w:numId w:val="1"/>
        </w:numPr>
        <w:spacing w:after="0" w:line="480" w:lineRule="auto"/>
        <w:ind w:left="580" w:leftChars="0" w:firstLineChars="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sz w:val="24"/>
          <w:szCs w:val="24"/>
          <w:lang w:eastAsia="pt-BR"/>
        </w:rPr>
        <w:t>Campo de Aplicação</w:t>
      </w:r>
    </w:p>
    <w:p w14:paraId="3893F62B">
      <w:pPr>
        <w:numPr>
          <w:ilvl w:val="0"/>
          <w:numId w:val="0"/>
        </w:numPr>
        <w:spacing w:after="0" w:line="480" w:lineRule="auto"/>
        <w:ind w:left="360" w:leftChars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pt-BR"/>
        </w:rPr>
        <w:t>AR RODRIGUEZ UNIDADE - AM/RO/RJ</w:t>
      </w:r>
    </w:p>
    <w:p w14:paraId="6179887B">
      <w:pPr>
        <w:numPr>
          <w:ilvl w:val="0"/>
          <w:numId w:val="1"/>
        </w:numPr>
        <w:spacing w:after="0" w:line="480" w:lineRule="auto"/>
        <w:ind w:left="580" w:leftChars="0" w:firstLineChars="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sz w:val="24"/>
          <w:szCs w:val="24"/>
          <w:lang w:eastAsia="pt-BR"/>
        </w:rPr>
        <w:t>Termos e definições</w:t>
      </w:r>
    </w:p>
    <w:p w14:paraId="3C5AFFD4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>3.1 - Risco: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É o efeito da incerteza, e qualquer incerteza pode ter um efeito positivo ou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n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egativo, um desvio positivo proveniente de um risco pode oferecer uma oportunidade, mas nem todos os efeitos positivos de risco resultam em oportunidades. </w:t>
      </w:r>
    </w:p>
    <w:p w14:paraId="3E5298DA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>3.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>2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 xml:space="preserve"> - Compras: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É o processo referente às aquisições realizadas pela Norteferro, para matérias primas e serviços, utilizados nos processos de fabricação e comercialização. </w:t>
      </w:r>
    </w:p>
    <w:p w14:paraId="24C53819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sz w:val="24"/>
          <w:szCs w:val="24"/>
          <w:lang w:eastAsia="pt-BR"/>
        </w:rPr>
        <w:t>Responsabilidades</w:t>
      </w:r>
    </w:p>
    <w:p w14:paraId="63A0D8E2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>4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>.1 - Compras: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Realizar a cotação de preços e adquir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ir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o produto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ou serviço, conforme este procedimento. </w:t>
      </w:r>
    </w:p>
    <w:p w14:paraId="0C8464E7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>4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 xml:space="preserve">.2 - Estoque </w:t>
      </w:r>
    </w:p>
    <w:p w14:paraId="5B47B748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a) Analisar a matéria prima adquirida, verificando se a mesma está de acordo com o </w:t>
      </w:r>
    </w:p>
    <w:p w14:paraId="545508B1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especificado na Nota Fiscal e Pedido de Compras; </w:t>
      </w:r>
    </w:p>
    <w:p w14:paraId="2076313F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b) Emitir o Relatório de Não conformidades, os produtos adquiridos estiverem não </w:t>
      </w:r>
    </w:p>
    <w:p w14:paraId="111B540B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conforme. </w:t>
      </w:r>
    </w:p>
    <w:p w14:paraId="44DA5147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>c) Estoca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r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e controla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r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en-US" w:eastAsia="zh-CN" w:bidi="ar-SA"/>
        </w:rPr>
        <w:t xml:space="preserve"> os materiais recebidos. </w:t>
      </w:r>
    </w:p>
    <w:p w14:paraId="4CEC5540">
      <w:pPr>
        <w:keepNext w:val="0"/>
        <w:keepLines w:val="0"/>
        <w:widowControl/>
        <w:suppressLineNumbers w:val="0"/>
        <w:jc w:val="both"/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</w:pP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>4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>.3 - Usuário do serviço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>/produto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en-US" w:eastAsia="zh-CN" w:bidi="ar-SA"/>
        </w:rPr>
        <w:t>:</w:t>
      </w:r>
      <w:r>
        <w:rPr>
          <w:rFonts w:hint="default" w:ascii="Arial" w:hAnsi="Arial" w:eastAsia="Times New Roman" w:cs="Arial"/>
          <w:b/>
          <w:bCs w:val="0"/>
          <w:sz w:val="24"/>
          <w:szCs w:val="24"/>
          <w:lang w:val="pt-BR" w:eastAsia="zh-CN" w:bidi="ar-SA"/>
        </w:rPr>
        <w:t xml:space="preserve"> </w:t>
      </w:r>
      <w:r>
        <w:rPr>
          <w:rFonts w:hint="default" w:ascii="Arial" w:hAnsi="Arial" w:eastAsia="Times New Roman" w:cs="Arial"/>
          <w:b w:val="0"/>
          <w:bCs/>
          <w:sz w:val="24"/>
          <w:szCs w:val="24"/>
          <w:lang w:val="pt-BR" w:eastAsia="zh-CN" w:bidi="ar-SA"/>
        </w:rPr>
        <w:t>Abrir Solicitação de Compra</w:t>
      </w:r>
    </w:p>
    <w:p w14:paraId="105E0CCA">
      <w:pPr>
        <w:numPr>
          <w:numId w:val="0"/>
        </w:numPr>
        <w:spacing w:line="480" w:lineRule="auto"/>
        <w:ind w:left="360" w:leftChars="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14:paraId="716D2B25">
      <w:pPr>
        <w:numPr>
          <w:numId w:val="0"/>
        </w:numPr>
        <w:spacing w:line="480" w:lineRule="auto"/>
        <w:ind w:left="360" w:leftChars="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14:paraId="024B47C9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Documentos complementares/ Referências</w:t>
      </w:r>
    </w:p>
    <w:p w14:paraId="4816F849">
      <w:pPr>
        <w:numPr>
          <w:numId w:val="0"/>
        </w:numPr>
        <w:spacing w:line="480" w:lineRule="auto"/>
        <w:ind w:left="360" w:leftChars="0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N/A</w:t>
      </w:r>
    </w:p>
    <w:p w14:paraId="33826FDC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>Indicadores de Desempenho</w:t>
      </w:r>
    </w:p>
    <w:p w14:paraId="29C3CAA0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Lead time entrega</w:t>
      </w:r>
    </w:p>
    <w:p w14:paraId="4D826773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Pedidos gerados x pedidos finalizados (atendido)</w:t>
      </w:r>
    </w:p>
    <w:p w14:paraId="1ABBA844">
      <w:pPr>
        <w:numPr>
          <w:ilvl w:val="0"/>
          <w:numId w:val="2"/>
        </w:numPr>
        <w:spacing w:line="480" w:lineRule="auto"/>
        <w:ind w:left="420" w:leftChars="0" w:hanging="42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Lead time SC ►PC</w:t>
      </w:r>
    </w:p>
    <w:p w14:paraId="1EED8FCC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 POP</w:t>
      </w:r>
    </w:p>
    <w:p w14:paraId="2CDE942B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 w:eastAsia="zh-CN"/>
        </w:rPr>
        <w:t>7</w:t>
      </w:r>
      <w:r>
        <w:rPr>
          <w:rFonts w:hint="default" w:ascii="Arial" w:hAnsi="Arial" w:cs="Arial"/>
          <w:b/>
          <w:bCs w:val="0"/>
          <w:sz w:val="24"/>
          <w:szCs w:val="24"/>
          <w:lang w:val="en-US" w:eastAsia="zh-CN"/>
        </w:rPr>
        <w:t>.1 - Análise da situação de Estoque</w:t>
      </w:r>
    </w:p>
    <w:p w14:paraId="3D645621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Diariamente, o responsável pelo processo de</w:t>
      </w: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 xml:space="preserve"> 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Compras analisa a situação de materiais para</w:t>
      </w: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 xml:space="preserve"> 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comercialização no Estoque observando a necessidade de compras, em função da</w:t>
      </w: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 xml:space="preserve"> 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 xml:space="preserve">demanda dos produtos, </w:t>
      </w: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pontos de pedido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>.</w:t>
      </w:r>
    </w:p>
    <w:p w14:paraId="35BDCE74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 w:eastAsia="zh-CN"/>
        </w:rPr>
        <w:t>7</w:t>
      </w:r>
      <w:r>
        <w:rPr>
          <w:rFonts w:hint="default" w:ascii="Arial" w:hAnsi="Arial" w:cs="Arial"/>
          <w:b/>
          <w:bCs w:val="0"/>
          <w:sz w:val="24"/>
          <w:szCs w:val="24"/>
          <w:lang w:val="en-US" w:eastAsia="zh-CN"/>
        </w:rPr>
        <w:t>.</w:t>
      </w:r>
      <w:r>
        <w:rPr>
          <w:rFonts w:hint="default" w:ascii="Arial" w:hAnsi="Arial" w:cs="Arial"/>
          <w:b/>
          <w:bCs w:val="0"/>
          <w:sz w:val="24"/>
          <w:szCs w:val="24"/>
          <w:lang w:val="pt-BR" w:eastAsia="zh-CN"/>
        </w:rPr>
        <w:t>2</w:t>
      </w:r>
      <w:r>
        <w:rPr>
          <w:rFonts w:hint="default" w:ascii="Arial" w:hAnsi="Arial" w:cs="Arial"/>
          <w:b/>
          <w:bCs w:val="0"/>
          <w:sz w:val="24"/>
          <w:szCs w:val="24"/>
          <w:lang w:val="en-US" w:eastAsia="zh-CN"/>
        </w:rPr>
        <w:t xml:space="preserve"> - Aquisição da matéria prima ou serviço</w:t>
      </w:r>
    </w:p>
    <w:p w14:paraId="7DF47515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O setor demandante, quando da necessidade de aquisição,  abre a solicitação de compra no Sistema Protheus, contendo as informações e quantidades do produto a ser adquirido.</w:t>
      </w:r>
    </w:p>
    <w:p w14:paraId="40BB29AC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Em caso de fornecedores que já possuem contrato, o pedido de compra é aberto conforme tabelas definidas.</w:t>
      </w:r>
    </w:p>
    <w:p w14:paraId="13628691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Em caso de fornecedores sem contrato, o</w:t>
      </w:r>
      <w:r>
        <w:rPr>
          <w:rFonts w:hint="default" w:ascii="Arial" w:hAnsi="Arial" w:cs="Arial"/>
          <w:b w:val="0"/>
          <w:bCs/>
          <w:sz w:val="24"/>
          <w:szCs w:val="24"/>
          <w:lang w:val="en-US" w:eastAsia="zh-CN"/>
        </w:rPr>
        <w:t xml:space="preserve"> responsável pela área de Compras envia a cotação para 2 (dois) ou 3 (três) fornecedores selecionados, preenchendo: nome do fornecedor, condições de pagamento, código e descrição do produto, data para entrega  ou da realização do serviço, telefone, unidade, quantidade</w:t>
      </w: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.</w:t>
      </w:r>
    </w:p>
    <w:p w14:paraId="7C66EA0E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A análise das cotações são realizadas com base em preço, qualidade e prazo de entrega.</w:t>
      </w:r>
    </w:p>
    <w:p w14:paraId="0595F4E4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 w:eastAsia="zh-CN"/>
        </w:rPr>
        <w:t>Após selecioanda, é realizada a geração do pedido de compra no sistema.</w:t>
      </w:r>
    </w:p>
    <w:p w14:paraId="59DD68C6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7.3 Gerar pedido de compras</w:t>
      </w:r>
    </w:p>
    <w:p w14:paraId="15E61DB5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Acessar o sistema Protheus:</w:t>
      </w:r>
    </w:p>
    <w:p w14:paraId="6F1432F9">
      <w:pPr>
        <w:numPr>
          <w:ilvl w:val="0"/>
          <w:numId w:val="0"/>
        </w:numPr>
        <w:spacing w:after="200" w:line="480" w:lineRule="auto"/>
        <w:jc w:val="both"/>
      </w:pPr>
      <w:r>
        <w:drawing>
          <wp:inline distT="0" distB="0" distL="114300" distR="114300">
            <wp:extent cx="2459990" cy="2578735"/>
            <wp:effectExtent l="0" t="0" r="16510" b="12065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5B92">
      <w:pPr>
        <w:numPr>
          <w:ilvl w:val="0"/>
          <w:numId w:val="0"/>
        </w:numPr>
        <w:spacing w:after="200" w:line="48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Inserir login e senha do comprador/ usuário:</w:t>
      </w:r>
    </w:p>
    <w:p w14:paraId="2453377F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2080260" cy="1527810"/>
            <wp:effectExtent l="0" t="0" r="2540" b="889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1158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</w:p>
    <w:p w14:paraId="4DBB0D3C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</w:p>
    <w:p w14:paraId="2DE19FD0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</w:p>
    <w:p w14:paraId="2270EEA5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</w:p>
    <w:p w14:paraId="5CDE816A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Inserir grupo, filial e ambiente 02 (compras)</w:t>
      </w:r>
    </w:p>
    <w:p w14:paraId="73983F04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1097280" cy="1913255"/>
            <wp:effectExtent l="0" t="0" r="7620" b="10795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278F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Acessar ►atualizações → pedidos ►pedidos de compra  </w:t>
      </w:r>
    </w:p>
    <w:p w14:paraId="5EBD8360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1339850" cy="2752090"/>
            <wp:effectExtent l="0" t="0" r="12700" b="1016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A62B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Menu “incluir pedidos de compras”</w:t>
      </w:r>
    </w:p>
    <w:p w14:paraId="489A3360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6532880" cy="1086485"/>
            <wp:effectExtent l="0" t="0" r="1270" b="18415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E7AF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4CADE5FB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692D6308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376C003C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Selecionar fornecedor por CODIGO, NOME ou CNPJ.</w:t>
      </w:r>
    </w:p>
    <w:p w14:paraId="16CA6123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6508115" cy="2815590"/>
            <wp:effectExtent l="0" t="0" r="6985" b="381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BAC7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Informar a condição de pagamento negociada, no campo de produto “F4” para selecionar a solicitação de compras para formação do pedido.</w:t>
      </w:r>
    </w:p>
    <w:p w14:paraId="5A4632E9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5995035" cy="2377440"/>
            <wp:effectExtent l="0" t="0" r="5715" b="381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632E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67AE2B9B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7DE79A1F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 w14:paraId="26330EA4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Preencher preço unitário, natureza ►salvar.</w:t>
      </w:r>
    </w:p>
    <w:p w14:paraId="78FE480D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</w:pPr>
      <w:r>
        <w:drawing>
          <wp:inline distT="0" distB="0" distL="114300" distR="114300">
            <wp:extent cx="5995035" cy="1228090"/>
            <wp:effectExtent l="0" t="0" r="5715" b="10160"/>
            <wp:docPr id="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CEB0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Após aprovação, o Pedido de Compra é encaminhado para o fornecedor em caso de já possuir uma condição de pagamento negociada.</w:t>
      </w:r>
    </w:p>
    <w:p w14:paraId="45AEA3CE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Em casos de pagamento à vista, o pedido de compra é encaminhado para o setor financeiro para que seja realizada a programação de pagamento.</w:t>
      </w:r>
    </w:p>
    <w:p w14:paraId="0071B45F">
      <w:pPr>
        <w:numPr>
          <w:ilvl w:val="0"/>
          <w:numId w:val="0"/>
        </w:numPr>
        <w:spacing w:after="200" w:line="480" w:lineRule="auto"/>
        <w:ind w:left="-660" w:leftChars="-300" w:firstLine="0" w:firstLineChars="0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Após tratativas, realizar o acompanhamento do faturamento e entrega do produto conforme frete negociado, verificando se a N.F foi faturada de acordo com o pedido de compra encaminhado.</w:t>
      </w:r>
    </w:p>
    <w:p w14:paraId="62FCE608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ascii="Arial" w:hAnsi="Arial" w:eastAsia="Times New Roman" w:cs="Arial"/>
          <w:b/>
          <w:color w:val="FF0000"/>
          <w:sz w:val="24"/>
          <w:szCs w:val="24"/>
          <w:lang w:eastAsia="pt-BR"/>
        </w:rPr>
      </w:pPr>
      <w:r>
        <w:rPr>
          <w:rFonts w:hint="default" w:ascii="Arial" w:hAnsi="Arial" w:cs="Arial"/>
          <w:b/>
          <w:sz w:val="24"/>
          <w:szCs w:val="24"/>
          <w:lang w:val="pt-BR"/>
        </w:rPr>
        <w:t>Registros relacionados ao POP</w:t>
      </w:r>
    </w:p>
    <w:p w14:paraId="4A76EC48">
      <w:pPr>
        <w:numPr>
          <w:numId w:val="0"/>
        </w:numPr>
        <w:spacing w:line="480" w:lineRule="auto"/>
        <w:ind w:left="360" w:leftChars="0"/>
        <w:jc w:val="both"/>
        <w:rPr>
          <w:rFonts w:hint="default" w:ascii="Arial" w:hAnsi="Arial" w:eastAsia="Times New Roman" w:cs="Arial"/>
          <w:b w:val="0"/>
          <w:bCs/>
          <w:color w:val="FF0000"/>
          <w:sz w:val="24"/>
          <w:szCs w:val="24"/>
          <w:lang w:val="pt-BR" w:eastAsia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N/A. Todas as documentações são geradas via Protheus</w:t>
      </w:r>
    </w:p>
    <w:p w14:paraId="68F1CC65">
      <w:pPr>
        <w:numPr>
          <w:ilvl w:val="0"/>
          <w:numId w:val="1"/>
        </w:numPr>
        <w:spacing w:line="480" w:lineRule="auto"/>
        <w:ind w:left="580" w:leftChars="0" w:firstLineChars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Histórico de Modificação</w:t>
      </w:r>
    </w:p>
    <w:tbl>
      <w:tblPr>
        <w:tblStyle w:val="3"/>
        <w:tblW w:w="10746" w:type="dxa"/>
        <w:tblInd w:w="-1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418"/>
        <w:gridCol w:w="2218"/>
        <w:gridCol w:w="6050"/>
      </w:tblGrid>
      <w:tr w14:paraId="5D880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60" w:type="dxa"/>
            <w:noWrap w:val="0"/>
            <w:vAlign w:val="top"/>
          </w:tcPr>
          <w:p w14:paraId="316AED63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Revisão</w:t>
            </w:r>
          </w:p>
          <w:p w14:paraId="4C3FF649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Nº</w:t>
            </w:r>
          </w:p>
        </w:tc>
        <w:tc>
          <w:tcPr>
            <w:tcW w:w="1418" w:type="dxa"/>
            <w:noWrap w:val="0"/>
            <w:vAlign w:val="top"/>
          </w:tcPr>
          <w:p w14:paraId="6EE89E2F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Data da</w:t>
            </w:r>
          </w:p>
          <w:p w14:paraId="785A3990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Revisão</w:t>
            </w:r>
          </w:p>
        </w:tc>
        <w:tc>
          <w:tcPr>
            <w:tcW w:w="2218" w:type="dxa"/>
            <w:noWrap w:val="0"/>
            <w:vAlign w:val="top"/>
          </w:tcPr>
          <w:p w14:paraId="016E2E41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  <w:p w14:paraId="3629FC98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Autor</w:t>
            </w:r>
          </w:p>
        </w:tc>
        <w:tc>
          <w:tcPr>
            <w:tcW w:w="6050" w:type="dxa"/>
            <w:noWrap w:val="0"/>
            <w:vAlign w:val="top"/>
          </w:tcPr>
          <w:p w14:paraId="7BA401F6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  <w:p w14:paraId="7414E9E2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Descrição da Revisão</w:t>
            </w:r>
          </w:p>
        </w:tc>
      </w:tr>
      <w:tr w14:paraId="7F79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60" w:type="dxa"/>
            <w:noWrap w:val="0"/>
            <w:vAlign w:val="top"/>
          </w:tcPr>
          <w:p w14:paraId="736E2E9B">
            <w:pPr>
              <w:spacing w:after="0" w:line="480" w:lineRule="auto"/>
              <w:jc w:val="both"/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  <w:t>00</w:t>
            </w:r>
          </w:p>
          <w:p w14:paraId="034F4FDB">
            <w:pPr>
              <w:spacing w:after="0"/>
              <w:jc w:val="center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  <w:tc>
          <w:tcPr>
            <w:tcW w:w="1418" w:type="dxa"/>
            <w:noWrap w:val="0"/>
            <w:vAlign w:val="top"/>
          </w:tcPr>
          <w:p w14:paraId="73C81632">
            <w:pPr>
              <w:spacing w:after="0"/>
              <w:jc w:val="center"/>
              <w:rPr>
                <w:rFonts w:hint="default" w:ascii="Arial" w:hAnsi="Arial" w:cs="Arial"/>
                <w:b w:val="0"/>
                <w:bCs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  <w:t>30/07/2024</w:t>
            </w:r>
          </w:p>
        </w:tc>
        <w:tc>
          <w:tcPr>
            <w:tcW w:w="2218" w:type="dxa"/>
            <w:shd w:val="clear"/>
            <w:noWrap w:val="0"/>
            <w:vAlign w:val="top"/>
          </w:tcPr>
          <w:p w14:paraId="0AB4FC90">
            <w:pPr>
              <w:spacing w:after="0" w:line="480" w:lineRule="auto"/>
              <w:jc w:val="both"/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  <w:t>Sarah Santos</w:t>
            </w:r>
          </w:p>
          <w:p w14:paraId="4199EEF9">
            <w:pPr>
              <w:spacing w:after="0"/>
              <w:jc w:val="center"/>
              <w:rPr>
                <w:rFonts w:ascii="Arial" w:hAnsi="Arial" w:eastAsia="SimSun" w:cs="Arial"/>
                <w:b w:val="0"/>
                <w:bCs/>
                <w:color w:val="auto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6050" w:type="dxa"/>
            <w:noWrap w:val="0"/>
            <w:vAlign w:val="top"/>
          </w:tcPr>
          <w:p w14:paraId="095C6620">
            <w:pPr>
              <w:spacing w:after="0" w:line="480" w:lineRule="auto"/>
              <w:jc w:val="center"/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/>
                <w:color w:val="auto"/>
                <w:sz w:val="24"/>
                <w:szCs w:val="24"/>
                <w:lang w:val="en-US" w:eastAsia="pt-BR"/>
              </w:rPr>
              <w:t>Criação do documento</w:t>
            </w:r>
          </w:p>
          <w:p w14:paraId="6CFEE7C4">
            <w:pPr>
              <w:spacing w:after="0"/>
              <w:jc w:val="center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</w:p>
        </w:tc>
      </w:tr>
    </w:tbl>
    <w:p w14:paraId="67412F7D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45579E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Aprovado por: </w:t>
      </w:r>
    </w:p>
    <w:p w14:paraId="702067D0">
      <w:pPr>
        <w:spacing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1512570</wp:posOffset>
                </wp:positionH>
                <wp:positionV relativeFrom="paragraph">
                  <wp:posOffset>43180</wp:posOffset>
                </wp:positionV>
                <wp:extent cx="2639060" cy="1871980"/>
                <wp:effectExtent l="0" t="0" r="0" b="0"/>
                <wp:wrapNone/>
                <wp:docPr id="3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3906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7E64A7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_____________________________</w:t>
                            </w:r>
                          </w:p>
                          <w:p w14:paraId="1A93CD3E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Thiago Hispere Moreira Botinelly</w:t>
                            </w:r>
                          </w:p>
                          <w:p w14:paraId="1DD5EDA4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VALIDAÇÃO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 12" o:spid="_x0000_s1026" o:spt="202" type="#_x0000_t202" style="position:absolute;left:0pt;margin-left:119.1pt;margin-top:3.4pt;height:147.4pt;width:207.8pt;z-index:251660288;mso-width-relative:page;mso-height-relative:margin;mso-height-percent:200;" fillcolor="#FFFFFF" filled="t" stroked="f" coordsize="21600,21600" o:gfxdata="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mgIq2AAAAAoBAAAPAAAAAAAAAAEAIAAAACIAAABkcnMv&#10;ZG93bnJldi54bWxQSwECFAAUAAAACACHTuJARrfACwMCAAAUBAAADgAAAAAAAAABACAAAAAnAQAA&#10;ZHJzL2Uyb0RvYy54bWxQSwUGAAAAAAYABgBZAQAAnA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047E64A7">
                      <w:pPr>
                        <w:tabs>
                          <w:tab w:val="left" w:pos="1800"/>
                        </w:tabs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_____________________________</w:t>
                      </w:r>
                    </w:p>
                    <w:p w14:paraId="1A93CD3E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Thiago Hispere Moreira Botinelly</w:t>
                      </w:r>
                    </w:p>
                    <w:p w14:paraId="1DD5EDA4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VALIDAÇÃO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35560</wp:posOffset>
                </wp:positionV>
                <wp:extent cx="2629535" cy="1871980"/>
                <wp:effectExtent l="0" t="0" r="0" b="0"/>
                <wp:wrapNone/>
                <wp:docPr id="4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2953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6BAD00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_____________________________</w:t>
                            </w:r>
                          </w:p>
                          <w:p w14:paraId="2F2186DE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Frankimar da Silva Alves</w:t>
                            </w:r>
                          </w:p>
                          <w:p w14:paraId="10A34836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APROVADOR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 10" o:spid="_x0000_s1026" o:spt="202" type="#_x0000_t202" style="position:absolute;left:0pt;margin-left:299.55pt;margin-top:2.8pt;height:147.4pt;width:207.05pt;z-index:251659264;mso-width-relative:page;mso-height-relative:margin;mso-height-percent:200;" fillcolor="#FFFFFF" filled="t" stroked="f" coordsize="21600,21600" o:gfxdata="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AyeFfYAAAACQEAAA8AAAAAAAAAAQAgAAAAIgAAAGRycy9k&#10;b3ducmV2LnhtbFBLAQIUABQAAAAIAIdO4kAvVo2BAgIAABQEAAAOAAAAAAAAAAEAIAAAACcBAABk&#10;cnMvZTJvRG9jLnhtbFBLBQYAAAAABgAGAFkBAACb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A6BAD00">
                      <w:pPr>
                        <w:tabs>
                          <w:tab w:val="left" w:pos="1800"/>
                        </w:tabs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_____________________________</w:t>
                      </w:r>
                    </w:p>
                    <w:p w14:paraId="2F2186DE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Frankimar da Silva Alves</w:t>
                      </w:r>
                    </w:p>
                    <w:p w14:paraId="10A34836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APROVADOR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-1044575</wp:posOffset>
                </wp:positionH>
                <wp:positionV relativeFrom="paragraph">
                  <wp:posOffset>43180</wp:posOffset>
                </wp:positionV>
                <wp:extent cx="2639060" cy="1871980"/>
                <wp:effectExtent l="0" t="0" r="0" b="0"/>
                <wp:wrapNone/>
                <wp:docPr id="1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639060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453686">
                            <w:pPr>
                              <w:tabs>
                                <w:tab w:val="left" w:pos="1800"/>
                              </w:tabs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_____________________________</w:t>
                            </w:r>
                          </w:p>
                          <w:p w14:paraId="145471EF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Sarah Santos</w:t>
                            </w:r>
                          </w:p>
                          <w:p w14:paraId="50AC7A34">
                            <w:pPr>
                              <w:tabs>
                                <w:tab w:val="left" w:pos="180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 12" o:spid="_x0000_s1026" o:spt="202" type="#_x0000_t202" style="position:absolute;left:0pt;margin-left:-82.25pt;margin-top:3.4pt;height:147.4pt;width:207.8pt;z-index:251661312;mso-width-relative:page;mso-height-relative:margin;mso-height-percent:200;" fillcolor="#FFFFFF" filled="t" stroked="f" coordsize="21600,21600" o:gfxdata="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8+SO/XAAAACgEAAA8AAAAAAAAAAQAgAAAAIgAAAGRycy9k&#10;b3ducmV2LnhtbFBLAQIUABQAAAAIAIdO4kCwnRi8AwIAABQEAAAOAAAAAAAAAAEAIAAAACYBAABk&#10;cnMvZTJvRG9jLnhtbFBLBQYAAAAABgAGAFkBAACb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2453686">
                      <w:pPr>
                        <w:tabs>
                          <w:tab w:val="left" w:pos="1800"/>
                        </w:tabs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u w:val="single"/>
                        </w:rPr>
                        <w:t>_____________________________</w:t>
                      </w:r>
                    </w:p>
                    <w:p w14:paraId="145471EF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lang w:val="pt-BR"/>
                        </w:rPr>
                        <w:t>Sarah Santos</w:t>
                      </w:r>
                    </w:p>
                    <w:p w14:paraId="50AC7A34">
                      <w:pPr>
                        <w:tabs>
                          <w:tab w:val="left" w:pos="180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091F3B37">
      <w:pPr>
        <w:tabs>
          <w:tab w:val="left" w:pos="357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03" w:right="745" w:bottom="993" w:left="1701" w:header="283" w:footer="425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F44B9D">
    <w:pPr>
      <w:pStyle w:val="7"/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CONFIDENCIAL este documento é propriedade da AR RODRIGUEZ o qual não pode ser copiado, utilizado ou entregue a terceiros sem aprovação escrita do responsável legal. Este documento quando impresso retirado do local original de armazenamento ou salvo em computador de usuário, será considerado cópia não-controlada. </w:t>
    </w:r>
  </w:p>
  <w:p w14:paraId="0BE348A1">
    <w:pPr>
      <w:pStyle w:val="7"/>
    </w:pPr>
  </w:p>
  <w:p w14:paraId="6074D580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56B569"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A0E851">
    <w:pPr>
      <w:pStyle w:val="7"/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CONFIDENCIAL este documento é propriedade da AR RODRIGUEZ o qual não pode ser copiado, utilizado ou entregue a terceiros sem aprovação escrita do responsável legal. Este documento quando impresso retirado do local original de armazenamento ou salvo em computador de usuário, será considerado cópia não-controlada.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B9A185">
    <w:pPr>
      <w:pStyle w:val="6"/>
      <w:jc w:val="right"/>
      <w:rPr>
        <w:rFonts w:hint="default"/>
        <w:lang w:val="pt-BR"/>
      </w:rPr>
    </w:pPr>
    <w:r>
      <w:t>POP-</w:t>
    </w:r>
    <w:r>
      <w:rPr>
        <w:rFonts w:hint="default"/>
        <w:lang w:val="pt-BR"/>
      </w:rPr>
      <w:t>COMP-001</w:t>
    </w:r>
    <w:r>
      <w:t xml:space="preserve"> </w:t>
    </w:r>
    <w:r>
      <w:rPr>
        <w:rFonts w:hint="default"/>
        <w:lang w:val="pt-BR"/>
      </w:rPr>
      <w:t>COMPRAS</w:t>
    </w:r>
  </w:p>
  <w:p w14:paraId="2CF2DE8D">
    <w:pPr>
      <w:pStyle w:val="6"/>
      <w:jc w:val="right"/>
      <w:rPr>
        <w:rFonts w:hint="default"/>
        <w:lang w:val="pt-BR"/>
      </w:rPr>
    </w:pPr>
    <w:r>
      <w:t>Pág.0</w:t>
    </w:r>
    <w:r>
      <w:fldChar w:fldCharType="begin"/>
    </w:r>
    <w:r>
      <w:instrText xml:space="preserve">PAGE   \* MERGEFORMAT</w:instrText>
    </w:r>
    <w:r>
      <w:fldChar w:fldCharType="separate"/>
    </w:r>
    <w:r>
      <w:t>3</w:t>
    </w:r>
    <w:r>
      <w:fldChar w:fldCharType="end"/>
    </w:r>
    <w:r>
      <w:t>/</w:t>
    </w:r>
    <w:r>
      <w:rPr>
        <w:rFonts w:hint="default"/>
        <w:lang w:val="pt-BR"/>
      </w:rPr>
      <w:t>06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103146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18" w:type="dxa"/>
      <w:tblInd w:w="-92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2553"/>
      <w:gridCol w:w="5244"/>
      <w:gridCol w:w="2821"/>
    </w:tblGrid>
    <w:tr w14:paraId="164DDB9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557" w:hRule="atLeast"/>
      </w:trPr>
      <w:tc>
        <w:tcPr>
          <w:tcW w:w="2553" w:type="dxa"/>
          <w:vMerge w:val="restart"/>
          <w:tcBorders>
            <w:left w:val="single" w:color="auto" w:sz="4" w:space="0"/>
          </w:tcBorders>
          <w:shd w:val="clear" w:color="auto" w:fill="auto"/>
          <w:noWrap w:val="0"/>
          <w:vAlign w:val="top"/>
        </w:tcPr>
        <w:p w14:paraId="367D4257">
          <w:pPr>
            <w:spacing w:after="0"/>
            <w:jc w:val="center"/>
            <w:rPr>
              <w:sz w:val="24"/>
              <w:szCs w:val="24"/>
            </w:rPr>
          </w:pPr>
        </w:p>
      </w:tc>
      <w:tc>
        <w:tcPr>
          <w:tcW w:w="5244" w:type="dxa"/>
          <w:vMerge w:val="restart"/>
          <w:shd w:val="clear" w:color="auto" w:fill="1F3864"/>
          <w:noWrap w:val="0"/>
          <w:vAlign w:val="top"/>
        </w:tcPr>
        <w:p w14:paraId="3ACF36F3">
          <w:pPr>
            <w:spacing w:before="240"/>
            <w:ind w:left="486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PROCEDIMENTO OPERACIONAL </w:t>
          </w:r>
        </w:p>
        <w:p w14:paraId="34E40335">
          <w:pPr>
            <w:spacing w:before="240"/>
            <w:ind w:left="486"/>
            <w:jc w:val="center"/>
            <w:rPr>
              <w:rFonts w:hint="default" w:ascii="Arial" w:hAnsi="Arial" w:cs="Arial"/>
              <w:b/>
              <w:sz w:val="24"/>
              <w:szCs w:val="24"/>
              <w:lang w:val="pt-BR"/>
            </w:rPr>
          </w:pPr>
          <w:r>
            <w:rPr>
              <w:rFonts w:hint="default" w:ascii="Arial" w:hAnsi="Arial" w:cs="Arial"/>
              <w:b/>
              <w:sz w:val="24"/>
              <w:szCs w:val="24"/>
              <w:lang w:val="pt-BR"/>
            </w:rPr>
            <w:t>PROCESSO COMPRAS</w:t>
          </w:r>
        </w:p>
      </w:tc>
      <w:tc>
        <w:tcPr>
          <w:tcW w:w="2821" w:type="dxa"/>
          <w:noWrap w:val="0"/>
          <w:vAlign w:val="center"/>
        </w:tcPr>
        <w:p w14:paraId="365D7EC5">
          <w:pPr>
            <w:spacing w:after="0"/>
            <w:ind w:left="269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COD. POP-</w:t>
          </w:r>
          <w:r>
            <w:rPr>
              <w:rFonts w:hint="default" w:ascii="Arial" w:hAnsi="Arial" w:cs="Arial"/>
              <w:sz w:val="20"/>
              <w:szCs w:val="20"/>
              <w:lang w:val="pt-BR"/>
            </w:rPr>
            <w:t>COMP-001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</w:p>
      </w:tc>
    </w:tr>
    <w:tr w14:paraId="23FFFA4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418" w:hRule="atLeast"/>
      </w:trPr>
      <w:tc>
        <w:tcPr>
          <w:tcW w:w="2553" w:type="dxa"/>
          <w:vMerge w:val="continue"/>
          <w:tcBorders>
            <w:left w:val="single" w:color="auto" w:sz="4" w:space="0"/>
          </w:tcBorders>
          <w:shd w:val="clear" w:color="auto" w:fill="auto"/>
          <w:noWrap w:val="0"/>
          <w:vAlign w:val="top"/>
        </w:tcPr>
        <w:p w14:paraId="4EBD2CEE">
          <w:pPr>
            <w:spacing w:after="0"/>
            <w:jc w:val="center"/>
            <w:rPr>
              <w:sz w:val="24"/>
              <w:szCs w:val="24"/>
            </w:rPr>
          </w:pPr>
        </w:p>
      </w:tc>
      <w:tc>
        <w:tcPr>
          <w:tcW w:w="5244" w:type="dxa"/>
          <w:vMerge w:val="continue"/>
          <w:shd w:val="clear" w:color="auto" w:fill="1F3864"/>
          <w:noWrap w:val="0"/>
          <w:vAlign w:val="top"/>
        </w:tcPr>
        <w:p w14:paraId="54DD8FCD">
          <w:pPr>
            <w:spacing w:before="240"/>
            <w:ind w:left="486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821" w:type="dxa"/>
          <w:noWrap w:val="0"/>
          <w:vAlign w:val="center"/>
        </w:tcPr>
        <w:p w14:paraId="1DB6384E">
          <w:pPr>
            <w:pStyle w:val="6"/>
            <w:jc w:val="center"/>
            <w:rPr>
              <w:rFonts w:hint="default" w:ascii="Arial" w:hAnsi="Arial" w:cs="Arial"/>
              <w:b/>
              <w:color w:val="FFFFFF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</w:rPr>
            <w:t xml:space="preserve">Aprovado: </w:t>
          </w:r>
          <w:r>
            <w:rPr>
              <w:rFonts w:hint="default" w:ascii="Arial" w:hAnsi="Arial" w:cs="Arial"/>
              <w:sz w:val="20"/>
              <w:szCs w:val="20"/>
              <w:lang w:val="pt-BR"/>
            </w:rPr>
            <w:t>30/07/2024</w:t>
          </w:r>
        </w:p>
      </w:tc>
    </w:tr>
    <w:tr w14:paraId="7A453E2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499" w:hRule="atLeast"/>
      </w:trPr>
      <w:tc>
        <w:tcPr>
          <w:tcW w:w="2553" w:type="dxa"/>
          <w:tcBorders>
            <w:left w:val="single" w:color="auto" w:sz="4" w:space="0"/>
          </w:tcBorders>
          <w:noWrap w:val="0"/>
          <w:vAlign w:val="top"/>
        </w:tcPr>
        <w:p w14:paraId="73F34290">
          <w:pPr>
            <w:spacing w:after="0"/>
            <w:rPr>
              <w:rFonts w:ascii="Arial" w:hAnsi="Arial" w:cs="Arial"/>
              <w:b/>
            </w:rPr>
          </w:pPr>
          <w:r>
            <w:rPr>
              <w:b/>
              <w:sz w:val="24"/>
            </w:rPr>
            <w:t xml:space="preserve">   </w:t>
          </w:r>
          <w:r>
            <w:rPr>
              <w:rFonts w:ascii="Arial" w:hAnsi="Arial" w:cs="Arial"/>
              <w:b/>
            </w:rPr>
            <w:t>Norma de Referência</w:t>
          </w:r>
        </w:p>
        <w:p w14:paraId="6A178E54">
          <w:pPr>
            <w:spacing w:after="0"/>
            <w:jc w:val="center"/>
            <w:rPr>
              <w:rFonts w:hint="default"/>
              <w:color w:val="FF0000"/>
              <w:sz w:val="24"/>
              <w:lang w:val="pt-BR"/>
            </w:rPr>
          </w:pPr>
          <w:r>
            <w:rPr>
              <w:rFonts w:ascii="Arial" w:hAnsi="Arial" w:cs="Arial"/>
              <w:bCs/>
            </w:rPr>
            <w:t>ISO 9001:2015</w:t>
          </w:r>
        </w:p>
      </w:tc>
      <w:tc>
        <w:tcPr>
          <w:tcW w:w="5244" w:type="dxa"/>
          <w:noWrap w:val="0"/>
          <w:vAlign w:val="center"/>
        </w:tcPr>
        <w:p w14:paraId="18068996">
          <w:pPr>
            <w:spacing w:before="240"/>
            <w:jc w:val="center"/>
            <w:rPr>
              <w:rFonts w:hint="default" w:ascii="Arial" w:hAnsi="Arial" w:cs="Arial"/>
              <w:lang w:val="pt-BR"/>
            </w:rPr>
          </w:pPr>
          <w:r>
            <w:rPr>
              <w:rFonts w:hint="default" w:ascii="Arial" w:hAnsi="Arial" w:cs="Arial"/>
              <w:lang w:val="pt-BR"/>
            </w:rPr>
            <w:t>SETOR DE COMPRAS</w:t>
          </w:r>
        </w:p>
      </w:tc>
      <w:tc>
        <w:tcPr>
          <w:tcW w:w="2821" w:type="dxa"/>
          <w:noWrap w:val="0"/>
          <w:vAlign w:val="center"/>
        </w:tcPr>
        <w:p w14:paraId="105E1708">
          <w:pPr>
            <w:spacing w:after="0"/>
            <w:ind w:left="269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Revisão número: 00</w:t>
          </w:r>
        </w:p>
      </w:tc>
    </w:tr>
    <w:tr w14:paraId="4FC897C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85" w:hRule="atLeast"/>
      </w:trPr>
      <w:tc>
        <w:tcPr>
          <w:tcW w:w="2553" w:type="dxa"/>
          <w:tcBorders>
            <w:left w:val="single" w:color="auto" w:sz="4" w:space="0"/>
          </w:tcBorders>
          <w:noWrap w:val="0"/>
          <w:vAlign w:val="top"/>
        </w:tcPr>
        <w:p w14:paraId="3A47A2E5">
          <w:pPr>
            <w:pStyle w:val="6"/>
          </w:pPr>
          <w:r>
            <w:t xml:space="preserve">          Elaboração</w:t>
          </w:r>
        </w:p>
      </w:tc>
      <w:tc>
        <w:tcPr>
          <w:tcW w:w="5244" w:type="dxa"/>
          <w:noWrap w:val="0"/>
          <w:vAlign w:val="top"/>
        </w:tcPr>
        <w:p w14:paraId="6A1B82E8">
          <w:pPr>
            <w:pStyle w:val="6"/>
            <w:jc w:val="center"/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Sarah D. Santos</w:t>
          </w:r>
        </w:p>
      </w:tc>
      <w:tc>
        <w:tcPr>
          <w:tcW w:w="2821" w:type="dxa"/>
          <w:noWrap w:val="0"/>
          <w:vAlign w:val="top"/>
        </w:tcPr>
        <w:p w14:paraId="5665758F">
          <w:pPr>
            <w:pStyle w:val="6"/>
            <w:jc w:val="center"/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Comprador</w:t>
          </w:r>
        </w:p>
        <w:p w14:paraId="396444DA">
          <w:pPr>
            <w:pStyle w:val="6"/>
            <w:jc w:val="both"/>
            <w:rPr>
              <w:rFonts w:hint="default"/>
              <w:lang w:val="pt-BR"/>
            </w:rPr>
          </w:pPr>
        </w:p>
      </w:tc>
    </w:tr>
    <w:tr w14:paraId="494E43E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419" w:hRule="atLeast"/>
      </w:trPr>
      <w:tc>
        <w:tcPr>
          <w:tcW w:w="2553" w:type="dxa"/>
          <w:tcBorders>
            <w:left w:val="single" w:color="auto" w:sz="4" w:space="0"/>
          </w:tcBorders>
          <w:noWrap w:val="0"/>
          <w:vAlign w:val="top"/>
        </w:tcPr>
        <w:p w14:paraId="1D61284D">
          <w:pPr>
            <w:pStyle w:val="6"/>
            <w:rPr>
              <w:rFonts w:hint="default"/>
              <w:lang w:val="pt-BR"/>
            </w:rPr>
          </w:pPr>
          <w:r>
            <w:t xml:space="preserve">         </w:t>
          </w:r>
          <w:r>
            <w:rPr>
              <w:rFonts w:hint="default"/>
              <w:lang w:val="pt-BR"/>
            </w:rPr>
            <w:t>Validação</w:t>
          </w:r>
        </w:p>
      </w:tc>
      <w:tc>
        <w:tcPr>
          <w:tcW w:w="5244" w:type="dxa"/>
          <w:noWrap w:val="0"/>
          <w:vAlign w:val="top"/>
        </w:tcPr>
        <w:p w14:paraId="442ED678">
          <w:pPr>
            <w:pStyle w:val="6"/>
            <w:jc w:val="center"/>
            <w:rPr>
              <w:rFonts w:hint="default"/>
              <w:lang w:val="pt-BR"/>
            </w:rPr>
          </w:pPr>
          <w:r>
            <w:rPr>
              <w:rFonts w:hint="default"/>
              <w:lang w:val="pt-BR"/>
            </w:rPr>
            <w:t>Thiago Botinelly</w:t>
          </w:r>
        </w:p>
      </w:tc>
      <w:tc>
        <w:tcPr>
          <w:tcW w:w="2821" w:type="dxa"/>
          <w:noWrap w:val="0"/>
          <w:vAlign w:val="top"/>
        </w:tcPr>
        <w:p w14:paraId="5F7575FA">
          <w:pPr>
            <w:pStyle w:val="6"/>
            <w:jc w:val="center"/>
          </w:pPr>
          <w:r>
            <w:rPr>
              <w:rFonts w:hint="default"/>
              <w:lang w:val="pt-BR"/>
            </w:rPr>
            <w:t xml:space="preserve">Coordenador de </w:t>
          </w:r>
          <w:r>
            <w:t>Qualidade</w:t>
          </w:r>
        </w:p>
      </w:tc>
    </w:tr>
    <w:tr w14:paraId="00D9874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trHeight w:val="356" w:hRule="atLeast"/>
      </w:trPr>
      <w:tc>
        <w:tcPr>
          <w:tcW w:w="2553" w:type="dxa"/>
          <w:tcBorders>
            <w:left w:val="single" w:color="auto" w:sz="4" w:space="0"/>
          </w:tcBorders>
          <w:noWrap w:val="0"/>
          <w:vAlign w:val="top"/>
        </w:tcPr>
        <w:p w14:paraId="68C3066A">
          <w:pPr>
            <w:pStyle w:val="6"/>
          </w:pPr>
          <w:r>
            <w:t xml:space="preserve">          Aprovação </w:t>
          </w:r>
        </w:p>
      </w:tc>
      <w:tc>
        <w:tcPr>
          <w:tcW w:w="5244" w:type="dxa"/>
          <w:noWrap w:val="0"/>
          <w:vAlign w:val="top"/>
        </w:tcPr>
        <w:p w14:paraId="1CE1E4BF">
          <w:pPr>
            <w:pStyle w:val="6"/>
            <w:jc w:val="center"/>
          </w:pPr>
          <w:r>
            <w:t>Frankimar da Silva Alves</w:t>
          </w:r>
        </w:p>
      </w:tc>
      <w:tc>
        <w:tcPr>
          <w:tcW w:w="2821" w:type="dxa"/>
          <w:noWrap w:val="0"/>
          <w:vAlign w:val="top"/>
        </w:tcPr>
        <w:p w14:paraId="4A2B5CFC">
          <w:pPr>
            <w:pStyle w:val="6"/>
            <w:jc w:val="center"/>
          </w:pPr>
          <w:r>
            <w:t>Diretor Operacional</w:t>
          </w:r>
        </w:p>
      </w:tc>
    </w:tr>
  </w:tbl>
  <w:p w14:paraId="4348DDB5">
    <w:pPr>
      <w:pStyle w:val="6"/>
      <w:jc w:val="right"/>
      <w:rPr>
        <w:rFonts w:hint="default"/>
        <w:lang w:val="pt-BR"/>
      </w:rPr>
    </w:pPr>
    <w:r>
      <w:rPr>
        <w:sz w:val="24"/>
        <w:szCs w:val="24"/>
        <w:lang w:eastAsia="pt-BR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-640080</wp:posOffset>
          </wp:positionH>
          <wp:positionV relativeFrom="paragraph">
            <wp:posOffset>-1844675</wp:posOffset>
          </wp:positionV>
          <wp:extent cx="1614170" cy="323215"/>
          <wp:effectExtent l="0" t="0" r="0" b="0"/>
          <wp:wrapSquare wrapText="largest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1"/>
                  <a:srcRect l="-60" t="-294" r="-60" b="-294"/>
                  <a:stretch>
                    <a:fillRect/>
                  </a:stretch>
                </pic:blipFill>
                <pic:spPr>
                  <a:xfrm>
                    <a:off x="0" y="0"/>
                    <a:ext cx="1614170" cy="3232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t>Pág.0</w:t>
    </w:r>
    <w:r>
      <w:fldChar w:fldCharType="begin"/>
    </w:r>
    <w:r>
      <w:instrText xml:space="preserve">PAGE   \* MERGEFORMAT</w:instrText>
    </w:r>
    <w:r>
      <w:fldChar w:fldCharType="separate"/>
    </w:r>
    <w:r>
      <w:t>1</w:t>
    </w:r>
    <w:r>
      <w:fldChar w:fldCharType="end"/>
    </w:r>
    <w:r>
      <w:t>/</w:t>
    </w:r>
    <w:r>
      <w:rPr>
        <w:rFonts w:hint="default"/>
        <w:lang w:val="pt-BR"/>
      </w:rPr>
      <w:t>06</w:t>
    </w:r>
  </w:p>
  <w:p w14:paraId="36A7AAFD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C39D1"/>
    <w:multiLevelType w:val="singleLevel"/>
    <w:tmpl w:val="E22C39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</w:rPr>
    </w:lvl>
  </w:abstractNum>
  <w:abstractNum w:abstractNumId="1">
    <w:nsid w:val="7CC025F0"/>
    <w:multiLevelType w:val="multilevel"/>
    <w:tmpl w:val="7CC025F0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C8"/>
    <w:rsid w:val="00000A26"/>
    <w:rsid w:val="00002C38"/>
    <w:rsid w:val="00002DDB"/>
    <w:rsid w:val="000042E3"/>
    <w:rsid w:val="00013D89"/>
    <w:rsid w:val="00017E33"/>
    <w:rsid w:val="00023078"/>
    <w:rsid w:val="0003127E"/>
    <w:rsid w:val="0003578D"/>
    <w:rsid w:val="00037DB8"/>
    <w:rsid w:val="00043A80"/>
    <w:rsid w:val="00043BA2"/>
    <w:rsid w:val="00056613"/>
    <w:rsid w:val="00060822"/>
    <w:rsid w:val="00062786"/>
    <w:rsid w:val="0006699E"/>
    <w:rsid w:val="0006777B"/>
    <w:rsid w:val="0007673C"/>
    <w:rsid w:val="00087A55"/>
    <w:rsid w:val="000922C1"/>
    <w:rsid w:val="000A0030"/>
    <w:rsid w:val="000A4E25"/>
    <w:rsid w:val="000B3E86"/>
    <w:rsid w:val="000B7014"/>
    <w:rsid w:val="000C0516"/>
    <w:rsid w:val="000C33E4"/>
    <w:rsid w:val="000C690C"/>
    <w:rsid w:val="000C6EF1"/>
    <w:rsid w:val="000D7342"/>
    <w:rsid w:val="000E3D01"/>
    <w:rsid w:val="000E5916"/>
    <w:rsid w:val="000E5FBA"/>
    <w:rsid w:val="00103556"/>
    <w:rsid w:val="001048F3"/>
    <w:rsid w:val="00107CBE"/>
    <w:rsid w:val="0011011E"/>
    <w:rsid w:val="00127325"/>
    <w:rsid w:val="00127441"/>
    <w:rsid w:val="001427AA"/>
    <w:rsid w:val="00144925"/>
    <w:rsid w:val="00144EA8"/>
    <w:rsid w:val="00145690"/>
    <w:rsid w:val="00153F13"/>
    <w:rsid w:val="001547CB"/>
    <w:rsid w:val="00155B46"/>
    <w:rsid w:val="001601FF"/>
    <w:rsid w:val="00166911"/>
    <w:rsid w:val="00174353"/>
    <w:rsid w:val="00187980"/>
    <w:rsid w:val="00192E26"/>
    <w:rsid w:val="00194DAA"/>
    <w:rsid w:val="00194F9B"/>
    <w:rsid w:val="001960BC"/>
    <w:rsid w:val="001961B9"/>
    <w:rsid w:val="001962B6"/>
    <w:rsid w:val="001A2F3F"/>
    <w:rsid w:val="001B3A0E"/>
    <w:rsid w:val="001B6FE1"/>
    <w:rsid w:val="001B7DDB"/>
    <w:rsid w:val="001B7FD2"/>
    <w:rsid w:val="001C5E9D"/>
    <w:rsid w:val="001C79D3"/>
    <w:rsid w:val="001D722A"/>
    <w:rsid w:val="001E5D17"/>
    <w:rsid w:val="001E6605"/>
    <w:rsid w:val="00201813"/>
    <w:rsid w:val="00205EE9"/>
    <w:rsid w:val="002167E2"/>
    <w:rsid w:val="00222111"/>
    <w:rsid w:val="00226BC8"/>
    <w:rsid w:val="00230649"/>
    <w:rsid w:val="0023288F"/>
    <w:rsid w:val="00233F9C"/>
    <w:rsid w:val="0023688D"/>
    <w:rsid w:val="0024098A"/>
    <w:rsid w:val="00254480"/>
    <w:rsid w:val="00260C7F"/>
    <w:rsid w:val="00261507"/>
    <w:rsid w:val="00265334"/>
    <w:rsid w:val="00272EFB"/>
    <w:rsid w:val="002749CA"/>
    <w:rsid w:val="00274C68"/>
    <w:rsid w:val="00276464"/>
    <w:rsid w:val="00277E26"/>
    <w:rsid w:val="00281AA1"/>
    <w:rsid w:val="00283E18"/>
    <w:rsid w:val="00287EAF"/>
    <w:rsid w:val="00287EC4"/>
    <w:rsid w:val="002950A1"/>
    <w:rsid w:val="002950EC"/>
    <w:rsid w:val="00296EF1"/>
    <w:rsid w:val="002A3F7E"/>
    <w:rsid w:val="002A5119"/>
    <w:rsid w:val="002B6D9D"/>
    <w:rsid w:val="002D4699"/>
    <w:rsid w:val="002E0E69"/>
    <w:rsid w:val="002E59A0"/>
    <w:rsid w:val="002E6B43"/>
    <w:rsid w:val="002E7180"/>
    <w:rsid w:val="002F08F9"/>
    <w:rsid w:val="002F1F4A"/>
    <w:rsid w:val="00313F83"/>
    <w:rsid w:val="003163BD"/>
    <w:rsid w:val="00316E04"/>
    <w:rsid w:val="00333A4A"/>
    <w:rsid w:val="00333E18"/>
    <w:rsid w:val="003421C6"/>
    <w:rsid w:val="00343CB7"/>
    <w:rsid w:val="0034479A"/>
    <w:rsid w:val="00346A91"/>
    <w:rsid w:val="00353F72"/>
    <w:rsid w:val="0035607F"/>
    <w:rsid w:val="00364602"/>
    <w:rsid w:val="003666C5"/>
    <w:rsid w:val="00372185"/>
    <w:rsid w:val="00373426"/>
    <w:rsid w:val="00375C96"/>
    <w:rsid w:val="00380013"/>
    <w:rsid w:val="003824AB"/>
    <w:rsid w:val="00386832"/>
    <w:rsid w:val="00395526"/>
    <w:rsid w:val="00397F64"/>
    <w:rsid w:val="003A680A"/>
    <w:rsid w:val="003A7181"/>
    <w:rsid w:val="003A7231"/>
    <w:rsid w:val="003B759E"/>
    <w:rsid w:val="003C24A8"/>
    <w:rsid w:val="003C3A7F"/>
    <w:rsid w:val="003E643F"/>
    <w:rsid w:val="003F05D9"/>
    <w:rsid w:val="003F1386"/>
    <w:rsid w:val="003F553B"/>
    <w:rsid w:val="0040070A"/>
    <w:rsid w:val="00404DC6"/>
    <w:rsid w:val="00404FBA"/>
    <w:rsid w:val="004056D6"/>
    <w:rsid w:val="00414EBD"/>
    <w:rsid w:val="004177C7"/>
    <w:rsid w:val="004317D2"/>
    <w:rsid w:val="004334FB"/>
    <w:rsid w:val="00450AB9"/>
    <w:rsid w:val="004558DD"/>
    <w:rsid w:val="00460255"/>
    <w:rsid w:val="00461332"/>
    <w:rsid w:val="00464750"/>
    <w:rsid w:val="00470BDE"/>
    <w:rsid w:val="00470DEC"/>
    <w:rsid w:val="0047330D"/>
    <w:rsid w:val="00476E52"/>
    <w:rsid w:val="00481698"/>
    <w:rsid w:val="004939E5"/>
    <w:rsid w:val="00495B37"/>
    <w:rsid w:val="004A1430"/>
    <w:rsid w:val="004A4BB3"/>
    <w:rsid w:val="004B0E76"/>
    <w:rsid w:val="004B2B98"/>
    <w:rsid w:val="004B51C7"/>
    <w:rsid w:val="004B68E4"/>
    <w:rsid w:val="004E43B9"/>
    <w:rsid w:val="004E4A00"/>
    <w:rsid w:val="004F4560"/>
    <w:rsid w:val="004F46A3"/>
    <w:rsid w:val="004F614D"/>
    <w:rsid w:val="0052562C"/>
    <w:rsid w:val="00526445"/>
    <w:rsid w:val="00536031"/>
    <w:rsid w:val="00536FAC"/>
    <w:rsid w:val="005528E0"/>
    <w:rsid w:val="00561888"/>
    <w:rsid w:val="005633D7"/>
    <w:rsid w:val="0056607D"/>
    <w:rsid w:val="005803F2"/>
    <w:rsid w:val="00586FD5"/>
    <w:rsid w:val="005922DC"/>
    <w:rsid w:val="005A2690"/>
    <w:rsid w:val="005A4155"/>
    <w:rsid w:val="005B1960"/>
    <w:rsid w:val="005B7CD4"/>
    <w:rsid w:val="005B7E06"/>
    <w:rsid w:val="005C5491"/>
    <w:rsid w:val="005C7DFC"/>
    <w:rsid w:val="005E0336"/>
    <w:rsid w:val="005E45EF"/>
    <w:rsid w:val="005E57EE"/>
    <w:rsid w:val="005E5CF6"/>
    <w:rsid w:val="00601E05"/>
    <w:rsid w:val="006045D9"/>
    <w:rsid w:val="00606516"/>
    <w:rsid w:val="006205FD"/>
    <w:rsid w:val="00621C3F"/>
    <w:rsid w:val="00623140"/>
    <w:rsid w:val="00624C1C"/>
    <w:rsid w:val="00630499"/>
    <w:rsid w:val="006447BC"/>
    <w:rsid w:val="00644CA2"/>
    <w:rsid w:val="00646D14"/>
    <w:rsid w:val="006526F9"/>
    <w:rsid w:val="00661DE9"/>
    <w:rsid w:val="00662B23"/>
    <w:rsid w:val="00671726"/>
    <w:rsid w:val="00687959"/>
    <w:rsid w:val="0069093F"/>
    <w:rsid w:val="00690D32"/>
    <w:rsid w:val="00694CF8"/>
    <w:rsid w:val="006A0FB4"/>
    <w:rsid w:val="006A40B4"/>
    <w:rsid w:val="006A7E47"/>
    <w:rsid w:val="006B470B"/>
    <w:rsid w:val="006C7D0A"/>
    <w:rsid w:val="006E1656"/>
    <w:rsid w:val="006E1796"/>
    <w:rsid w:val="006E1DC4"/>
    <w:rsid w:val="006E53D2"/>
    <w:rsid w:val="006E6E0D"/>
    <w:rsid w:val="006E7078"/>
    <w:rsid w:val="006F0FC2"/>
    <w:rsid w:val="006F3114"/>
    <w:rsid w:val="006F76EF"/>
    <w:rsid w:val="007056ED"/>
    <w:rsid w:val="00713161"/>
    <w:rsid w:val="007132FC"/>
    <w:rsid w:val="0072041E"/>
    <w:rsid w:val="00720C29"/>
    <w:rsid w:val="00722B77"/>
    <w:rsid w:val="00722DAE"/>
    <w:rsid w:val="00727A16"/>
    <w:rsid w:val="00727DC7"/>
    <w:rsid w:val="007364E8"/>
    <w:rsid w:val="007374E6"/>
    <w:rsid w:val="00747619"/>
    <w:rsid w:val="007626A2"/>
    <w:rsid w:val="00762CC7"/>
    <w:rsid w:val="007642F2"/>
    <w:rsid w:val="00764A8A"/>
    <w:rsid w:val="00764ADE"/>
    <w:rsid w:val="00765C85"/>
    <w:rsid w:val="00766838"/>
    <w:rsid w:val="00781C86"/>
    <w:rsid w:val="00787BAE"/>
    <w:rsid w:val="007941A8"/>
    <w:rsid w:val="00795921"/>
    <w:rsid w:val="007B3877"/>
    <w:rsid w:val="007C3AA0"/>
    <w:rsid w:val="007C4A72"/>
    <w:rsid w:val="007D4B23"/>
    <w:rsid w:val="007E188F"/>
    <w:rsid w:val="007E22C6"/>
    <w:rsid w:val="007E74A8"/>
    <w:rsid w:val="007F75B8"/>
    <w:rsid w:val="00812214"/>
    <w:rsid w:val="008162D0"/>
    <w:rsid w:val="008302F8"/>
    <w:rsid w:val="00832F11"/>
    <w:rsid w:val="00834746"/>
    <w:rsid w:val="00841FA2"/>
    <w:rsid w:val="00843493"/>
    <w:rsid w:val="00846C2F"/>
    <w:rsid w:val="0085139D"/>
    <w:rsid w:val="00855E76"/>
    <w:rsid w:val="00863A62"/>
    <w:rsid w:val="0087308D"/>
    <w:rsid w:val="00883095"/>
    <w:rsid w:val="00884D06"/>
    <w:rsid w:val="00887343"/>
    <w:rsid w:val="00891F5D"/>
    <w:rsid w:val="0089339E"/>
    <w:rsid w:val="00893F96"/>
    <w:rsid w:val="008A0869"/>
    <w:rsid w:val="008B5A50"/>
    <w:rsid w:val="008C0F9B"/>
    <w:rsid w:val="008C246C"/>
    <w:rsid w:val="008C32EE"/>
    <w:rsid w:val="008D3148"/>
    <w:rsid w:val="008D4818"/>
    <w:rsid w:val="008E1180"/>
    <w:rsid w:val="008E13D4"/>
    <w:rsid w:val="008F3235"/>
    <w:rsid w:val="008F4D1B"/>
    <w:rsid w:val="008F61FB"/>
    <w:rsid w:val="00903018"/>
    <w:rsid w:val="00903B3C"/>
    <w:rsid w:val="009172CA"/>
    <w:rsid w:val="009223BC"/>
    <w:rsid w:val="0092289E"/>
    <w:rsid w:val="00926D64"/>
    <w:rsid w:val="0093078A"/>
    <w:rsid w:val="00934901"/>
    <w:rsid w:val="009409C3"/>
    <w:rsid w:val="00943326"/>
    <w:rsid w:val="00945308"/>
    <w:rsid w:val="00946E16"/>
    <w:rsid w:val="009517A9"/>
    <w:rsid w:val="00961AE5"/>
    <w:rsid w:val="009630D7"/>
    <w:rsid w:val="00967910"/>
    <w:rsid w:val="00973B69"/>
    <w:rsid w:val="00975DFA"/>
    <w:rsid w:val="009820EA"/>
    <w:rsid w:val="00982C20"/>
    <w:rsid w:val="009872CA"/>
    <w:rsid w:val="009A0F65"/>
    <w:rsid w:val="009A18B3"/>
    <w:rsid w:val="009B2483"/>
    <w:rsid w:val="009B4706"/>
    <w:rsid w:val="009B7019"/>
    <w:rsid w:val="009B76C9"/>
    <w:rsid w:val="009C22DB"/>
    <w:rsid w:val="009C2840"/>
    <w:rsid w:val="009C4C1D"/>
    <w:rsid w:val="009C7210"/>
    <w:rsid w:val="009D1254"/>
    <w:rsid w:val="009D3385"/>
    <w:rsid w:val="009D4B99"/>
    <w:rsid w:val="009D4F8D"/>
    <w:rsid w:val="009D5A05"/>
    <w:rsid w:val="009E06B1"/>
    <w:rsid w:val="009E318B"/>
    <w:rsid w:val="009F7B1B"/>
    <w:rsid w:val="00A047C1"/>
    <w:rsid w:val="00A04BD7"/>
    <w:rsid w:val="00A067BF"/>
    <w:rsid w:val="00A10858"/>
    <w:rsid w:val="00A1196F"/>
    <w:rsid w:val="00A126E0"/>
    <w:rsid w:val="00A225EE"/>
    <w:rsid w:val="00A32574"/>
    <w:rsid w:val="00A460CA"/>
    <w:rsid w:val="00A5146B"/>
    <w:rsid w:val="00A5632A"/>
    <w:rsid w:val="00A65777"/>
    <w:rsid w:val="00A70B40"/>
    <w:rsid w:val="00A743D9"/>
    <w:rsid w:val="00A748B9"/>
    <w:rsid w:val="00A92F9C"/>
    <w:rsid w:val="00A92FDD"/>
    <w:rsid w:val="00A95888"/>
    <w:rsid w:val="00A95D56"/>
    <w:rsid w:val="00AA4CE7"/>
    <w:rsid w:val="00AA5D4D"/>
    <w:rsid w:val="00AB2C52"/>
    <w:rsid w:val="00AB7528"/>
    <w:rsid w:val="00AC7B4F"/>
    <w:rsid w:val="00AE1D69"/>
    <w:rsid w:val="00AE4DC7"/>
    <w:rsid w:val="00AE538A"/>
    <w:rsid w:val="00AF441D"/>
    <w:rsid w:val="00B0062F"/>
    <w:rsid w:val="00B0331B"/>
    <w:rsid w:val="00B0560C"/>
    <w:rsid w:val="00B157D7"/>
    <w:rsid w:val="00B1617B"/>
    <w:rsid w:val="00B17178"/>
    <w:rsid w:val="00B23BC8"/>
    <w:rsid w:val="00B26E4D"/>
    <w:rsid w:val="00B30A71"/>
    <w:rsid w:val="00B44AF0"/>
    <w:rsid w:val="00B47BD7"/>
    <w:rsid w:val="00B5601E"/>
    <w:rsid w:val="00B61DCE"/>
    <w:rsid w:val="00B70244"/>
    <w:rsid w:val="00B72D9C"/>
    <w:rsid w:val="00B74F39"/>
    <w:rsid w:val="00B86A15"/>
    <w:rsid w:val="00B9070B"/>
    <w:rsid w:val="00B95779"/>
    <w:rsid w:val="00B957C1"/>
    <w:rsid w:val="00BA76E6"/>
    <w:rsid w:val="00BB7C9F"/>
    <w:rsid w:val="00BC6964"/>
    <w:rsid w:val="00BD05AE"/>
    <w:rsid w:val="00BD2C77"/>
    <w:rsid w:val="00BD4975"/>
    <w:rsid w:val="00BE1727"/>
    <w:rsid w:val="00BE5A23"/>
    <w:rsid w:val="00BF69ED"/>
    <w:rsid w:val="00BF7F49"/>
    <w:rsid w:val="00C02731"/>
    <w:rsid w:val="00C175E1"/>
    <w:rsid w:val="00C24ED6"/>
    <w:rsid w:val="00C253A4"/>
    <w:rsid w:val="00C256A7"/>
    <w:rsid w:val="00C43070"/>
    <w:rsid w:val="00C50E7F"/>
    <w:rsid w:val="00C54728"/>
    <w:rsid w:val="00C55516"/>
    <w:rsid w:val="00C606F0"/>
    <w:rsid w:val="00C63FBA"/>
    <w:rsid w:val="00C66709"/>
    <w:rsid w:val="00C705B7"/>
    <w:rsid w:val="00C71F4C"/>
    <w:rsid w:val="00C80222"/>
    <w:rsid w:val="00C82DE3"/>
    <w:rsid w:val="00CA1D6F"/>
    <w:rsid w:val="00CA4488"/>
    <w:rsid w:val="00CC3B4C"/>
    <w:rsid w:val="00CC4B00"/>
    <w:rsid w:val="00CC4C26"/>
    <w:rsid w:val="00CC5194"/>
    <w:rsid w:val="00CC5FA8"/>
    <w:rsid w:val="00CC7640"/>
    <w:rsid w:val="00CD2622"/>
    <w:rsid w:val="00CD2D38"/>
    <w:rsid w:val="00CD51F0"/>
    <w:rsid w:val="00CE083D"/>
    <w:rsid w:val="00CF32F5"/>
    <w:rsid w:val="00CF4004"/>
    <w:rsid w:val="00D02E36"/>
    <w:rsid w:val="00D0444B"/>
    <w:rsid w:val="00D04E67"/>
    <w:rsid w:val="00D14AC3"/>
    <w:rsid w:val="00D15E6E"/>
    <w:rsid w:val="00D20A5A"/>
    <w:rsid w:val="00D269DC"/>
    <w:rsid w:val="00D27CBB"/>
    <w:rsid w:val="00D373F2"/>
    <w:rsid w:val="00D4333D"/>
    <w:rsid w:val="00D435E7"/>
    <w:rsid w:val="00D56913"/>
    <w:rsid w:val="00D73B92"/>
    <w:rsid w:val="00D73E9A"/>
    <w:rsid w:val="00D75107"/>
    <w:rsid w:val="00D757C8"/>
    <w:rsid w:val="00D75937"/>
    <w:rsid w:val="00D84611"/>
    <w:rsid w:val="00DA005A"/>
    <w:rsid w:val="00DA4215"/>
    <w:rsid w:val="00DA52AA"/>
    <w:rsid w:val="00DC0E68"/>
    <w:rsid w:val="00DC18F1"/>
    <w:rsid w:val="00DD489B"/>
    <w:rsid w:val="00DE08CF"/>
    <w:rsid w:val="00DE3862"/>
    <w:rsid w:val="00DF0DB9"/>
    <w:rsid w:val="00DF55DE"/>
    <w:rsid w:val="00E01092"/>
    <w:rsid w:val="00E024E3"/>
    <w:rsid w:val="00E06DA4"/>
    <w:rsid w:val="00E07BAA"/>
    <w:rsid w:val="00E121F5"/>
    <w:rsid w:val="00E219D8"/>
    <w:rsid w:val="00E21A66"/>
    <w:rsid w:val="00E23A65"/>
    <w:rsid w:val="00E23EDC"/>
    <w:rsid w:val="00E34975"/>
    <w:rsid w:val="00E40CEE"/>
    <w:rsid w:val="00E439E9"/>
    <w:rsid w:val="00E47FD5"/>
    <w:rsid w:val="00E51D93"/>
    <w:rsid w:val="00E60797"/>
    <w:rsid w:val="00E6172B"/>
    <w:rsid w:val="00E722B8"/>
    <w:rsid w:val="00E73E82"/>
    <w:rsid w:val="00E924CB"/>
    <w:rsid w:val="00E9727A"/>
    <w:rsid w:val="00EA33FA"/>
    <w:rsid w:val="00EB7C9C"/>
    <w:rsid w:val="00ED0DF7"/>
    <w:rsid w:val="00ED3830"/>
    <w:rsid w:val="00EE7B56"/>
    <w:rsid w:val="00EF2B82"/>
    <w:rsid w:val="00EF4703"/>
    <w:rsid w:val="00F03278"/>
    <w:rsid w:val="00F22856"/>
    <w:rsid w:val="00F23457"/>
    <w:rsid w:val="00F26384"/>
    <w:rsid w:val="00F26701"/>
    <w:rsid w:val="00F2766E"/>
    <w:rsid w:val="00F33A5F"/>
    <w:rsid w:val="00F35F0F"/>
    <w:rsid w:val="00F43691"/>
    <w:rsid w:val="00F46B75"/>
    <w:rsid w:val="00F52A56"/>
    <w:rsid w:val="00F53678"/>
    <w:rsid w:val="00F61B28"/>
    <w:rsid w:val="00F64FF6"/>
    <w:rsid w:val="00F653FB"/>
    <w:rsid w:val="00F67DA8"/>
    <w:rsid w:val="00F72DAA"/>
    <w:rsid w:val="00F756F9"/>
    <w:rsid w:val="00F846BE"/>
    <w:rsid w:val="00F84F40"/>
    <w:rsid w:val="00F921F0"/>
    <w:rsid w:val="00FA513E"/>
    <w:rsid w:val="00FB4C68"/>
    <w:rsid w:val="00FB58D8"/>
    <w:rsid w:val="00FC32DF"/>
    <w:rsid w:val="00FC3F7C"/>
    <w:rsid w:val="00FC7964"/>
    <w:rsid w:val="00FC7C14"/>
    <w:rsid w:val="00FD1903"/>
    <w:rsid w:val="00FD367C"/>
    <w:rsid w:val="00FD5341"/>
    <w:rsid w:val="00FD55E5"/>
    <w:rsid w:val="00FD5753"/>
    <w:rsid w:val="00FD69DB"/>
    <w:rsid w:val="00FE09B0"/>
    <w:rsid w:val="0F3253C7"/>
    <w:rsid w:val="0F9C5A34"/>
    <w:rsid w:val="1D8A7BEB"/>
    <w:rsid w:val="3BC872C0"/>
    <w:rsid w:val="4FA95577"/>
    <w:rsid w:val="519158F8"/>
    <w:rsid w:val="537137C2"/>
    <w:rsid w:val="5E6B1581"/>
    <w:rsid w:val="674602D3"/>
    <w:rsid w:val="6A944AFA"/>
    <w:rsid w:val="6E476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  <w:style w:type="paragraph" w:styleId="6">
    <w:name w:val="head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footer"/>
    <w:basedOn w:val="1"/>
    <w:link w:val="11"/>
    <w:unhideWhenUsed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3"/>
    <w:qFormat/>
    <w:uiPriority w:val="39"/>
    <w:rPr>
      <w:rFonts w:ascii="Calibri" w:hAnsi="Calibri" w:eastAsia="Calibri" w:cs="Times New Roman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Cabeçalho Char"/>
    <w:basedOn w:val="2"/>
    <w:link w:val="6"/>
    <w:qFormat/>
    <w:uiPriority w:val="99"/>
  </w:style>
  <w:style w:type="character" w:customStyle="1" w:styleId="11">
    <w:name w:val="Rodapé Char"/>
    <w:basedOn w:val="2"/>
    <w:link w:val="7"/>
    <w:uiPriority w:val="0"/>
  </w:style>
  <w:style w:type="character" w:customStyle="1" w:styleId="12">
    <w:name w:val="Texto de balão Char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</w:pPr>
    <w:rPr>
      <w:rFonts w:ascii="Arial" w:hAnsi="Arial" w:eastAsia="SimSun" w:cs="Arial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368</Words>
  <Characters>1993</Characters>
  <Lines>16</Lines>
  <Paragraphs>4</Paragraphs>
  <TotalTime>8</TotalTime>
  <ScaleCrop>false</ScaleCrop>
  <LinksUpToDate>false</LinksUpToDate>
  <CharactersWithSpaces>2357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2024-02-07T12:59:00Z</dcterms:created>
  <dc:creator>Marcos</dc:creator>
  <cp:lastModifiedBy>thiago.botinelly</cp:lastModifiedBy>
  <cp:lastPrinted>2023-03-30T18:41:00Z</cp:lastPrinted>
  <dcterms:modified xsi:type="dcterms:W3CDTF">2024-11-01T13:57:36Z</dcterms:modified>
  <dc:title>Procedimento Operacional Padrão Banco Fidis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52A0675DDAEA4FC4808689B568ECBAF3_13</vt:lpwstr>
  </property>
</Properties>
</file>