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11E78">
      <w:pPr>
        <w:numPr>
          <w:ilvl w:val="0"/>
          <w:numId w:val="1"/>
        </w:numPr>
        <w:jc w:val="both"/>
        <w:rPr>
          <w:rFonts w:hint="default" w:ascii="Arial" w:hAnsi="Arial" w:cs="Arial"/>
          <w:b/>
          <w:bCs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sz w:val="36"/>
          <w:szCs w:val="36"/>
          <w:lang w:val="pt-BR"/>
        </w:rPr>
        <w:t>Requisito Relacionados ao Setor de Compras - ISO 9001:2015</w:t>
      </w:r>
    </w:p>
    <w:p w14:paraId="1EA98CEB">
      <w:pPr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</w:p>
    <w:p w14:paraId="387D7D8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pt-BR" w:eastAsia="zh-CN" w:bidi="ar"/>
        </w:rPr>
        <w:t>8</w:t>
      </w:r>
      <w:r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.4 Controle de processos, produtos e serviços providos externamente </w:t>
      </w:r>
    </w:p>
    <w:p w14:paraId="1D33779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</w:pPr>
    </w:p>
    <w:p w14:paraId="4492DEC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8.4.1 Generalidades </w:t>
      </w:r>
    </w:p>
    <w:p w14:paraId="554B45E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A organização deve assegurar que processos, produtos e serviços providos externamente estejam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conformes com requisitos. </w:t>
      </w:r>
    </w:p>
    <w:p w14:paraId="08F2DE1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5F50266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determinar os controles a serem aplicados para os processos, produtos e serviços </w:t>
      </w:r>
      <w:r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  <w:t xml:space="preserve">providos externamente quando: </w:t>
      </w:r>
    </w:p>
    <w:p w14:paraId="08378E69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</w:pPr>
    </w:p>
    <w:p w14:paraId="397BBA4B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produtos e serviços de provedores externos forem destinados a incorporação nos produtos e serviços da própria organização; </w:t>
      </w:r>
    </w:p>
    <w:p w14:paraId="58260FBD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 b) produtos e serviços forem providos diretamente para o(s) cliente(s) por provedores externos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em nome da organização; </w:t>
      </w:r>
    </w:p>
    <w:p w14:paraId="1584DF1C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 c) um processo, ou parte de um processo, for provido por um provedor externo como um resultado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de uma decisão da organização. </w:t>
      </w:r>
    </w:p>
    <w:p w14:paraId="2DA3503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3C7E756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A organização deve determinar e aplicar critérios para a avaliação, seleção,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monitoramento de desempenho e reavaliação de provedores externos, baseados na sua capacidade de prover processos ou produtos e serviços de acordo com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 r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equisitos. A organização deve reter informação documentada dessas atividades e de quaisquer ações necessárias decorrentes das avaliações. </w:t>
      </w:r>
    </w:p>
    <w:p w14:paraId="72CF625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7D25DF72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8.4.2 Tipo e extensão do controle </w:t>
      </w:r>
    </w:p>
    <w:p w14:paraId="05BE16A8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</w:pPr>
    </w:p>
    <w:p w14:paraId="2D05E4C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assegurar que processos, produtos e serviços providos externamente não afetem adversamente a capacidade da organização de entregar consistentemente produtos e serviços conformes para seus clientes. </w:t>
      </w:r>
    </w:p>
    <w:p w14:paraId="07EBE6F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deve: </w:t>
      </w:r>
    </w:p>
    <w:p w14:paraId="2FBB7089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assegurar que processos providos externamente permaneçam sob o controle do seu sistema de gestão da qualidade; </w:t>
      </w:r>
    </w:p>
    <w:p w14:paraId="17A30022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 b) definir tanto os controles que ela pretende aplicar a um provedor externo como aqueles que ela pretende aplicar às saídas resultantes; </w:t>
      </w:r>
    </w:p>
    <w:p w14:paraId="2DE5D0F7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 c) levar em consideração: </w:t>
      </w:r>
    </w:p>
    <w:p w14:paraId="66DC8736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 1) o impacto potencial dos processos, produtos e serviços providos externamente sobre a capacidade da organização de atender consistentemente aos requisitos do cliente e aos requisitos estatutários e regulamentares; </w:t>
      </w:r>
    </w:p>
    <w:p w14:paraId="72BA5267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 2) a eficácia dos controles aplicados pelo provedor externo; </w:t>
      </w:r>
    </w:p>
    <w:p w14:paraId="40188CE5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 d) determinar a verificação, ou outra atividade, necessária para assegurar que os processos,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produtos e serviços providos externamente atendam a requisitos. </w:t>
      </w:r>
    </w:p>
    <w:p w14:paraId="769B754D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1E3A6174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8.4.3 Informação para provedores externos </w:t>
      </w:r>
    </w:p>
    <w:p w14:paraId="13D7163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</w:pPr>
    </w:p>
    <w:p w14:paraId="4964871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assegurar a suficiência de requisitos antes de sua comunicação para o provedor </w:t>
      </w:r>
      <w:r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  <w:t xml:space="preserve">externo. </w:t>
      </w:r>
    </w:p>
    <w:p w14:paraId="52E031E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comunicar para provedores externos seus requisitos para: </w:t>
      </w:r>
    </w:p>
    <w:p w14:paraId="1BF3D32B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os processos, produtos e serviços a serem providos; </w:t>
      </w:r>
    </w:p>
    <w:p w14:paraId="1B782B46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 b) a aprovação de: </w:t>
      </w:r>
    </w:p>
    <w:p w14:paraId="72BB0009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 1) produtos e serviços; </w:t>
      </w:r>
    </w:p>
    <w:p w14:paraId="7C5B67F3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 2) métodos, processos e equipamentos; </w:t>
      </w:r>
    </w:p>
    <w:p w14:paraId="1703BD85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 3) liberação de produtos e serviços; </w:t>
      </w:r>
    </w:p>
    <w:p w14:paraId="5A147FA0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 c) competência, incluindo qualquer qualificação de pessoas requerida; </w:t>
      </w:r>
    </w:p>
    <w:p w14:paraId="03A4C886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 d) as interações do provedor externo com a organização; </w:t>
      </w:r>
    </w:p>
    <w:p w14:paraId="38C7AC0B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 e) controle e monitoramento do desempenho do provedor externo a ser aplicado pela organização; </w:t>
      </w:r>
    </w:p>
    <w:p w14:paraId="21A97197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 f) atividades de verificação ou validação que a organização, ou seus clientes, pretendam desempenhar nas instalações do provedor externo.</w:t>
      </w:r>
    </w:p>
    <w:p w14:paraId="7306559E">
      <w:pPr>
        <w:ind w:left="708" w:leftChars="0"/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</w:p>
    <w:p w14:paraId="6A689D0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6.1 </w:t>
      </w:r>
      <w:r>
        <w:rPr>
          <w:rFonts w:hint="default" w:ascii="Arial" w:hAnsi="Arial" w:eastAsia="SimSun" w:cs="Arial"/>
          <w:b/>
          <w:bCs/>
          <w:color w:val="231F20"/>
          <w:kern w:val="0"/>
          <w:sz w:val="24"/>
          <w:szCs w:val="24"/>
          <w:lang w:val="en-US" w:eastAsia="zh-CN" w:bidi="ar"/>
        </w:rPr>
        <w:t>Ações para abordar riscos e oportunidades</w:t>
      </w:r>
    </w:p>
    <w:p w14:paraId="1374B9B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 </w:t>
      </w:r>
    </w:p>
    <w:p w14:paraId="6DA84F0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6.1.1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Ao planejar o sistema de gestão da qualidade, a organização deve considerar as questões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referidas em 4.1 e os requisitos referidos em 4.2, e determinar os riscos e oportunidades que precisam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>s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er abordados para: </w:t>
      </w:r>
    </w:p>
    <w:p w14:paraId="4CFFA5E8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assegurar que o sistema de gestão da qualidade possa alcançar seus resultados pretendidos; </w:t>
      </w:r>
    </w:p>
    <w:p w14:paraId="308F0E1C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 b) aumentar efeitos desejáveis; </w:t>
      </w:r>
    </w:p>
    <w:p w14:paraId="020CABDC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 c) prevenir, ou reduzir, efeitos indesejáveis; </w:t>
      </w:r>
    </w:p>
    <w:p w14:paraId="2632C5E9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 d) alcançar melhoria. </w:t>
      </w:r>
    </w:p>
    <w:p w14:paraId="259415EA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5D81BDA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6.1.2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planejar: </w:t>
      </w:r>
    </w:p>
    <w:p w14:paraId="7E49CEB1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ações para abordar esses riscos e oportunidades; </w:t>
      </w:r>
    </w:p>
    <w:p w14:paraId="478AB3BF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 b) </w:t>
      </w:r>
      <w:r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  <w:t xml:space="preserve">como: </w:t>
      </w:r>
    </w:p>
    <w:p w14:paraId="5C083056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 1) integrar e implementar as ações nos processos do seu sistema de gestão da qualidade </w:t>
      </w:r>
    </w:p>
    <w:p w14:paraId="11F61B67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(ver 4.4); </w:t>
      </w:r>
    </w:p>
    <w:p w14:paraId="3B2D6B91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 2) avaliar a eficácia dessas ações. </w:t>
      </w:r>
    </w:p>
    <w:p w14:paraId="14586440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399F3E5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Ações tomadas para abordar riscos e oportunidades devem ser apropriadas ao impacto potencial sobre a conformidade de produtos e serviços. </w:t>
      </w:r>
    </w:p>
    <w:p w14:paraId="41050F9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2FBAC37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NOTA 1 Opções para abordar riscos podem incluir evitar o risco, assumir o risco para perseguir uma oportunidade, eliminar a fonte de risco, mudar a probabilidade ou as consequências, compartilhar o risco ou decidir, com base em informação, reter o risco. </w:t>
      </w:r>
    </w:p>
    <w:p w14:paraId="55C86A5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</w:pPr>
    </w:p>
    <w:p w14:paraId="559030F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>NOTA 2 Oportunidades podem levar à adoção de novas práticas, lançamento de novos produtos, abertura de novos mercados, abordagem de novos clientes, construção de parcerias, uso de novas tecnologias e outras possibilidades desejáveis e viáveis para abordar as necessidades da organização ou de seus clientes.</w:t>
      </w:r>
    </w:p>
    <w:p w14:paraId="73155FC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</w:pPr>
    </w:p>
    <w:p w14:paraId="0B92466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6.3 Planejamento de mudanças </w:t>
      </w:r>
    </w:p>
    <w:p w14:paraId="0683242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en-US" w:eastAsia="zh-CN" w:bidi="ar"/>
        </w:rPr>
      </w:pPr>
    </w:p>
    <w:p w14:paraId="2CCF7A0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Quando a organização determina a necessidade de mudanças no sistema de gestão da qualidade, as mudanças devem ser realizadas de uma maneira planejada e sistemática (ver 4.4). </w:t>
      </w:r>
    </w:p>
    <w:p w14:paraId="475D227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considerar: </w:t>
      </w:r>
    </w:p>
    <w:p w14:paraId="687065FC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o propósito das mudanças e suas potenciais consequências; </w:t>
      </w:r>
    </w:p>
    <w:p w14:paraId="3EE89EC6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 b) a integridade do sistema de gestão da qualidade; </w:t>
      </w:r>
    </w:p>
    <w:p w14:paraId="06121BA8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 c) a disponibilidade de recursos; </w:t>
      </w:r>
    </w:p>
    <w:p w14:paraId="245B7911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 d) a alocação ou realocação de responsabilidades e autoridades.</w:t>
      </w:r>
    </w:p>
    <w:p w14:paraId="042AC802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0AFA0ED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7.4 Comunicação </w:t>
      </w:r>
    </w:p>
    <w:p w14:paraId="1F8206A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determinar as comunicações internas e externas pertinentes para o sistema de gestão da qualidade, incluindo: </w:t>
      </w:r>
    </w:p>
    <w:p w14:paraId="49CF87D0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sobre o que comunicar; </w:t>
      </w:r>
    </w:p>
    <w:p w14:paraId="64ED1E28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 b) quando comunicar; </w:t>
      </w:r>
    </w:p>
    <w:p w14:paraId="444B089B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 c) com quem se comunicar; </w:t>
      </w:r>
    </w:p>
    <w:p w14:paraId="67E70782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 d) como comunicar; </w:t>
      </w:r>
    </w:p>
    <w:p w14:paraId="1AE250D6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 e) </w:t>
      </w:r>
      <w:r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  <w:t>quem comunica.</w:t>
      </w:r>
    </w:p>
    <w:p w14:paraId="6965524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272AAA35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>9.1.2 Satisfação do cliente</w:t>
      </w:r>
    </w:p>
    <w:p w14:paraId="7E82620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 </w:t>
      </w:r>
    </w:p>
    <w:p w14:paraId="555E983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A organização deve monitorar a percepção de clientes do grau em que suas necessidades e expectativas foram atendidas. A organização deve determinar os métodos para obter, monitorar e analisar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criticamente essa informação. </w:t>
      </w:r>
    </w:p>
    <w:p w14:paraId="711B729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5106BBB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NOTA </w:t>
      </w:r>
    </w:p>
    <w:p w14:paraId="63A063D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Exemplos de monitoramento das percepções de cliente podem incluir pesquisas com o cliente, retroalimentação do cliente sobre produtos ou serviços entregues, reuniões com clientes, análise de participação de mercado, elogios, pleitos de garantia e relatórios de distribuidor.</w:t>
      </w:r>
    </w:p>
    <w:p w14:paraId="2D03980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4FF09E7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4"/>
          <w:szCs w:val="24"/>
          <w:lang w:val="en-US" w:eastAsia="zh-CN" w:bidi="ar"/>
        </w:rPr>
        <w:t xml:space="preserve">10.2 Não conformidade e ação corretiva </w:t>
      </w:r>
    </w:p>
    <w:p w14:paraId="187EEB0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10.2.1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Ao ocorrer uma não conformidade, incluindo as provenientes de reclamações, a organização </w:t>
      </w:r>
    </w:p>
    <w:p w14:paraId="349F832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  <w:t xml:space="preserve">deve: </w:t>
      </w:r>
    </w:p>
    <w:p w14:paraId="68D4ECFA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reagir à não conformidade e, como aplicável: </w:t>
      </w:r>
    </w:p>
    <w:p w14:paraId="5E1AF569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 1) tomar ação para controlá-la e corrigi-la; </w:t>
      </w:r>
    </w:p>
    <w:p w14:paraId="23594BF2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 2) lidar com as consequências; </w:t>
      </w:r>
    </w:p>
    <w:p w14:paraId="5BC3843D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 b) avaliar a necessidade de ação para eliminar a(s) causa(s) da não conformidade, a fim de que ela não se repita ou ocorra em outro lugar: </w:t>
      </w:r>
    </w:p>
    <w:p w14:paraId="4BDF7F92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 1) analisando criticamente e analisando a não conformidade; </w:t>
      </w:r>
    </w:p>
    <w:p w14:paraId="5C4D9923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4CC58431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MT2" w:cs="Arial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NOTA BRASILEIRA </w:t>
      </w: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Por convenção, o termo </w:t>
      </w:r>
      <w:r>
        <w:rPr>
          <w:rFonts w:hint="default" w:ascii="Arial" w:hAnsi="Arial" w:eastAsia="SimSun" w:cs="Arial"/>
          <w:i/>
          <w:iCs/>
          <w:color w:val="231F20"/>
          <w:kern w:val="0"/>
          <w:sz w:val="20"/>
          <w:szCs w:val="20"/>
          <w:lang w:val="en-US" w:eastAsia="zh-CN" w:bidi="ar"/>
        </w:rPr>
        <w:t>review</w:t>
      </w: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 foi traduzido como “análise crítica”. Consequentemente, nesse caso, a expressão “analisando criticamente e analisando” foi usada como tradução</w:t>
      </w: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31F20"/>
          <w:kern w:val="0"/>
          <w:sz w:val="20"/>
          <w:szCs w:val="20"/>
          <w:lang w:val="en-US" w:eastAsia="zh-CN" w:bidi="ar"/>
        </w:rPr>
        <w:t xml:space="preserve">da expressão original </w:t>
      </w:r>
      <w:r>
        <w:rPr>
          <w:rFonts w:hint="default" w:ascii="Arial" w:hAnsi="Arial" w:eastAsia="SimSun" w:cs="Arial"/>
          <w:i/>
          <w:iCs/>
          <w:color w:val="231F20"/>
          <w:kern w:val="0"/>
          <w:sz w:val="20"/>
          <w:szCs w:val="20"/>
          <w:lang w:val="en-US" w:eastAsia="zh-CN" w:bidi="ar"/>
        </w:rPr>
        <w:t>reviewing and analysing</w:t>
      </w:r>
      <w:r>
        <w:rPr>
          <w:rFonts w:hint="default" w:ascii="Arial" w:hAnsi="Arial" w:eastAsia="ArialMT2" w:cs="Arial"/>
          <w:color w:val="231F20"/>
          <w:kern w:val="0"/>
          <w:sz w:val="20"/>
          <w:szCs w:val="20"/>
          <w:lang w:val="en-US" w:eastAsia="zh-CN" w:bidi="ar"/>
        </w:rPr>
        <w:t xml:space="preserve">. </w:t>
      </w:r>
    </w:p>
    <w:p w14:paraId="7E358408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MT2" w:cs="Arial"/>
          <w:color w:val="231F20"/>
          <w:kern w:val="0"/>
          <w:sz w:val="20"/>
          <w:szCs w:val="20"/>
          <w:lang w:val="en-US" w:eastAsia="zh-CN" w:bidi="ar"/>
        </w:rPr>
      </w:pPr>
    </w:p>
    <w:p w14:paraId="04A35E19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 2) determinando as causas da não conformidade; </w:t>
      </w:r>
    </w:p>
    <w:p w14:paraId="25CF308A">
      <w:pPr>
        <w:keepNext w:val="0"/>
        <w:keepLines w:val="0"/>
        <w:widowControl/>
        <w:suppressLineNumbers w:val="0"/>
        <w:ind w:left="1416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 3) determinando se não conformidades similares existem, ou se poderiam potencialmente </w:t>
      </w:r>
      <w:r>
        <w:rPr>
          <w:rFonts w:hint="default" w:ascii="Arial" w:hAnsi="Arial" w:eastAsia="ArialMT2" w:cs="Arial"/>
          <w:color w:val="231F20"/>
          <w:kern w:val="0"/>
          <w:sz w:val="22"/>
          <w:szCs w:val="22"/>
          <w:lang w:val="en-US" w:eastAsia="zh-CN" w:bidi="ar"/>
        </w:rPr>
        <w:t xml:space="preserve">ocorrer. </w:t>
      </w:r>
    </w:p>
    <w:p w14:paraId="727E96D7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 c) implementar qualquer ação necessária; </w:t>
      </w:r>
    </w:p>
    <w:p w14:paraId="2D1D68C5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 d) analisar criticamente a eficácia de qualquer ação corretiva tomada; </w:t>
      </w:r>
    </w:p>
    <w:p w14:paraId="452CD18D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 e) atualizar riscos e oportunidades determinados durante o planejamento, se necessário; </w:t>
      </w:r>
    </w:p>
    <w:p w14:paraId="456F4268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 f) realizar mudanças no sistema de gestão da qualidade, se necessário. </w:t>
      </w:r>
    </w:p>
    <w:p w14:paraId="2C5009EF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Ações corretivas devem ser apropriadas aos efeitos das não conformidades encontradas. </w:t>
      </w:r>
    </w:p>
    <w:p w14:paraId="575F5E7C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47336CC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rial-BoldMT2" w:cs="Arial"/>
          <w:b/>
          <w:bCs/>
          <w:color w:val="231F20"/>
          <w:kern w:val="0"/>
          <w:sz w:val="22"/>
          <w:szCs w:val="22"/>
          <w:lang w:val="en-US" w:eastAsia="zh-CN" w:bidi="ar"/>
        </w:rPr>
        <w:t xml:space="preserve">10.2.2 </w:t>
      </w: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A organização deve reter informação documentada como evidência: </w:t>
      </w:r>
    </w:p>
    <w:p w14:paraId="181F63CD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 xml:space="preserve"> a) da natureza das não conformidades e quaisquer ações subsequentes tomadas; </w:t>
      </w:r>
    </w:p>
    <w:p w14:paraId="0AC589E0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  <w:t> b) dos resultados de qualquer ação corretiva.</w:t>
      </w:r>
    </w:p>
    <w:p w14:paraId="21006DCA">
      <w:pPr>
        <w:keepNext w:val="0"/>
        <w:keepLines w:val="0"/>
        <w:widowControl/>
        <w:suppressLineNumbers w:val="0"/>
        <w:ind w:left="708" w:leftChars="0"/>
        <w:jc w:val="left"/>
        <w:rPr>
          <w:rFonts w:hint="default" w:ascii="Arial" w:hAnsi="Arial" w:eastAsia="SimSun" w:cs="Arial"/>
          <w:color w:val="231F20"/>
          <w:kern w:val="0"/>
          <w:sz w:val="22"/>
          <w:szCs w:val="22"/>
          <w:lang w:val="en-US" w:eastAsia="zh-CN" w:bidi="ar"/>
        </w:rPr>
      </w:pPr>
    </w:p>
    <w:p w14:paraId="17F5BCAA">
      <w:pPr>
        <w:pStyle w:val="2"/>
        <w:keepNext w:val="0"/>
        <w:keepLines w:val="0"/>
        <w:widowControl/>
        <w:suppressLineNumbers w:val="0"/>
        <w:rPr>
          <w:rStyle w:val="5"/>
          <w:rFonts w:hint="default" w:ascii="Arial" w:hAnsi="Arial" w:cs="Arial"/>
          <w:b/>
          <w:bCs/>
        </w:rPr>
      </w:pPr>
    </w:p>
    <w:p w14:paraId="6A7882A0">
      <w:pPr>
        <w:pStyle w:val="2"/>
        <w:keepNext w:val="0"/>
        <w:keepLines w:val="0"/>
        <w:widowControl/>
        <w:suppressLineNumbers w:val="0"/>
        <w:rPr>
          <w:rStyle w:val="5"/>
          <w:rFonts w:hint="default" w:ascii="Arial" w:hAnsi="Arial" w:cs="Arial"/>
          <w:b/>
          <w:bCs/>
        </w:rPr>
      </w:pPr>
    </w:p>
    <w:p w14:paraId="5CE952B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Evidências que o setor de compras pode apresentar em auditorias ISO 9001</w:t>
      </w:r>
    </w:p>
    <w:p w14:paraId="037FFEF2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Lista de fornecedores homologados.</w:t>
      </w:r>
    </w:p>
    <w:p w14:paraId="1D17C670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Critérios de avaliação e reavaliação de fornecedores.</w:t>
      </w:r>
    </w:p>
    <w:p w14:paraId="184AF07E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Registro de avaliação de desempenho de fornecedores.</w:t>
      </w:r>
    </w:p>
    <w:p w14:paraId="04F14FE5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Contratos com cláusulas de qualidade.</w:t>
      </w:r>
    </w:p>
    <w:p w14:paraId="64A0E58F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Registros de inspeções de recebimento.</w:t>
      </w:r>
    </w:p>
    <w:p w14:paraId="061FEED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Relatórios de não conformidade com fornecedores.</w:t>
      </w:r>
    </w:p>
    <w:p w14:paraId="07616FF4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Planos de ação corretiva relacionados a falhas de fornecimento.</w:t>
      </w:r>
    </w:p>
    <w:p w14:paraId="6E99DF33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Registros de comunicação com fornecedores (e-mails, atas, ordens de compra).</w:t>
      </w:r>
      <w:bookmarkStart w:id="0" w:name="_GoBack"/>
      <w:bookmarkEnd w:id="0"/>
    </w:p>
    <w:p w14:paraId="144AF87B">
      <w:pPr>
        <w:ind w:left="708" w:leftChars="0"/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9C6B4"/>
    <w:multiLevelType w:val="singleLevel"/>
    <w:tmpl w:val="D7B9C6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11847"/>
    <w:rsid w:val="4A91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2025-06-20T17:52:00Z</dcterms:created>
  <dc:creator>Thiago Botinelly</dc:creator>
  <cp:lastModifiedBy>Thiago Botinelly</cp:lastModifiedBy>
  <dcterms:modified xsi:type="dcterms:W3CDTF">2025-06-20T20:07:54Z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D10EAB02DC584F878FDB8563E362B741_11</vt:lpwstr>
  </property>
</Properties>
</file>