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00A3B5"/>
          <w:sz w:val="56"/>
          <w:szCs w:val="56"/>
        </w:rPr>
        <w:t xml:space="preserve">REVV52</w:t>
      </w:r>
    </w:p>
    <w:p>
      <w:pPr>
        <w:spacing w:after="100"/>
        <w:jc w:val="center"/>
      </w:pPr>
      <w:r>
        <w:rPr>
          <w:rFonts w:ascii="Arial" w:cs="Arial" w:eastAsia="Arial" w:hAnsi="Arial"/>
          <w:b/>
          <w:bCs/>
          <w:color w:val="333333"/>
          <w:sz w:val="48"/>
          <w:szCs w:val="48"/>
        </w:rPr>
        <w:t xml:space="preserve">Classical Collision</w:t>
      </w:r>
    </w:p>
    <w:p>
      <w:pPr>
        <w:spacing w:after="60"/>
        <w:jc w:val="center"/>
      </w:pPr>
      <w:r>
        <w:rPr>
          <w:rFonts w:ascii="Arial" w:cs="Arial" w:eastAsia="Arial" w:hAnsi="Arial"/>
          <w:color w:val="666666"/>
          <w:sz w:val="36"/>
          <w:szCs w:val="36"/>
        </w:rPr>
        <w:t xml:space="preserve">Campaign Plan</w:t>
      </w:r>
    </w:p>
    <w:p>
      <w:pPr>
        <w:spacing w:after="60"/>
      </w:pPr>
    </w:p>
    <w:p>
      <w:pPr>
        <w:pBdr>
          <w:top w:val="single" w:color="00A3B5" w:sz="2" w:space="8"/>
        </w:pBdr>
        <w:spacing w:after="200" w:before="200"/>
        <w:jc w:val="center"/>
      </w:pPr>
    </w:p>
    <w:p>
      <w:pPr>
        <w:spacing w:after="60"/>
      </w:pPr>
    </w:p>
    <w:p>
      <w:pPr>
        <w:spacing w:after="80"/>
        <w:jc w:val="center"/>
      </w:pPr>
      <w:r>
        <w:rPr>
          <w:rFonts w:ascii="Arial" w:cs="Arial" w:eastAsia="Arial" w:hAnsi="Arial"/>
          <w:i/>
          <w:iCs/>
          <w:color w:val="00A3B5"/>
          <w:sz w:val="28"/>
          <w:szCs w:val="28"/>
        </w:rPr>
        <w:t xml:space="preserve">Classical Rock — Rock Classics</w:t>
      </w:r>
    </w:p>
    <w:p>
      <w:pPr>
        <w:spacing w:after="60"/>
      </w:pPr>
    </w:p>
    <w:p>
      <w:pPr>
        <w:spacing w:after="80"/>
        <w:jc w:val="center"/>
      </w:pPr>
      <w:r>
        <w:rPr>
          <w:rFonts w:ascii="Arial" w:cs="Arial" w:eastAsia="Arial" w:hAnsi="Arial"/>
          <w:color w:val="333333"/>
          <w:sz w:val="24"/>
          <w:szCs w:val="24"/>
        </w:rPr>
        <w:t xml:space="preserve">May 7 &amp; 8, 2026</w:t>
      </w:r>
    </w:p>
    <w:p>
      <w:pPr>
        <w:spacing w:after="80"/>
        <w:jc w:val="center"/>
      </w:pPr>
      <w:r>
        <w:rPr>
          <w:rFonts w:ascii="Arial" w:cs="Arial" w:eastAsia="Arial" w:hAnsi="Arial"/>
          <w:color w:val="333333"/>
          <w:sz w:val="24"/>
          <w:szCs w:val="24"/>
        </w:rPr>
        <w:t xml:space="preserve">Mount Royal University — Bella Concert Hall</w:t>
      </w: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color w:val="666666"/>
          <w:sz w:val="20"/>
          <w:szCs w:val="20"/>
        </w:rPr>
        <w:t xml:space="preserve">Campaign Window: March 2 – May 8, 2026</w:t>
      </w:r>
    </w:p>
    <w:p>
      <w:pPr>
        <w:spacing w:after="60"/>
        <w:jc w:val="center"/>
      </w:pPr>
      <w:r>
        <w:rPr>
          <w:rFonts w:ascii="Arial" w:cs="Arial" w:eastAsia="Arial" w:hAnsi="Arial"/>
          <w:color w:val="666666"/>
          <w:sz w:val="20"/>
          <w:szCs w:val="20"/>
        </w:rPr>
        <w:t xml:space="preserve">Channels: Meta (Facebook + Instagram), Mailchimp</w:t>
      </w:r>
    </w:p>
    <w:p>
      <w:pPr>
        <w:spacing w:after="60"/>
        <w:jc w:val="center"/>
      </w:pPr>
      <w:r>
        <w:rPr>
          <w:rFonts w:ascii="Arial" w:cs="Arial" w:eastAsia="Arial" w:hAnsi="Arial"/>
          <w:color w:val="666666"/>
          <w:sz w:val="20"/>
          <w:szCs w:val="20"/>
        </w:rPr>
        <w:t xml:space="preserve">Budget: Organic only</w:t>
      </w:r>
    </w:p>
    <w:p>
      <w:pPr>
        <w:sectPr>
          <w:pgSz w:w="12240" w:h="15840" w:orient="portrait"/>
          <w:pgMar w:top="1440" w:right="1440" w:bottom="1440" w:left="1440" w:header="708" w:footer="708" w:gutter="0"/>
          <w:pgNumType/>
          <w:docGrid w:linePitch="360"/>
        </w:sectPr>
      </w:pPr>
    </w:p>
    <w:p>
      <w:pPr>
        <w:pStyle w:val="Heading1"/>
      </w:pPr>
      <w:r>
        <w:t xml:space="preserve">1. Campaign Overview</w:t>
      </w:r>
    </w:p>
    <w:p>
      <w:pPr>
        <w:spacing w:after="120"/>
      </w:pPr>
      <w:r>
        <w:rPr>
          <w:rFonts w:ascii="Arial" w:cs="Arial" w:eastAsia="Arial" w:hAnsi="Arial"/>
          <w:sz w:val="20"/>
          <w:szCs w:val="20"/>
        </w:rPr>
        <w:t xml:space="preserve">Revv52’s Classical Collision fuses classical masterworks with rock legends — and the marketing should feel just as unexpected. The core campaign mechanic is a weekly “This Day in Music History” content series that spotlights historical moments tied to artists on the setlist, building curiosity week by week until audiences realize the full picture on show night.</w:t>
      </w:r>
    </w:p>
    <w:p>
      <w:pPr>
        <w:spacing w:after="120"/>
      </w:pPr>
      <w:r>
        <w:rPr>
          <w:rFonts w:ascii="Arial" w:cs="Arial" w:eastAsia="Arial" w:hAnsi="Arial"/>
          <w:b/>
          <w:bCs/>
          <w:sz w:val="20"/>
          <w:szCs w:val="20"/>
        </w:rPr>
        <w:t xml:space="preserve">Primary Objective: </w:t>
      </w:r>
      <w:r>
        <w:rPr>
          <w:rFonts w:ascii="Arial" w:cs="Arial" w:eastAsia="Arial" w:hAnsi="Arial"/>
          <w:sz w:val="20"/>
          <w:szCs w:val="20"/>
        </w:rPr>
        <w:t xml:space="preserve">Sell 90%+ of seats for both May 7 &amp; 8 performances.</w:t>
      </w:r>
    </w:p>
    <w:p>
      <w:pPr>
        <w:spacing w:after="120"/>
      </w:pPr>
      <w:r>
        <w:rPr>
          <w:rFonts w:ascii="Arial" w:cs="Arial" w:eastAsia="Arial" w:hAnsi="Arial"/>
          <w:b/>
          <w:bCs/>
          <w:sz w:val="20"/>
          <w:szCs w:val="20"/>
        </w:rPr>
        <w:t xml:space="preserve">Secondary Objectives:</w:t>
      </w:r>
    </w:p>
    <w:p>
      <w:pPr>
        <w:pStyle w:val="ListParagraph"/>
        <w:numPr>
          <w:ilvl w:val="0"/>
          <w:numId w:val="2"/>
        </w:numPr>
        <w:spacing w:after="80"/>
      </w:pPr>
      <w:r>
        <w:rPr>
          <w:rFonts w:ascii="Arial" w:cs="Arial" w:eastAsia="Arial" w:hAnsi="Arial"/>
          <w:sz w:val="20"/>
          <w:szCs w:val="20"/>
        </w:rPr>
        <w:t xml:space="preserve">Grow the Mailchimp fan list by 15% during the campaign window.</w:t>
      </w:r>
    </w:p>
    <w:p>
      <w:pPr>
        <w:pStyle w:val="ListParagraph"/>
        <w:numPr>
          <w:ilvl w:val="0"/>
          <w:numId w:val="2"/>
        </w:numPr>
        <w:spacing w:after="80"/>
      </w:pPr>
      <w:r>
        <w:rPr>
          <w:rFonts w:ascii="Arial" w:cs="Arial" w:eastAsia="Arial" w:hAnsi="Arial"/>
          <w:sz w:val="20"/>
          <w:szCs w:val="20"/>
        </w:rPr>
        <w:t xml:space="preserve">Increase Instagram engagement rate (likes + comments + shares ÷ followers) by 25% over the previous campaign.</w:t>
      </w:r>
    </w:p>
    <w:p>
      <w:pPr>
        <w:pStyle w:val="ListParagraph"/>
        <w:numPr>
          <w:ilvl w:val="0"/>
          <w:numId w:val="2"/>
        </w:numPr>
        <w:spacing w:after="80"/>
      </w:pPr>
      <w:r>
        <w:rPr>
          <w:rFonts w:ascii="Arial" w:cs="Arial" w:eastAsia="Arial" w:hAnsi="Arial"/>
          <w:sz w:val="20"/>
          <w:szCs w:val="20"/>
        </w:rPr>
        <w:t xml:space="preserve">Generate at least 3 pieces of member-created or user-generated content to amplify organic reach.</w:t>
      </w:r>
    </w:p>
    <w:p>
      <w:r>
        <w:br w:type="page"/>
      </w:r>
    </w:p>
    <w:p>
      <w:pPr>
        <w:pStyle w:val="Heading1"/>
      </w:pPr>
      <w:r>
        <w:t xml:space="preserve">2. Target Audience</w:t>
      </w:r>
    </w:p>
    <w:p>
      <w:pPr>
        <w:spacing w:after="120"/>
      </w:pPr>
      <w:r>
        <w:rPr>
          <w:rFonts w:ascii="Arial" w:cs="Arial" w:eastAsia="Arial" w:hAnsi="Arial"/>
          <w:i/>
          <w:iCs/>
          <w:color w:val="666666"/>
          <w:sz w:val="20"/>
          <w:szCs w:val="20"/>
        </w:rPr>
        <w:t xml:space="preserve">Based on Revv52’s needs-based audience segmentation (Finley &amp; Associates, 2025 Audience Engagement Survey, n=430). See the Revv52 Strategic Plan 2026–2028, Table 5 for the full segmentation model.</w:t>
      </w:r>
    </w:p>
    <w:p>
      <w:pPr>
        <w:pStyle w:val="Heading2"/>
      </w:pPr>
      <w:r>
        <w:t xml:space="preserve">Audience Profile at a Glance</w:t>
      </w:r>
    </w:p>
    <w:p>
      <w:pPr>
        <w:spacing w:after="120"/>
      </w:pPr>
      <w:r>
        <w:rPr>
          <w:rFonts w:ascii="Arial" w:cs="Arial" w:eastAsia="Arial" w:hAnsi="Arial"/>
          <w:sz w:val="20"/>
          <w:szCs w:val="20"/>
        </w:rPr>
        <w:t xml:space="preserve">Revv52’s current audience is primarily female, over 65, and white/Caucasian. 86% live in Calgary, 76% are in a relationship, and 30% have at least one dependent. Their top entertainment spending (outside the home) goes to dining out, music concerts, live theatre/travelling shows, and physical activities. A critical behavioural insight: women drive attendance decisions, and there is typically a 48-hour window between the decision to attend and the actual ticket purchase — which means well-timed final-push communications matter enormously.</w:t>
      </w:r>
    </w:p>
    <w:p>
      <w:pPr>
        <w:pStyle w:val="Heading2"/>
      </w:pPr>
      <w:r>
        <w:t xml:space="preserve">Priority Segments for Classical Collision</w:t>
      </w:r>
    </w:p>
    <w:p>
      <w:pPr>
        <w:pStyle w:val="Heading3"/>
      </w:pPr>
      <w:r>
        <w:t xml:space="preserve">1. Art-Goers (37% of audience) — Strategy: GROW</w:t>
      </w:r>
    </w:p>
    <w:p>
      <w:pPr>
        <w:spacing w:after="120"/>
      </w:pPr>
      <w:r>
        <w:rPr>
          <w:rFonts w:ascii="Arial" w:cs="Arial" w:eastAsia="Arial" w:hAnsi="Arial"/>
          <w:sz w:val="20"/>
          <w:szCs w:val="20"/>
        </w:rPr>
        <w:t xml:space="preserve">The largest segment. Mostly women with average income who attend a wide range of arts events (dance, music, theatre, visual art) for enrichment and escape. They value flexible show times and diverse experiences over venue proximity or formality. Critically, they are the least connected to Revv52 — meaning they’re active arts consumers who simply haven’t found us yet or haven’t committed. 89% are open to both new-age and traditional shows, which makes Classical Collision’s genre-mashup concept a natural fit.</w:t>
      </w:r>
    </w:p>
    <w:p>
      <w:pPr>
        <w:spacing w:after="120"/>
      </w:pPr>
      <w:r>
        <w:rPr>
          <w:rFonts w:ascii="Arial" w:cs="Arial" w:eastAsia="Arial" w:hAnsi="Arial"/>
          <w:b/>
          <w:bCs/>
          <w:i/>
          <w:iCs/>
          <w:sz w:val="20"/>
          <w:szCs w:val="20"/>
        </w:rPr>
        <w:t xml:space="preserve">Campaign implication: </w:t>
      </w:r>
      <w:r>
        <w:rPr>
          <w:rFonts w:ascii="Arial" w:cs="Arial" w:eastAsia="Arial" w:hAnsi="Arial"/>
          <w:sz w:val="20"/>
          <w:szCs w:val="20"/>
        </w:rPr>
        <w:t xml:space="preserve">This is the segment to reach with the “This Day in Music History” series on Facebook. The content positions Revv52 as culturally interesting (not just another choir) and gives Art-Goers a reason to pay attention. The classical-meets-rock concept is exactly the kind of diverse, unexpected experience they seek. They need to discover Revv52, see something that piques their curiosity, and have an easy path to tickets. Member sharing is essential — Art-Goers are least connected, so personal recommendations from Revv52 members into their social networks is a primary discovery channel.</w:t>
      </w:r>
    </w:p>
    <w:p>
      <w:pPr>
        <w:pStyle w:val="Heading3"/>
      </w:pPr>
      <w:r>
        <w:t xml:space="preserve">2. Casuals (19% of audience) — Strategy: CONVERT</w:t>
      </w:r>
    </w:p>
    <w:p>
      <w:pPr>
        <w:spacing w:after="120"/>
      </w:pPr>
      <w:r>
        <w:rPr>
          <w:rFonts w:ascii="Arial" w:cs="Arial" w:eastAsia="Arial" w:hAnsi="Arial"/>
          <w:sz w:val="20"/>
          <w:szCs w:val="20"/>
        </w:rPr>
        <w:t xml:space="preserve">The highest-income and youngest segment. They attend if an interesting show comes up that fits their schedule — they aren’t seeking out arts events proactively. They have the fewest plans for future shows, making them the hardest to reach but the most valuable to convert (high disposable income, potential for becoming repeat attendees). Less likely to be musicians themselves.</w:t>
      </w:r>
    </w:p>
    <w:p>
      <w:pPr>
        <w:spacing w:after="120"/>
      </w:pPr>
      <w:r>
        <w:rPr>
          <w:rFonts w:ascii="Arial" w:cs="Arial" w:eastAsia="Arial" w:hAnsi="Arial"/>
          <w:b/>
          <w:bCs/>
          <w:i/>
          <w:iCs/>
          <w:sz w:val="20"/>
          <w:szCs w:val="20"/>
        </w:rPr>
        <w:t xml:space="preserve">Campaign implication: </w:t>
      </w:r>
      <w:r>
        <w:rPr>
          <w:rFonts w:ascii="Arial" w:cs="Arial" w:eastAsia="Arial" w:hAnsi="Arial"/>
          <w:sz w:val="20"/>
          <w:szCs w:val="20"/>
        </w:rPr>
        <w:t xml:space="preserve">Instagram Reels and the trivia/history hook are designed for this segment. Casuals won’t seek out a choir concert, but a Reel about Led Zeppelin or Fleetwood Mac history that happens to mention a live show might catch them mid-scroll. Two show nights (May 7 &amp; 8) gives scheduling flexibility, which matters to this segment. The 48-hour decision window means the final-week Instagram countdown and urgency posts are critical for Casual conversion.</w:t>
      </w:r>
    </w:p>
    <w:p>
      <w:pPr>
        <w:pStyle w:val="Heading3"/>
      </w:pPr>
      <w:r>
        <w:t xml:space="preserve">3. Energetics (14% of audience) — Strategy: CORE (retain &amp; activate)</w:t>
      </w:r>
    </w:p>
    <w:p>
      <w:pPr>
        <w:spacing w:after="120"/>
      </w:pPr>
      <w:r>
        <w:rPr>
          <w:rFonts w:ascii="Arial" w:cs="Arial" w:eastAsia="Arial" w:hAnsi="Arial"/>
          <w:sz w:val="20"/>
          <w:szCs w:val="20"/>
        </w:rPr>
        <w:t xml:space="preserve">Highly connected to Revv52 already — these are the fans who need shows to be entertaining, funny, energetic, and interactive. Average age and income, less likely to be musicians. They attend because Revv52 delivers an experience, not just a performance.</w:t>
      </w:r>
    </w:p>
    <w:p>
      <w:pPr>
        <w:spacing w:after="120"/>
      </w:pPr>
      <w:r>
        <w:rPr>
          <w:rFonts w:ascii="Arial" w:cs="Arial" w:eastAsia="Arial" w:hAnsi="Arial"/>
          <w:b/>
          <w:bCs/>
          <w:i/>
          <w:iCs/>
          <w:sz w:val="20"/>
          <w:szCs w:val="20"/>
        </w:rPr>
        <w:t xml:space="preserve">Campaign implication: </w:t>
      </w:r>
      <w:r>
        <w:rPr>
          <w:rFonts w:ascii="Arial" w:cs="Arial" w:eastAsia="Arial" w:hAnsi="Arial"/>
          <w:sz w:val="20"/>
          <w:szCs w:val="20"/>
        </w:rPr>
        <w:t xml:space="preserve">Energetics don’t need to be convinced — they need to be informed and activated. Mailchimp is the primary channel. They’re also the most likely to share content, so creating shareable moments (dramatic O Fortuna teases, the Handel/Delibes April 14 coincidence) gives them ammunition to recruit their friends (pulling Art-Goers and Casuals into the funnel).</w:t>
      </w:r>
    </w:p>
    <w:p>
      <w:pPr>
        <w:pStyle w:val="Heading3"/>
      </w:pPr>
      <w:r>
        <w:t xml:space="preserve">4. Connection-Seekers (14% of audience) — Strategy: DEEPEN</w:t>
      </w:r>
    </w:p>
    <w:p>
      <w:pPr>
        <w:spacing w:after="120"/>
      </w:pPr>
      <w:r>
        <w:rPr>
          <w:rFonts w:ascii="Arial" w:cs="Arial" w:eastAsia="Arial" w:hAnsi="Arial"/>
          <w:sz w:val="20"/>
          <w:szCs w:val="20"/>
        </w:rPr>
        <w:t xml:space="preserve">They seek entertainment that aligns with their soul and speaks to them in ways other entertainment doesn’t. Most likely to be musicians themselves. Average connection to Revv52 and average future show plans.</w:t>
      </w:r>
    </w:p>
    <w:p>
      <w:pPr>
        <w:spacing w:after="120"/>
      </w:pPr>
      <w:r>
        <w:rPr>
          <w:rFonts w:ascii="Arial" w:cs="Arial" w:eastAsia="Arial" w:hAnsi="Arial"/>
          <w:b/>
          <w:bCs/>
          <w:i/>
          <w:iCs/>
          <w:sz w:val="20"/>
          <w:szCs w:val="20"/>
        </w:rPr>
        <w:t xml:space="preserve">Campaign implication: </w:t>
      </w:r>
      <w:r>
        <w:rPr>
          <w:rFonts w:ascii="Arial" w:cs="Arial" w:eastAsia="Arial" w:hAnsi="Arial"/>
          <w:sz w:val="20"/>
          <w:szCs w:val="20"/>
        </w:rPr>
        <w:t xml:space="preserve">The depth of the “This Day in Music History” storytelling — not just trivia, but the why behind each piece — resonates with Connection-Seekers. The Jade Elephant partnership and the classical-to-rock narrative arc of the show speak to their desire for authentic artistic experiences. Longer-form Facebook captions and the Mailchimp emails (which can carry more story) are the right channels.</w:t>
      </w:r>
    </w:p>
    <w:p>
      <w:pPr>
        <w:pStyle w:val="Heading3"/>
      </w:pPr>
      <w:r>
        <w:t xml:space="preserve">5. Community-Engagers (9%), Values-Prioritizers (4%), For-Mes (3%)</w:t>
      </w:r>
    </w:p>
    <w:p>
      <w:pPr>
        <w:spacing w:after="120"/>
      </w:pPr>
      <w:r>
        <w:rPr>
          <w:rFonts w:ascii="Arial" w:cs="Arial" w:eastAsia="Arial" w:hAnsi="Arial"/>
          <w:sz w:val="20"/>
          <w:szCs w:val="20"/>
        </w:rPr>
        <w:t xml:space="preserve">Smaller segments that will be reached through the broader campaign but don’t require segment-specific tactics for this show. Community-Engagers (youngest, most connected, most future shows planned) are natural amplifiers — encourage them to share. Values-Prioritizers and For-Mes (oldest, most connected) are reached through Mailchimp and Facebook.</w:t>
      </w:r>
    </w:p>
    <w:p>
      <w:pPr>
        <w:pStyle w:val="Heading2"/>
      </w:pPr>
      <w:r>
        <w:t xml:space="preserve">Key Barriers</w:t>
      </w:r>
    </w:p>
    <w:p>
      <w:pPr>
        <w:pStyle w:val="ListParagraph"/>
        <w:numPr>
          <w:ilvl w:val="0"/>
          <w:numId w:val="2"/>
        </w:numPr>
        <w:spacing w:after="80"/>
      </w:pPr>
      <w:r>
        <w:rPr>
          <w:rFonts w:ascii="Arial" w:cs="Arial" w:eastAsia="Arial" w:hAnsi="Arial"/>
          <w:b/>
          <w:bCs/>
          <w:sz w:val="20"/>
          <w:szCs w:val="20"/>
        </w:rPr>
        <w:t xml:space="preserve">Low brand awareness. </w:t>
      </w:r>
      <w:r>
        <w:rPr>
          <w:rFonts w:ascii="Arial" w:cs="Arial" w:eastAsia="Arial" w:hAnsi="Arial"/>
          <w:sz w:val="20"/>
          <w:szCs w:val="20"/>
        </w:rPr>
        <w:t xml:space="preserve">Only 49% of survey respondents are connected to Revv52 in some way; 45% are not connected at all. The biggest single barrier is that people don’t know Revv52 exists.</w:t>
      </w:r>
    </w:p>
    <w:p>
      <w:pPr>
        <w:pStyle w:val="ListParagraph"/>
        <w:numPr>
          <w:ilvl w:val="0"/>
          <w:numId w:val="2"/>
        </w:numPr>
        <w:spacing w:after="80"/>
      </w:pPr>
      <w:r>
        <w:rPr>
          <w:rFonts w:ascii="Arial" w:cs="Arial" w:eastAsia="Arial" w:hAnsi="Arial"/>
          <w:b/>
          <w:bCs/>
          <w:sz w:val="20"/>
          <w:szCs w:val="20"/>
        </w:rPr>
        <w:t xml:space="preserve">Perception gap. </w:t>
      </w:r>
      <w:r>
        <w:rPr>
          <w:rFonts w:ascii="Arial" w:cs="Arial" w:eastAsia="Arial" w:hAnsi="Arial"/>
          <w:sz w:val="20"/>
          <w:szCs w:val="20"/>
        </w:rPr>
        <w:t xml:space="preserve">The word “choir” carries baggage. Classical Collision’s concept (rock band + classical + Jade Elephant) directly counters this, but only if the marketing leads with the experience rather than the format.</w:t>
      </w:r>
    </w:p>
    <w:p>
      <w:pPr>
        <w:pStyle w:val="ListParagraph"/>
        <w:numPr>
          <w:ilvl w:val="0"/>
          <w:numId w:val="2"/>
        </w:numPr>
        <w:spacing w:after="80"/>
      </w:pPr>
      <w:r>
        <w:rPr>
          <w:rFonts w:ascii="Arial" w:cs="Arial" w:eastAsia="Arial" w:hAnsi="Arial"/>
          <w:b/>
          <w:bCs/>
          <w:sz w:val="20"/>
          <w:szCs w:val="20"/>
        </w:rPr>
        <w:t xml:space="preserve">Social media engagement is low-importance to the audience. </w:t>
      </w:r>
      <w:r>
        <w:rPr>
          <w:rFonts w:ascii="Arial" w:cs="Arial" w:eastAsia="Arial" w:hAnsi="Arial"/>
          <w:sz w:val="20"/>
          <w:szCs w:val="20"/>
        </w:rPr>
        <w:t xml:space="preserve">Respondents rated social media engagement (28%) as the least important aspect of Revv52’s offering. This doesn’t mean social media is useless — it means we should use it as a discovery and awareness tool (reaching Art-Goers and Casuals), not as an engagement-for-engagement’s-sake play. Email and word-of-mouth convert; social media introduces.</w:t>
      </w:r>
    </w:p>
    <w:p>
      <w:r>
        <w:br w:type="page"/>
      </w:r>
    </w:p>
    <w:p>
      <w:pPr>
        <w:pStyle w:val="Heading1"/>
      </w:pPr>
      <w:r>
        <w:t xml:space="preserve">3. Key Messages</w:t>
      </w:r>
    </w:p>
    <w:p>
      <w:pPr>
        <w:spacing w:after="120"/>
      </w:pPr>
      <w:r>
        <w:rPr>
          <w:rFonts w:ascii="Arial" w:cs="Arial" w:eastAsia="Arial" w:hAnsi="Arial"/>
          <w:b/>
          <w:bCs/>
          <w:sz w:val="20"/>
          <w:szCs w:val="20"/>
        </w:rPr>
        <w:t xml:space="preserve">Core Message: </w:t>
      </w:r>
      <w:r>
        <w:rPr>
          <w:rFonts w:ascii="Arial" w:cs="Arial" w:eastAsia="Arial" w:hAnsi="Arial"/>
          <w:i/>
          <w:iCs/>
          <w:sz w:val="20"/>
          <w:szCs w:val="20"/>
        </w:rPr>
        <w:t xml:space="preserve">What happens when Mozart meets the Stones? Classical Collision — where the world’s greatest music crashes together on one stage.</w:t>
      </w:r>
    </w:p>
    <w:p>
      <w:pPr>
        <w:spacing w:after="60"/>
      </w:pPr>
    </w:p>
    <w:p>
      <w:pPr>
        <w:spacing w:after="120"/>
      </w:pPr>
      <w:r>
        <w:rPr>
          <w:rFonts w:ascii="Arial" w:cs="Arial" w:eastAsia="Arial" w:hAnsi="Arial"/>
          <w:b/>
          <w:bCs/>
          <w:sz w:val="20"/>
          <w:szCs w:val="20"/>
        </w:rPr>
        <w:t xml:space="preserve">Supporting Messages (mapped to segments):</w:t>
      </w:r>
    </w:p>
    <w:p>
      <w:pPr>
        <w:spacing w:after="60"/>
      </w:pPr>
    </w:p>
    <w:p>
      <w:pPr>
        <w:pStyle w:val="ListParagraph"/>
        <w:numPr>
          <w:ilvl w:val="0"/>
          <w:numId w:val="3"/>
        </w:numPr>
        <w:spacing w:after="80"/>
      </w:pPr>
      <w:r>
        <w:rPr>
          <w:rFonts w:ascii="Arial" w:cs="Arial" w:eastAsia="Arial" w:hAnsi="Arial"/>
          <w:b/>
          <w:bCs/>
          <w:sz w:val="20"/>
          <w:szCs w:val="20"/>
        </w:rPr>
        <w:t xml:space="preserve">The Unexpected Mashup — </w:t>
      </w:r>
      <w:r>
        <w:rPr>
          <w:rFonts w:ascii="Arial" w:cs="Arial" w:eastAsia="Arial" w:hAnsi="Arial"/>
          <w:sz w:val="20"/>
          <w:szCs w:val="20"/>
        </w:rPr>
        <w:t xml:space="preserve">“You’ve never heard a choir like this. Rock band meets Requiem. Hallelujah Chorus meets funk. This isn’t your grandma’s concert.”</w:t>
      </w:r>
    </w:p>
    <w:p>
      <w:pPr>
        <w:spacing w:after="120"/>
      </w:pPr>
      <w:r>
        <w:rPr>
          <w:rFonts w:ascii="Arial" w:cs="Arial" w:eastAsia="Arial" w:hAnsi="Arial"/>
          <w:i/>
          <w:iCs/>
          <w:color w:val="666666"/>
          <w:sz w:val="20"/>
          <w:szCs w:val="20"/>
        </w:rPr>
        <w:t xml:space="preserve">Primary target: Art-Goers and Casuals. Breaks the “choir = boring” perception barrier. Leads with the experience, not the format — which the audience research confirms is what drives attendance decisions.</w:t>
      </w:r>
    </w:p>
    <w:p>
      <w:pPr>
        <w:pStyle w:val="ListParagraph"/>
        <w:numPr>
          <w:ilvl w:val="0"/>
          <w:numId w:val="3"/>
        </w:numPr>
        <w:spacing w:after="80"/>
      </w:pPr>
      <w:r>
        <w:rPr>
          <w:rFonts w:ascii="Arial" w:cs="Arial" w:eastAsia="Arial" w:hAnsi="Arial"/>
          <w:b/>
          <w:bCs/>
          <w:sz w:val="20"/>
          <w:szCs w:val="20"/>
        </w:rPr>
        <w:t xml:space="preserve">The Music History Hook — </w:t>
      </w:r>
      <w:r>
        <w:rPr>
          <w:rFonts w:ascii="Arial" w:cs="Arial" w:eastAsia="Arial" w:hAnsi="Arial"/>
          <w:sz w:val="20"/>
          <w:szCs w:val="20"/>
        </w:rPr>
        <w:t xml:space="preserve">“Every great song has a story. We’re counting down to Classical Collision by reliving the moments that made these songs legendary.”</w:t>
      </w:r>
    </w:p>
    <w:p>
      <w:pPr>
        <w:spacing w:after="120"/>
      </w:pPr>
      <w:r>
        <w:rPr>
          <w:rFonts w:ascii="Arial" w:cs="Arial" w:eastAsia="Arial" w:hAnsi="Arial"/>
          <w:i/>
          <w:iCs/>
          <w:color w:val="666666"/>
          <w:sz w:val="20"/>
          <w:szCs w:val="20"/>
        </w:rPr>
        <w:t xml:space="preserve">Primary target: Casuals and Connection-Seekers. This is the “discovery” message — it doesn’t sell the show directly but builds curiosity through content that has standalone value.</w:t>
      </w:r>
    </w:p>
    <w:p>
      <w:pPr>
        <w:pStyle w:val="ListParagraph"/>
        <w:numPr>
          <w:ilvl w:val="0"/>
          <w:numId w:val="3"/>
        </w:numPr>
        <w:spacing w:after="80"/>
      </w:pPr>
      <w:r>
        <w:rPr>
          <w:rFonts w:ascii="Arial" w:cs="Arial" w:eastAsia="Arial" w:hAnsi="Arial"/>
          <w:b/>
          <w:bCs/>
          <w:sz w:val="20"/>
          <w:szCs w:val="20"/>
        </w:rPr>
        <w:t xml:space="preserve">The Live Experience — </w:t>
      </w:r>
      <w:r>
        <w:rPr>
          <w:rFonts w:ascii="Arial" w:cs="Arial" w:eastAsia="Arial" w:hAnsi="Arial"/>
          <w:sz w:val="20"/>
          <w:szCs w:val="20"/>
        </w:rPr>
        <w:t xml:space="preserve">“52 voices. Individual mics. A full rock band. Jade Elephant. Two nights only at the Bella Concert Hall.”</w:t>
      </w:r>
    </w:p>
    <w:p>
      <w:pPr>
        <w:spacing w:after="120"/>
      </w:pPr>
      <w:r>
        <w:rPr>
          <w:rFonts w:ascii="Arial" w:cs="Arial" w:eastAsia="Arial" w:hAnsi="Arial"/>
          <w:i/>
          <w:iCs/>
          <w:color w:val="666666"/>
          <w:sz w:val="20"/>
          <w:szCs w:val="20"/>
        </w:rPr>
        <w:t xml:space="preserve">Primary target: Art-Goers and Energetics. The audience survey rated music selection (94%), staging/lighting (85%), and value for money (84%) as the top three most important aspects. This message hits all three.</w:t>
      </w:r>
    </w:p>
    <w:p>
      <w:pPr>
        <w:pStyle w:val="ListParagraph"/>
        <w:numPr>
          <w:ilvl w:val="0"/>
          <w:numId w:val="3"/>
        </w:numPr>
        <w:spacing w:after="80"/>
      </w:pPr>
      <w:r>
        <w:rPr>
          <w:rFonts w:ascii="Arial" w:cs="Arial" w:eastAsia="Arial" w:hAnsi="Arial"/>
          <w:b/>
          <w:bCs/>
          <w:sz w:val="20"/>
          <w:szCs w:val="20"/>
        </w:rPr>
        <w:t xml:space="preserve">The Community Invite — </w:t>
      </w:r>
      <w:r>
        <w:rPr>
          <w:rFonts w:ascii="Arial" w:cs="Arial" w:eastAsia="Arial" w:hAnsi="Arial"/>
          <w:sz w:val="20"/>
          <w:szCs w:val="20"/>
        </w:rPr>
        <w:t xml:space="preserve">“Bring someone who loves music. They’ll thank you after.”</w:t>
      </w:r>
    </w:p>
    <w:p>
      <w:pPr>
        <w:spacing w:after="120"/>
      </w:pPr>
      <w:r>
        <w:rPr>
          <w:rFonts w:ascii="Arial" w:cs="Arial" w:eastAsia="Arial" w:hAnsi="Arial"/>
          <w:i/>
          <w:iCs/>
          <w:color w:val="666666"/>
          <w:sz w:val="20"/>
          <w:szCs w:val="20"/>
        </w:rPr>
        <w:t xml:space="preserve">Primary target: Energetics (to activate sharing) and Community-Engagers. 76% of the audience is in a relationship; attending events is a social act. The 48-hour decision window means personal recommendations are the most powerful conversion tool in the final weeks.</w:t>
      </w:r>
    </w:p>
    <w:p>
      <w:r>
        <w:br w:type="page"/>
      </w:r>
    </w:p>
    <w:p>
      <w:pPr>
        <w:pStyle w:val="Heading1"/>
      </w:pPr>
      <w:r>
        <w:t xml:space="preserve">4. Channel Strategy</w:t>
      </w:r>
    </w:p>
    <w:p>
      <w:pPr>
        <w:pStyle w:val="Heading2"/>
      </w:pPr>
      <w:r>
        <w:t xml:space="preserve">Meta — Facebook</w:t>
      </w:r>
    </w:p>
    <w:p>
      <w:pPr>
        <w:spacing w:after="120"/>
      </w:pPr>
      <w:r>
        <w:rPr>
          <w:rFonts w:ascii="Arial" w:cs="Arial" w:eastAsia="Arial" w:hAnsi="Arial"/>
          <w:b/>
          <w:bCs/>
          <w:sz w:val="20"/>
          <w:szCs w:val="20"/>
        </w:rPr>
        <w:t xml:space="preserve">Primary segments served: </w:t>
      </w:r>
      <w:r>
        <w:rPr>
          <w:rFonts w:ascii="Arial" w:cs="Arial" w:eastAsia="Arial" w:hAnsi="Arial"/>
          <w:sz w:val="20"/>
          <w:szCs w:val="20"/>
        </w:rPr>
        <w:t xml:space="preserve">Art-Goers (discovery), Connection-Seekers (depth), Energetics (sharing)</w:t>
      </w:r>
    </w:p>
    <w:p>
      <w:pPr>
        <w:spacing w:after="120"/>
      </w:pPr>
      <w:r>
        <w:rPr>
          <w:rFonts w:ascii="Arial" w:cs="Arial" w:eastAsia="Arial" w:hAnsi="Arial"/>
          <w:sz w:val="20"/>
          <w:szCs w:val="20"/>
        </w:rPr>
        <w:t xml:space="preserve">Facebook is the primary discovery channel for Art-Goers (the largest segment at 37%) and the storytelling channel for Connection-Seekers. The audience skews female, 65+, Calgary-based — this is a Facebook-first demographic. Event pages drive organic reach through RSVPs and shares, and critically, every “Interested” click becomes visible to that person’s network — which is how Art-Goers (the least-connected segment) discover Revv52.</w:t>
      </w:r>
    </w:p>
    <w:p>
      <w:pPr>
        <w:spacing w:after="120"/>
      </w:pPr>
      <w:r>
        <w:rPr>
          <w:rFonts w:ascii="Arial" w:cs="Arial" w:eastAsia="Arial" w:hAnsi="Arial"/>
          <w:b/>
          <w:bCs/>
          <w:sz w:val="20"/>
          <w:szCs w:val="20"/>
        </w:rPr>
        <w:t xml:space="preserve">Content approach:</w:t>
      </w:r>
    </w:p>
    <w:p>
      <w:pPr>
        <w:pStyle w:val="ListParagraph"/>
        <w:numPr>
          <w:ilvl w:val="0"/>
          <w:numId w:val="2"/>
        </w:numPr>
        <w:spacing w:after="80"/>
      </w:pPr>
      <w:r>
        <w:rPr>
          <w:rFonts w:ascii="Arial" w:cs="Arial" w:eastAsia="Arial" w:hAnsi="Arial"/>
          <w:sz w:val="20"/>
          <w:szCs w:val="20"/>
        </w:rPr>
        <w:t xml:space="preserve">Facebook Event page (both nights) as the anchor — all content links back here.</w:t>
      </w:r>
    </w:p>
    <w:p>
      <w:pPr>
        <w:pStyle w:val="ListParagraph"/>
        <w:numPr>
          <w:ilvl w:val="0"/>
          <w:numId w:val="2"/>
        </w:numPr>
        <w:spacing w:after="80"/>
      </w:pPr>
      <w:r>
        <w:rPr>
          <w:rFonts w:ascii="Arial" w:cs="Arial" w:eastAsia="Arial" w:hAnsi="Arial"/>
          <w:sz w:val="20"/>
          <w:szCs w:val="20"/>
        </w:rPr>
        <w:t xml:space="preserve">Weekly “This Day in Music History” posts with longer captions that tell a story.</w:t>
      </w:r>
    </w:p>
    <w:p>
      <w:pPr>
        <w:pStyle w:val="ListParagraph"/>
        <w:numPr>
          <w:ilvl w:val="0"/>
          <w:numId w:val="2"/>
        </w:numPr>
        <w:spacing w:after="80"/>
      </w:pPr>
      <w:r>
        <w:rPr>
          <w:rFonts w:ascii="Arial" w:cs="Arial" w:eastAsia="Arial" w:hAnsi="Arial"/>
          <w:sz w:val="20"/>
          <w:szCs w:val="20"/>
        </w:rPr>
        <w:t xml:space="preserve">Show countdown posts in the final 2 weeks, timed to the 48-hour decision window.</w:t>
      </w:r>
    </w:p>
    <w:p>
      <w:pPr>
        <w:pStyle w:val="ListParagraph"/>
        <w:numPr>
          <w:ilvl w:val="0"/>
          <w:numId w:val="2"/>
        </w:numPr>
        <w:spacing w:after="80"/>
      </w:pPr>
      <w:r>
        <w:rPr>
          <w:rFonts w:ascii="Arial" w:cs="Arial" w:eastAsia="Arial" w:hAnsi="Arial"/>
          <w:sz w:val="20"/>
          <w:szCs w:val="20"/>
        </w:rPr>
        <w:t xml:space="preserve">Cross-posts with Jade Elephant and MRU pages where possible.</w:t>
      </w:r>
    </w:p>
    <w:p>
      <w:pPr>
        <w:pStyle w:val="ListParagraph"/>
        <w:numPr>
          <w:ilvl w:val="0"/>
          <w:numId w:val="2"/>
        </w:numPr>
        <w:spacing w:after="80"/>
      </w:pPr>
      <w:r>
        <w:rPr>
          <w:rFonts w:ascii="Arial" w:cs="Arial" w:eastAsia="Arial" w:hAnsi="Arial"/>
          <w:sz w:val="20"/>
          <w:szCs w:val="20"/>
        </w:rPr>
        <w:t xml:space="preserve">Actively encourage Energetics and Community-Engagers to share posts to their personal profiles.</w:t>
      </w:r>
    </w:p>
    <w:p>
      <w:pPr>
        <w:spacing w:after="120"/>
      </w:pPr>
      <w:r>
        <w:rPr>
          <w:rFonts w:ascii="Arial" w:cs="Arial" w:eastAsia="Arial" w:hAnsi="Arial"/>
          <w:b/>
          <w:bCs/>
          <w:sz w:val="20"/>
          <w:szCs w:val="20"/>
        </w:rPr>
        <w:t xml:space="preserve">Effort: </w:t>
      </w:r>
      <w:r>
        <w:rPr>
          <w:rFonts w:ascii="Arial" w:cs="Arial" w:eastAsia="Arial" w:hAnsi="Arial"/>
          <w:sz w:val="20"/>
          <w:szCs w:val="20"/>
        </w:rPr>
        <w:t xml:space="preserve">Medium (1–2 posts/week plus event management).</w:t>
      </w:r>
    </w:p>
    <w:p>
      <w:pPr>
        <w:pStyle w:val="Heading2"/>
      </w:pPr>
      <w:r>
        <w:t xml:space="preserve">Meta — Instagram</w:t>
      </w:r>
    </w:p>
    <w:p>
      <w:pPr>
        <w:spacing w:after="120"/>
      </w:pPr>
      <w:r>
        <w:rPr>
          <w:rFonts w:ascii="Arial" w:cs="Arial" w:eastAsia="Arial" w:hAnsi="Arial"/>
          <w:b/>
          <w:bCs/>
          <w:sz w:val="20"/>
          <w:szCs w:val="20"/>
        </w:rPr>
        <w:t xml:space="preserve">Primary segments served: </w:t>
      </w:r>
      <w:r>
        <w:rPr>
          <w:rFonts w:ascii="Arial" w:cs="Arial" w:eastAsia="Arial" w:hAnsi="Arial"/>
          <w:sz w:val="20"/>
          <w:szCs w:val="20"/>
        </w:rPr>
        <w:t xml:space="preserve">Casuals (discovery), Community-Engagers (amplification)</w:t>
      </w:r>
    </w:p>
    <w:p>
      <w:pPr>
        <w:spacing w:after="120"/>
      </w:pPr>
      <w:r>
        <w:rPr>
          <w:rFonts w:ascii="Arial" w:cs="Arial" w:eastAsia="Arial" w:hAnsi="Arial"/>
          <w:sz w:val="20"/>
          <w:szCs w:val="20"/>
        </w:rPr>
        <w:t xml:space="preserve">Instagram — specifically Reels — is the best organic channel for reaching Casuals, the youngest and highest-income segment. Casuals don’t seek out arts events; they encounter them. A Reel about Led Zeppelin or Fleetwood Mac history that happens to mention a live show is exactly the kind of content that can catch a Casual mid-scroll.</w:t>
      </w:r>
    </w:p>
    <w:p>
      <w:pPr>
        <w:spacing w:after="120"/>
      </w:pPr>
      <w:r>
        <w:rPr>
          <w:rFonts w:ascii="Arial" w:cs="Arial" w:eastAsia="Arial" w:hAnsi="Arial"/>
          <w:b/>
          <w:bCs/>
          <w:sz w:val="20"/>
          <w:szCs w:val="20"/>
        </w:rPr>
        <w:t xml:space="preserve">Content approach:</w:t>
      </w:r>
    </w:p>
    <w:p>
      <w:pPr>
        <w:pStyle w:val="ListParagraph"/>
        <w:numPr>
          <w:ilvl w:val="0"/>
          <w:numId w:val="2"/>
        </w:numPr>
        <w:spacing w:after="80"/>
      </w:pPr>
      <w:r>
        <w:rPr>
          <w:rFonts w:ascii="Arial" w:cs="Arial" w:eastAsia="Arial" w:hAnsi="Arial"/>
          <w:sz w:val="20"/>
          <w:szCs w:val="20"/>
        </w:rPr>
        <w:t xml:space="preserve">Weekly “This Day in Music History” Reels (15–30 seconds).</w:t>
      </w:r>
    </w:p>
    <w:p>
      <w:pPr>
        <w:pStyle w:val="ListParagraph"/>
        <w:numPr>
          <w:ilvl w:val="0"/>
          <w:numId w:val="2"/>
        </w:numPr>
        <w:spacing w:after="80"/>
      </w:pPr>
      <w:r>
        <w:rPr>
          <w:rFonts w:ascii="Arial" w:cs="Arial" w:eastAsia="Arial" w:hAnsi="Arial"/>
          <w:sz w:val="20"/>
          <w:szCs w:val="20"/>
        </w:rPr>
        <w:t xml:space="preserve">Stories for behind-the-scenes rehearsal content, polls, and countdown stickers.</w:t>
      </w:r>
    </w:p>
    <w:p>
      <w:pPr>
        <w:pStyle w:val="ListParagraph"/>
        <w:numPr>
          <w:ilvl w:val="0"/>
          <w:numId w:val="2"/>
        </w:numPr>
        <w:spacing w:after="80"/>
      </w:pPr>
      <w:r>
        <w:rPr>
          <w:rFonts w:ascii="Arial" w:cs="Arial" w:eastAsia="Arial" w:hAnsi="Arial"/>
          <w:sz w:val="20"/>
          <w:szCs w:val="20"/>
        </w:rPr>
        <w:t xml:space="preserve">Carousel posts for setlist teasers closer to the show.</w:t>
      </w:r>
    </w:p>
    <w:p>
      <w:pPr>
        <w:pStyle w:val="ListParagraph"/>
        <w:numPr>
          <w:ilvl w:val="0"/>
          <w:numId w:val="2"/>
        </w:numPr>
        <w:spacing w:after="80"/>
      </w:pPr>
      <w:r>
        <w:rPr>
          <w:rFonts w:ascii="Arial" w:cs="Arial" w:eastAsia="Arial" w:hAnsi="Arial"/>
          <w:sz w:val="20"/>
          <w:szCs w:val="20"/>
        </w:rPr>
        <w:t xml:space="preserve">Optimize for reach and discovery, not engagement metrics. One Casual who buys two $50 tickets is worth more than 100 likes.</w:t>
      </w:r>
    </w:p>
    <w:p>
      <w:pPr>
        <w:spacing w:after="120"/>
      </w:pPr>
      <w:r>
        <w:rPr>
          <w:rFonts w:ascii="Arial" w:cs="Arial" w:eastAsia="Arial" w:hAnsi="Arial"/>
          <w:b/>
          <w:bCs/>
          <w:sz w:val="20"/>
          <w:szCs w:val="20"/>
        </w:rPr>
        <w:t xml:space="preserve">Effort: </w:t>
      </w:r>
      <w:r>
        <w:rPr>
          <w:rFonts w:ascii="Arial" w:cs="Arial" w:eastAsia="Arial" w:hAnsi="Arial"/>
          <w:sz w:val="20"/>
          <w:szCs w:val="20"/>
        </w:rPr>
        <w:t xml:space="preserve">Medium-High (1–2 Reels/week plus Stories).</w:t>
      </w:r>
    </w:p>
    <w:p>
      <w:pPr>
        <w:pStyle w:val="Heading2"/>
      </w:pPr>
      <w:r>
        <w:t xml:space="preserve">Mailchimp — Revv52 Fans</w:t>
      </w:r>
    </w:p>
    <w:p>
      <w:pPr>
        <w:spacing w:after="120"/>
      </w:pPr>
      <w:r>
        <w:rPr>
          <w:rFonts w:ascii="Arial" w:cs="Arial" w:eastAsia="Arial" w:hAnsi="Arial"/>
          <w:b/>
          <w:bCs/>
          <w:sz w:val="20"/>
          <w:szCs w:val="20"/>
        </w:rPr>
        <w:t xml:space="preserve">Primary segments served: </w:t>
      </w:r>
      <w:r>
        <w:rPr>
          <w:rFonts w:ascii="Arial" w:cs="Arial" w:eastAsia="Arial" w:hAnsi="Arial"/>
          <w:sz w:val="20"/>
          <w:szCs w:val="20"/>
        </w:rPr>
        <w:t xml:space="preserve">Energetics (conversion), Connection-Seekers (storytelling), Values-Prioritizers &amp; For-Mes (retention)</w:t>
      </w:r>
    </w:p>
    <w:p>
      <w:pPr>
        <w:spacing w:after="120"/>
      </w:pPr>
      <w:r>
        <w:rPr>
          <w:rFonts w:ascii="Arial" w:cs="Arial" w:eastAsia="Arial" w:hAnsi="Arial"/>
          <w:sz w:val="20"/>
          <w:szCs w:val="20"/>
        </w:rPr>
        <w:t xml:space="preserve">The most direct line to people who already care about Revv52. Email converts to ticket sales better than social media — and the audience research confirms this. The 48-hour decision window means the final email (1 week out) needs to be perfectly timed and urgency-driven.</w:t>
      </w:r>
    </w:p>
    <w:p>
      <w:pPr>
        <w:spacing w:after="120"/>
      </w:pPr>
      <w:r>
        <w:rPr>
          <w:rFonts w:ascii="Arial" w:cs="Arial" w:eastAsia="Arial" w:hAnsi="Arial"/>
          <w:b/>
          <w:bCs/>
          <w:sz w:val="20"/>
          <w:szCs w:val="20"/>
        </w:rPr>
        <w:t xml:space="preserve">Content approach:</w:t>
      </w:r>
    </w:p>
    <w:p>
      <w:pPr>
        <w:pStyle w:val="ListParagraph"/>
        <w:numPr>
          <w:ilvl w:val="0"/>
          <w:numId w:val="2"/>
        </w:numPr>
        <w:spacing w:after="80"/>
      </w:pPr>
      <w:r>
        <w:rPr>
          <w:rFonts w:ascii="Arial" w:cs="Arial" w:eastAsia="Arial" w:hAnsi="Arial"/>
          <w:sz w:val="20"/>
          <w:szCs w:val="20"/>
        </w:rPr>
        <w:t xml:space="preserve">4 campaign emails timed to key moments (see content calendar).</w:t>
      </w:r>
    </w:p>
    <w:p>
      <w:pPr>
        <w:pStyle w:val="ListParagraph"/>
        <w:numPr>
          <w:ilvl w:val="0"/>
          <w:numId w:val="2"/>
        </w:numPr>
        <w:spacing w:after="80"/>
      </w:pPr>
      <w:r>
        <w:rPr>
          <w:rFonts w:ascii="Arial" w:cs="Arial" w:eastAsia="Arial" w:hAnsi="Arial"/>
          <w:sz w:val="20"/>
          <w:szCs w:val="20"/>
        </w:rPr>
        <w:t xml:space="preserve">Each email features a “This Day in Music History” highlight and a clear ticket CTA.</w:t>
      </w:r>
    </w:p>
    <w:p>
      <w:pPr>
        <w:pStyle w:val="ListParagraph"/>
        <w:numPr>
          <w:ilvl w:val="0"/>
          <w:numId w:val="2"/>
        </w:numPr>
        <w:spacing w:after="80"/>
      </w:pPr>
      <w:r>
        <w:rPr>
          <w:rFonts w:ascii="Arial" w:cs="Arial" w:eastAsia="Arial" w:hAnsi="Arial"/>
          <w:sz w:val="20"/>
          <w:szCs w:val="20"/>
        </w:rPr>
        <w:t xml:space="preserve">Final email is an urgency play (“Last chance — limited seats remain”).</w:t>
      </w:r>
    </w:p>
    <w:p>
      <w:pPr>
        <w:spacing w:after="120"/>
      </w:pPr>
      <w:r>
        <w:rPr>
          <w:rFonts w:ascii="Arial" w:cs="Arial" w:eastAsia="Arial" w:hAnsi="Arial"/>
          <w:b/>
          <w:bCs/>
          <w:sz w:val="20"/>
          <w:szCs w:val="20"/>
        </w:rPr>
        <w:t xml:space="preserve">Effort: </w:t>
      </w:r>
      <w:r>
        <w:rPr>
          <w:rFonts w:ascii="Arial" w:cs="Arial" w:eastAsia="Arial" w:hAnsi="Arial"/>
          <w:sz w:val="20"/>
          <w:szCs w:val="20"/>
        </w:rPr>
        <w:t xml:space="preserve">Low-Medium (1 email every ~2 weeks).</w:t>
      </w:r>
    </w:p>
    <w:p>
      <w:r>
        <w:br w:type="page"/>
      </w:r>
    </w:p>
    <w:p>
      <w:pPr>
        <w:pStyle w:val="Heading1"/>
      </w:pPr>
      <w:r>
        <w:t xml:space="preserve">5. “This Day in Music History” — Setlist Connections</w:t>
      </w:r>
    </w:p>
    <w:p>
      <w:pPr>
        <w:spacing w:after="120"/>
      </w:pPr>
      <w:r>
        <w:rPr>
          <w:rFonts w:ascii="Arial" w:cs="Arial" w:eastAsia="Arial" w:hAnsi="Arial"/>
          <w:sz w:val="20"/>
          <w:szCs w:val="20"/>
        </w:rPr>
        <w:t xml:space="preserve">The following historical dates connect directly to artists on the Classical Collision setlist. These form the backbone of the weekly content series.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3960"/>
        <w:gridCol w:w="3000"/>
      </w:tblGrid>
      <w:tr>
        <w:tc>
          <w:tcPr>
            <w:tcW w:type="dxa" w:w="11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Week</w:t>
            </w:r>
          </w:p>
        </w:tc>
        <w:tc>
          <w:tcPr>
            <w:tcW w:type="dxa" w:w="13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Date(s)</w:t>
            </w:r>
          </w:p>
        </w:tc>
        <w:tc>
          <w:tcPr>
            <w:tcW w:type="dxa" w:w="39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History Connection</w:t>
            </w:r>
          </w:p>
        </w:tc>
        <w:tc>
          <w:tcPr>
            <w:tcW w:type="dxa" w:w="30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Setlist Tie-In</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Wk 1 (Mar 2–8)</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Mar 3, 1875 / Mar 4, 1678</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Bizet’s Carmen premieres in Paris; the very next day is Vivaldi’s birthday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Habanera + Vivaldi’s Winter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Wk 2 (Mar 9–15)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 7, 1966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Tina Turner records “River Deep, Mountain High” with Phil Spector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River Deep Mountain High</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Wk 3 (Mar 16–22)</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Mar 16, 1954</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Nancy Wilson of Heart born in San Francisco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Barracuda</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Wk 4 (Mar 23–29)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 29, 1982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Carl Orff dies in Munich at age 86, leaving behind Carmina Burana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 Fortuna</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Wk 5 (Mar 30–Apr 5)</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Apr 4, 1973</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Doobie Brothers’ “Long Train Running” released as a single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Long Train Running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Wk 6 (Apr 6–12)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Spring 1977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Fleetwood Mac’s Rumours dominates the charts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Rumours Medley</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Wk 7 (Apr 13–19)</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Apr 14, 1759 / Apr 14, 1883</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Handel dies (Hallelujah Chorus) AND Delibes’ Lakmé premieres — same date, 124 years apart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Hallelujah Chorus + Flower Duet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Wk 8 (Apr 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Spring 1969</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Led Zeppelin’s debut album climbing the US charts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Kashmir / Immigrant Song</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Wk 9 (Apr 27–May 3)</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Countdown</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Pivot to full show promotion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Final ticket push</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Show (May 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May 7 &amp; 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It’s happening!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songs performed live</w:t>
            </w:r>
          </w:p>
        </w:tc>
      </w:tr>
    </w:tbl>
    <w:p>
      <w:r>
        <w:br w:type="page"/>
      </w:r>
    </w:p>
    <w:p>
      <w:pPr>
        <w:pStyle w:val="Heading1"/>
      </w:pPr>
      <w:r>
        <w:t xml:space="preserve">6. Content Calendar</w:t>
      </w:r>
    </w:p>
    <w:p>
      <w:pPr>
        <w:pStyle w:val="Heading3"/>
      </w:pPr>
      <w:r>
        <w:t xml:space="preserve">Week 1 — March 2–8: “Two Legends, Two Days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Mon Mar 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Facebook</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Create/publish Facebook Event pages for both May 7 &amp; 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Event page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Pin to page. Include ticket link.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Tue Mar 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Day in Music History: Bizet’s Carmen premiered March 3, 1875. Tomorrow is Vivaldi’s birthday. Both are in Classical Collision.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Branded graphic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post — set visual template.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Wed Mar 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Happy birthday, Vivaldi! Born March 4, 1678. His Winter reimagined with a rock band.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Branded graphic</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Day 2 of the one-two punch.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Wed Mar 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Stories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Poll: Have you ever heard Vivaldi played with electric guitar?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Story poll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Drives engagement.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Fri Mar 6</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Mailchimp</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Email 1: “Classical Rock. Rock Classics.” Announce show, concept, history fact, ticket link.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Email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Subject: “Mozart. Stones. One stage.”</w:t>
            </w:r>
          </w:p>
        </w:tc>
      </w:tr>
    </w:tbl>
    <w:p>
      <w:pPr>
        <w:spacing w:after="60"/>
      </w:pPr>
    </w:p>
    <w:p>
      <w:pPr>
        <w:pStyle w:val="Heading3"/>
      </w:pPr>
      <w:r>
        <w:t xml:space="preserve">Week 2 — March 9–15: “The Voice That Shook the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Wed Mar 11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March 7, 1966 — Tina Turner recorded “River Deep, Mountain High.”</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 / Reel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Reel: member reacting to original recording.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 Mar 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Stories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Behind-the-scenes: rehearsal clip or photo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Humanizes the group.</w:t>
            </w:r>
          </w:p>
        </w:tc>
      </w:tr>
    </w:tbl>
    <w:p>
      <w:pPr>
        <w:spacing w:after="60"/>
      </w:pPr>
    </w:p>
    <w:p>
      <w:pPr>
        <w:pStyle w:val="Heading3"/>
      </w:pPr>
      <w:r>
        <w:t xml:space="preserve">Week 3 — March 16–22: “Born to Rock”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Mon Mar 16</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Nancy Wilson of Heart born March 16, 1954. Barracuda opens Act 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 / Reel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Reel: member air-guitaring Barracuda riff.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Thu Mar 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Stories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Poll: Which Heart song is your favourite?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Story poll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Engagement driver.</w:t>
            </w:r>
          </w:p>
        </w:tc>
      </w:tr>
    </w:tbl>
    <w:p>
      <w:pPr>
        <w:spacing w:after="60"/>
      </w:pPr>
    </w:p>
    <w:p>
      <w:pPr>
        <w:pStyle w:val="Heading3"/>
      </w:pPr>
      <w:r>
        <w:t xml:space="preserve">Week 4 — March 23–29: “O Fortuna”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Sun Mar 29</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Carl Orff passed away March 29, 1982. Carmina Burana — Revv52 closes Act 1 with O Fortuna.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Lean into the drama.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Tue Mar 31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Mailchimp</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2: “From Mozart to Mick Jagger” — recap history series, tease setlist, ticket CTA.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Include share-with-a-friend link.</w:t>
            </w:r>
          </w:p>
        </w:tc>
      </w:tr>
    </w:tbl>
    <w:p>
      <w:pPr>
        <w:spacing w:after="60"/>
      </w:pPr>
    </w:p>
    <w:p>
      <w:pPr>
        <w:pStyle w:val="Heading3"/>
      </w:pPr>
      <w:r>
        <w:t xml:space="preserve">Week 5 — March 30–April 5: “Keep On Runnin’”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Sat Apr 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Doobie Brothers released “Long Train Running” spring 1973. Hear 52 voices take it 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 / Reel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Reel: “the most 1970s thing possible.”</w:t>
            </w:r>
          </w:p>
        </w:tc>
      </w:tr>
    </w:tbl>
    <w:p>
      <w:pPr>
        <w:spacing w:after="60"/>
      </w:pPr>
    </w:p>
    <w:p>
      <w:pPr>
        <w:pStyle w:val="Heading3"/>
      </w:pPr>
      <w:r>
        <w:t xml:space="preserve">Week 6 — April 6–12: “Rumours Has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Wed Apr 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Spring 1977 — Fleetwood Mac’s Rumours dominates the charts. Revv52 performs a Rumours medley.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 / Reel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Reel: favourite Rumours track challenge.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 Apr 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Stories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Poll: Which Rumours song is the GOAT?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Story poll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People have strong opinions.</w:t>
            </w:r>
          </w:p>
        </w:tc>
      </w:tr>
    </w:tbl>
    <w:p>
      <w:pPr>
        <w:spacing w:after="60"/>
      </w:pPr>
    </w:p>
    <w:p>
      <w:pPr>
        <w:pStyle w:val="Heading3"/>
      </w:pPr>
      <w:r>
        <w:t xml:space="preserve">Week 7 — April 13–19: “The April 14th Miracle”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Tue Apr 14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April 14 — Handel dies (1759) and Lakmé premieres (1883). Same date, 124 years apart. Both in Classical Collision.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Strongest “wow” moment.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Thu Apr 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Mailchimp</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3: “3 Weeks Out — Have You Got Your Tickets?” Urgency language.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Include testimonial if available.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Sat Apr 18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Instagram</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Setlist sneak peek — reveal 4–5 songs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Carousel / Stories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First partial reveal.</w:t>
            </w:r>
          </w:p>
        </w:tc>
      </w:tr>
    </w:tbl>
    <w:p>
      <w:pPr>
        <w:spacing w:after="60"/>
      </w:pPr>
    </w:p>
    <w:p>
      <w:pPr>
        <w:pStyle w:val="Heading3"/>
      </w:pPr>
      <w:r>
        <w:t xml:space="preserve">Week 8 — April 20–26: “Stairway to Classical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Wed Apr 22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Spring 1969 — Led Zeppelin’s debut climbing the charts. We open Act 1 with Kashmir &amp; Immigrant Song.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Graphic / Reel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Reel: dramatic rehearsal slow-mo.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 Apr 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Jade Elephant feature post — introduce the partner band.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 photo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Cross-post: tag Jade Elephant.</w:t>
            </w:r>
          </w:p>
        </w:tc>
      </w:tr>
    </w:tbl>
    <w:p>
      <w:pPr>
        <w:spacing w:after="60"/>
      </w:pPr>
    </w:p>
    <w:p>
      <w:pPr>
        <w:pStyle w:val="Heading3"/>
      </w:pPr>
      <w:r>
        <w:t xml:space="preserve">Week 9 — April 27–May 3: “The Final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Mon Apr 27</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 Days Out” — Full setlist reveal with hype caption.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Carousel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Tag all collaborators.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Wed Apr 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Mailchimp</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4: “Final Call — Classical Collision is Next Week.” Urgency + full setlist.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Make sharing easy.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Fri May 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Instagram</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Countdown sticker Story series — daily through May 7.</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Stories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Top-of-mind.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Sat May 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Facebook</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 chance” post — final ticket push.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post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Short, direct, urgent.</w:t>
            </w:r>
          </w:p>
        </w:tc>
      </w:tr>
    </w:tbl>
    <w:p>
      <w:pPr>
        <w:spacing w:after="60"/>
      </w:pPr>
    </w:p>
    <w:p>
      <w:pPr>
        <w:pStyle w:val="Heading3"/>
      </w:pPr>
      <w:r>
        <w:t xml:space="preserve">Show Week — May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1500"/>
        <w:gridCol w:w="1500"/>
      </w:tblGrid>
      <w:tr>
        <w:tc>
          <w:tcPr>
            <w:tcW w:type="dxa" w:w="1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36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Mon May 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week is the week.” Rehearsal teaser photo/video.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Photo/video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Build anticipation.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Wed May 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Stories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“See you tomorrow!” Backstage prep photos.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Day-before energy.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Thu May 7</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Show night 1 — pre-show hype, Stories from venue. Post-show: “Night 2 is tomorrow.”</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Real-time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Post from the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 May 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FB + IG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night 2 — real-time posts. Post-show thank you.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Tag collaborators.</w:t>
            </w:r>
          </w:p>
        </w:tc>
      </w:tr>
    </w:tbl>
    <w:p>
      <w:pPr>
        <w:spacing w:after="60"/>
      </w:pPr>
    </w:p>
    <w:p>
      <w:r>
        <w:br w:type="page"/>
      </w:r>
    </w:p>
    <w:p>
      <w:pPr>
        <w:pStyle w:val="Heading1"/>
      </w:pPr>
      <w:r>
        <w:t xml:space="preserve">7. Content Pieces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00"/>
        <w:gridCol w:w="3260"/>
        <w:gridCol w:w="1100"/>
        <w:gridCol w:w="1100"/>
      </w:tblGrid>
      <w:tr>
        <w:tc>
          <w:tcPr>
            <w:tcW w:type="dxa" w:w="4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Asset</w:t>
            </w:r>
          </w:p>
        </w:tc>
        <w:tc>
          <w:tcPr>
            <w:tcW w:type="dxa" w:w="13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32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“This Day in Music History” graphic template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Branded template</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Reusable template in Revv52 brand colors/fonts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Before Mar 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weekly history graphics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Static images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 per week, following the template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wks ahead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3–4 short Reels/videos</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Video (15–30s)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Members sharing facts, reacting to music</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Rolling basis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Mailchimp emails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See calendar for themes and CTAs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wk before send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Facebook Event pages (x2)</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Event listing</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Full details, ticket link, show graphic</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Week 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Jade Elephant feature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Introduce the partner band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 8</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Setlist reveal carousel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Carousel</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Visual reveal of full setlist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Must-have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Week 9</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Story polls (x4)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Story templates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Engagement polls tied to themes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Nice-to-have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 needed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BTS rehearsal content</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Photos/clips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Raw, authentic rehearsal content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Nice-to-have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Ongoing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Member reaction videos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UGC video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Members talking about favourite songs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Nice-to-have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Weeks 4–8</w:t>
            </w:r>
          </w:p>
        </w:tc>
      </w:tr>
    </w:tbl>
    <w:p>
      <w:pPr>
        <w:spacing w:after="60"/>
      </w:pPr>
    </w:p>
    <w:p>
      <w:pPr>
        <w:pStyle w:val="Heading1"/>
      </w:pPr>
      <w: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c>
          <w:tcPr>
            <w:tcW w:type="dxa" w:w="28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256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How to Track</w:t>
            </w:r>
          </w:p>
        </w:tc>
        <w:tc>
          <w:tcPr>
            <w:tcW w:type="dxa" w:w="1800"/>
            <w:tcBorders>
              <w:top w:val="single" w:color="CCCCCC" w:sz="1"/>
              <w:left w:val="single" w:color="CCCCCC" w:sz="1"/>
              <w:bottom w:val="single" w:color="CCCCCC" w:sz="1"/>
              <w:right w:val="single" w:color="CCCCCC" w:sz="1"/>
            </w:tcBorders>
            <w:shd w:fill="00A3B5" w:val="clear"/>
            <w:tcMar>
              <w:top w:type="dxa" w:w="60"/>
              <w:left w:type="dxa" w:w="100"/>
              <w:bottom w:type="dxa" w:w="60"/>
              <w:right w:type="dxa" w:w="100"/>
            </w:tcMar>
            <w:vAlign w:val="center"/>
          </w:tcPr>
          <w:p>
            <w:r>
              <w:rPr>
                <w:rFonts w:ascii="Arial" w:cs="Arial" w:eastAsia="Arial" w:hAnsi="Arial"/>
                <w:b/>
                <w:bCs/>
                <w:color w:val="FFFFFF"/>
                <w:sz w:val="18"/>
                <w:szCs w:val="18"/>
              </w:rPr>
              <w:t xml:space="preserve">Cadence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Ticket sales (primary KPI)</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90%+ capacity both nights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Ticketing platform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Weekly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Weeks to 80% capacity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weeks before show (by Apr 16)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Ticketing 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Mailchimp list growth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+15% new subscribers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Mailchimp audience dashboard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Bi-weekly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Mailchimp open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&gt;35% across emails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Mailchimp reports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 send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Mailchimp click rate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&gt;5% (ticket link clicks)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Mailchimp reports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Per send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Facebook Event responses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 Interested/Going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Facebook Events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Instagram Reels reach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2x follower count per Reel</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Instagram Insights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Per post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Instagram engagement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 improvement vs. Strings Attached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Instagram Insights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History series engagement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&gt;4% engagement rate per post</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Meta Business Suite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Per post</w:t>
            </w:r>
          </w:p>
        </w:tc>
      </w:tr>
    </w:tbl>
    <w:p>
      <w:pPr>
        <w:spacing w:after="60"/>
      </w:pPr>
    </w:p>
    <w:p>
      <w:pPr>
        <w:pStyle w:val="Heading1"/>
      </w:pPr>
      <w:r>
        <w:t xml:space="preserve">9. Risks and Mitigations</w:t>
      </w:r>
    </w:p>
    <w:p>
      <w:pPr>
        <w:spacing w:after="120"/>
      </w:pPr>
      <w:r>
        <w:rPr>
          <w:rFonts w:ascii="Arial" w:cs="Arial" w:eastAsia="Arial" w:hAnsi="Arial"/>
          <w:b/>
          <w:bCs/>
          <w:sz w:val="20"/>
          <w:szCs w:val="20"/>
        </w:rPr>
        <w:t xml:space="preserve">Risk 1: Content creation bottleneck. </w:t>
      </w:r>
      <w:r>
        <w:rPr>
          <w:rFonts w:ascii="Arial" w:cs="Arial" w:eastAsia="Arial" w:hAnsi="Arial"/>
          <w:sz w:val="20"/>
          <w:szCs w:val="20"/>
        </w:rPr>
        <w:t xml:space="preserve">The weekly cadence requires consistent production from volunteer committee members who have other commitments.</w:t>
      </w:r>
    </w:p>
    <w:p>
      <w:pPr>
        <w:spacing w:after="120"/>
      </w:pPr>
      <w:r>
        <w:rPr>
          <w:rFonts w:ascii="Arial" w:cs="Arial" w:eastAsia="Arial" w:hAnsi="Arial"/>
          <w:b/>
          <w:bCs/>
          <w:i/>
          <w:iCs/>
          <w:sz w:val="20"/>
          <w:szCs w:val="20"/>
        </w:rPr>
        <w:t xml:space="preserve">Mitigation: </w:t>
      </w:r>
      <w:r>
        <w:rPr>
          <w:rFonts w:ascii="Arial" w:cs="Arial" w:eastAsia="Arial" w:hAnsi="Arial"/>
          <w:sz w:val="20"/>
          <w:szCs w:val="20"/>
        </w:rPr>
        <w:t xml:space="preserve">Batch-produce the static graphics 2–3 weeks ahead using the template. Keep Reels simple (phone-quality is fine — authenticity beats polish). Assign specific members to specific weeks.</w:t>
      </w:r>
    </w:p>
    <w:p>
      <w:pPr>
        <w:spacing w:after="60"/>
      </w:pPr>
    </w:p>
    <w:p>
      <w:pPr>
        <w:spacing w:after="120"/>
      </w:pPr>
      <w:r>
        <w:rPr>
          <w:rFonts w:ascii="Arial" w:cs="Arial" w:eastAsia="Arial" w:hAnsi="Arial"/>
          <w:b/>
          <w:bCs/>
          <w:sz w:val="20"/>
          <w:szCs w:val="20"/>
        </w:rPr>
        <w:t xml:space="preserve">Risk 2: Organic reach limitations. </w:t>
      </w:r>
      <w:r>
        <w:rPr>
          <w:rFonts w:ascii="Arial" w:cs="Arial" w:eastAsia="Arial" w:hAnsi="Arial"/>
          <w:sz w:val="20"/>
          <w:szCs w:val="20"/>
        </w:rPr>
        <w:t xml:space="preserve">Without paid spend, Meta’s algorithm may limit how many people see each post, especially on Facebook. The audience research confirms 45% of the audience is not connected to Revv52 at all — organic social alone won’t reach them.</w:t>
      </w:r>
    </w:p>
    <w:p>
      <w:pPr>
        <w:spacing w:after="120"/>
      </w:pPr>
      <w:r>
        <w:rPr>
          <w:rFonts w:ascii="Arial" w:cs="Arial" w:eastAsia="Arial" w:hAnsi="Arial"/>
          <w:b/>
          <w:bCs/>
          <w:i/>
          <w:iCs/>
          <w:sz w:val="20"/>
          <w:szCs w:val="20"/>
        </w:rPr>
        <w:t xml:space="preserve">Mitigation: </w:t>
      </w:r>
      <w:r>
        <w:rPr>
          <w:rFonts w:ascii="Arial" w:cs="Arial" w:eastAsia="Arial" w:hAnsi="Arial"/>
          <w:sz w:val="20"/>
          <w:szCs w:val="20"/>
        </w:rPr>
        <w:t xml:space="preserve">Lean on Reels (Instagram’s algorithm favours short video). Activate Energetics and Community-Engagers (the most connected segments) to share posts to their personal profiles — 52 members × their networks is the primary organic reach multiplier for the unconnected Art-Goer segment. Use the Mailchimp list as the reliable conversion channel. Cross-post with Jade Elephant and MRU pages to tap into adjacent audiences.</w:t>
      </w:r>
    </w:p>
    <w:p>
      <w:pPr>
        <w:spacing w:after="60"/>
      </w:pPr>
    </w:p>
    <w:p>
      <w:pPr>
        <w:spacing w:after="120"/>
      </w:pPr>
      <w:r>
        <w:rPr>
          <w:rFonts w:ascii="Arial" w:cs="Arial" w:eastAsia="Arial" w:hAnsi="Arial"/>
          <w:b/>
          <w:bCs/>
          <w:sz w:val="20"/>
          <w:szCs w:val="20"/>
        </w:rPr>
        <w:t xml:space="preserve">Risk 3: History-to-setlist tie-ins feel forced in some weeks. </w:t>
      </w:r>
      <w:r>
        <w:rPr>
          <w:rFonts w:ascii="Arial" w:cs="Arial" w:eastAsia="Arial" w:hAnsi="Arial"/>
          <w:sz w:val="20"/>
          <w:szCs w:val="20"/>
        </w:rPr>
        <w:t xml:space="preserve">Not every week has a perfect calendar match.</w:t>
      </w:r>
    </w:p>
    <w:p>
      <w:pPr>
        <w:spacing w:after="120"/>
      </w:pPr>
      <w:r>
        <w:rPr>
          <w:rFonts w:ascii="Arial" w:cs="Arial" w:eastAsia="Arial" w:hAnsi="Arial"/>
          <w:b/>
          <w:bCs/>
          <w:i/>
          <w:iCs/>
          <w:sz w:val="20"/>
          <w:szCs w:val="20"/>
        </w:rPr>
        <w:t xml:space="preserve">Mitigation: </w:t>
      </w:r>
      <w:r>
        <w:rPr>
          <w:rFonts w:ascii="Arial" w:cs="Arial" w:eastAsia="Arial" w:hAnsi="Arial"/>
          <w:sz w:val="20"/>
          <w:szCs w:val="20"/>
        </w:rPr>
        <w:t xml:space="preserve">Week 6 (Fleetwood Mac) and Week 8 (Led Zeppelin) use “spring of that year” framing rather than exact dates — this still works editorially. Week 9 drops the history format entirely and pivots to direct show promotion, which is the right call for the final push.</w:t>
      </w:r>
    </w:p>
    <w:p>
      <w:r>
        <w:br w:type="page"/>
      </w:r>
    </w:p>
    <w:p>
      <w:pPr>
        <w:pStyle w:val="Heading1"/>
      </w:pPr>
      <w:r>
        <w:t xml:space="preserve">10. Next Steps</w:t>
      </w:r>
    </w:p>
    <w:p>
      <w:pPr>
        <w:pStyle w:val="ListParagraph"/>
        <w:numPr>
          <w:ilvl w:val="0"/>
          <w:numId w:val="4"/>
        </w:numPr>
        <w:spacing w:after="80"/>
      </w:pPr>
      <w:r>
        <w:rPr>
          <w:rFonts w:ascii="Arial" w:cs="Arial" w:eastAsia="Arial" w:hAnsi="Arial"/>
          <w:b/>
          <w:bCs/>
          <w:sz w:val="20"/>
          <w:szCs w:val="20"/>
        </w:rPr>
        <w:t xml:space="preserve">This week: </w:t>
      </w:r>
      <w:r>
        <w:rPr>
          <w:rFonts w:ascii="Arial" w:cs="Arial" w:eastAsia="Arial" w:hAnsi="Arial"/>
          <w:sz w:val="20"/>
          <w:szCs w:val="20"/>
        </w:rPr>
        <w:t xml:space="preserve">Design the “This Day in Music History” graphic template. Confirm it aligns with the Revv52 Brand Toolkit.</w:t>
      </w:r>
    </w:p>
    <w:p>
      <w:pPr>
        <w:pStyle w:val="ListParagraph"/>
        <w:numPr>
          <w:ilvl w:val="0"/>
          <w:numId w:val="4"/>
        </w:numPr>
        <w:spacing w:after="80"/>
      </w:pPr>
      <w:r>
        <w:rPr>
          <w:rFonts w:ascii="Arial" w:cs="Arial" w:eastAsia="Arial" w:hAnsi="Arial"/>
          <w:b/>
          <w:bCs/>
          <w:sz w:val="20"/>
          <w:szCs w:val="20"/>
        </w:rPr>
        <w:t xml:space="preserve">This week: </w:t>
      </w:r>
      <w:r>
        <w:rPr>
          <w:rFonts w:ascii="Arial" w:cs="Arial" w:eastAsia="Arial" w:hAnsi="Arial"/>
          <w:sz w:val="20"/>
          <w:szCs w:val="20"/>
        </w:rPr>
        <w:t xml:space="preserve">Create and publish Facebook Event pages for May 7 &amp; 8.</w:t>
      </w:r>
    </w:p>
    <w:p>
      <w:pPr>
        <w:pStyle w:val="ListParagraph"/>
        <w:numPr>
          <w:ilvl w:val="0"/>
          <w:numId w:val="4"/>
        </w:numPr>
        <w:spacing w:after="80"/>
      </w:pPr>
      <w:r>
        <w:rPr>
          <w:rFonts w:ascii="Arial" w:cs="Arial" w:eastAsia="Arial" w:hAnsi="Arial"/>
          <w:b/>
          <w:bCs/>
          <w:sz w:val="20"/>
          <w:szCs w:val="20"/>
        </w:rPr>
        <w:t xml:space="preserve">This week: </w:t>
      </w:r>
      <w:r>
        <w:rPr>
          <w:rFonts w:ascii="Arial" w:cs="Arial" w:eastAsia="Arial" w:hAnsi="Arial"/>
          <w:sz w:val="20"/>
          <w:szCs w:val="20"/>
        </w:rPr>
        <w:t xml:space="preserve">Draft and send Mailchimp Email 1 (“Classical Rock. Rock Classics.”).</w:t>
      </w:r>
    </w:p>
    <w:p>
      <w:pPr>
        <w:pStyle w:val="ListParagraph"/>
        <w:numPr>
          <w:ilvl w:val="0"/>
          <w:numId w:val="4"/>
        </w:numPr>
        <w:spacing w:after="80"/>
      </w:pPr>
      <w:r>
        <w:rPr>
          <w:rFonts w:ascii="Arial" w:cs="Arial" w:eastAsia="Arial" w:hAnsi="Arial"/>
          <w:b/>
          <w:bCs/>
          <w:sz w:val="20"/>
          <w:szCs w:val="20"/>
        </w:rPr>
        <w:t xml:space="preserve">This week: </w:t>
      </w:r>
      <w:r>
        <w:rPr>
          <w:rFonts w:ascii="Arial" w:cs="Arial" w:eastAsia="Arial" w:hAnsi="Arial"/>
          <w:sz w:val="20"/>
          <w:szCs w:val="20"/>
        </w:rPr>
        <w:t xml:space="preserve">Post the first “This Day in Music History” on March 4 (Vivaldi).</w:t>
      </w:r>
    </w:p>
    <w:p>
      <w:pPr>
        <w:pStyle w:val="ListParagraph"/>
        <w:numPr>
          <w:ilvl w:val="0"/>
          <w:numId w:val="4"/>
        </w:numPr>
        <w:spacing w:after="80"/>
      </w:pPr>
      <w:r>
        <w:rPr>
          <w:rFonts w:ascii="Arial" w:cs="Arial" w:eastAsia="Arial" w:hAnsi="Arial"/>
          <w:b/>
          <w:bCs/>
          <w:sz w:val="20"/>
          <w:szCs w:val="20"/>
        </w:rPr>
        <w:t xml:space="preserve">Ongoing: </w:t>
      </w:r>
      <w:r>
        <w:rPr>
          <w:rFonts w:ascii="Arial" w:cs="Arial" w:eastAsia="Arial" w:hAnsi="Arial"/>
          <w:sz w:val="20"/>
          <w:szCs w:val="20"/>
        </w:rPr>
        <w:t xml:space="preserve">Assign weekly content owners from the marketing committee — who’s writing copy, who’s filming Reels, who’s managing Stories.</w:t>
      </w:r>
    </w:p>
    <w:p>
      <w:pPr>
        <w:pStyle w:val="ListParagraph"/>
        <w:numPr>
          <w:ilvl w:val="0"/>
          <w:numId w:val="4"/>
        </w:numPr>
        <w:spacing w:after="80"/>
      </w:pPr>
      <w:r>
        <w:rPr>
          <w:rFonts w:ascii="Arial" w:cs="Arial" w:eastAsia="Arial" w:hAnsi="Arial"/>
          <w:b/>
          <w:bCs/>
          <w:sz w:val="20"/>
          <w:szCs w:val="20"/>
        </w:rPr>
        <w:t xml:space="preserve">By March 15: </w:t>
      </w:r>
      <w:r>
        <w:rPr>
          <w:rFonts w:ascii="Arial" w:cs="Arial" w:eastAsia="Arial" w:hAnsi="Arial"/>
          <w:sz w:val="20"/>
          <w:szCs w:val="20"/>
        </w:rPr>
        <w:t xml:space="preserve">Batch-produce graphics for Weeks 1–4 to stay ahead of the calendar.</w:t>
      </w:r>
    </w:p>
    <w:p>
      <w:pPr>
        <w:pStyle w:val="ListParagraph"/>
        <w:numPr>
          <w:ilvl w:val="0"/>
          <w:numId w:val="4"/>
        </w:numPr>
        <w:spacing w:after="80"/>
      </w:pPr>
      <w:r>
        <w:rPr>
          <w:rFonts w:ascii="Arial" w:cs="Arial" w:eastAsia="Arial" w:hAnsi="Arial"/>
          <w:b/>
          <w:bCs/>
          <w:sz w:val="20"/>
          <w:szCs w:val="20"/>
        </w:rPr>
        <w:t xml:space="preserve">By April 1: </w:t>
      </w:r>
      <w:r>
        <w:rPr>
          <w:rFonts w:ascii="Arial" w:cs="Arial" w:eastAsia="Arial" w:hAnsi="Arial"/>
          <w:sz w:val="20"/>
          <w:szCs w:val="20"/>
        </w:rPr>
        <w:t xml:space="preserve">Coordinate with Jade Elephant on cross-promotion — agree on what they’ll share and when.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Revv52 — Classical Collision Campaign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A3B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A3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2026-03-01T17:09:50.680Z</dcterms:created>
  <dcterms:modified xsi:type="dcterms:W3CDTF">2026-03-01T17:09:50.681Z</dcterms:modified>
</cp:coreProperties>
</file>

<file path=docProps/custom.xml><?xml version="1.0" encoding="utf-8"?>
<Properties xmlns="http://schemas.openxmlformats.org/officeDocument/2006/custom-properties" xmlns:vt="http://schemas.openxmlformats.org/officeDocument/2006/docPropsVTypes"/>
</file>