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sz w:val="40"/>
        </w:rPr>
        <w:t>Synthetic Case Direction</w:t>
      </w:r>
    </w:p>
    <w:p>
      <w:pPr>
        <w:spacing w:after="200"/>
      </w:pPr>
      <w:r>
        <w:rPr>
          <w:rFonts w:ascii="Aptos" w:hAnsi="Aptos"/>
          <w:b w:val="0"/>
          <w:color w:val="505050"/>
          <w:sz w:val="20"/>
        </w:rPr>
        <w:t>Jeremy Heartwell and Elena Sadić</w:t>
      </w:r>
    </w:p>
    <w:p>
      <w:r>
        <w:rPr>
          <w:rFonts w:ascii="Aptos" w:hAnsi="Aptos"/>
          <w:b/>
          <w:sz w:val="21"/>
        </w:rPr>
        <w:t xml:space="preserve">Purpose. </w:t>
      </w:r>
      <w:r>
        <w:rPr>
          <w:rFonts w:ascii="Aptos" w:hAnsi="Aptos"/>
          <w:b w:val="0"/>
          <w:sz w:val="21"/>
        </w:rPr>
        <w:t>This is a fictional planning outline for future demonstration scripts, text to speech recordings, and HealthScribe processing. It is not clinical guidance and it does not seed the application.</w:t>
      </w:r>
    </w:p>
    <w:p>
      <w:pPr>
        <w:pStyle w:val="Heading1"/>
      </w:pPr>
      <w:r>
        <w:rPr>
          <w:rFonts w:ascii="Aptos" w:hAnsi="Aptos"/>
          <w:b/>
          <w:sz w:val="28"/>
        </w:rPr>
        <w:t>Case foundation</w:t>
      </w:r>
    </w:p>
    <w:tbl>
      <w:tblPr>
        <w:tblStyle w:val="TableGrid"/>
        <w:tblW w:type="auto" w:w="0"/>
        <w:tblLayout w:type="fixed"/>
        <w:tblLook w:firstColumn="1" w:firstRow="1" w:lastColumn="0" w:lastRow="0" w:noHBand="0" w:noVBand="1" w:val="04A0"/>
      </w:tblPr>
      <w:tblGrid>
        <w:gridCol w:w="2160"/>
        <w:gridCol w:w="8496"/>
      </w:tblGrid>
      <w:tr>
        <w:tc>
          <w:tcPr>
            <w:tcW w:type="dxa" w:w="2160"/>
            <w:shd w:fill="F3F5F4"/>
            <w:vAlign w:val="center"/>
          </w:tcPr>
          <w:p>
            <w:r>
              <w:rPr>
                <w:rFonts w:ascii="Aptos" w:hAnsi="Aptos"/>
                <w:b/>
                <w:sz w:val="18"/>
              </w:rPr>
              <w:t>Therapist</w:t>
            </w:r>
          </w:p>
        </w:tc>
        <w:tc>
          <w:tcPr>
            <w:tcW w:type="dxa" w:w="8496"/>
            <w:shd w:fill="F3F5F4"/>
          </w:tcPr>
          <w:p>
            <w:r>
              <w:rPr>
                <w:rFonts w:ascii="Aptos" w:hAnsi="Aptos"/>
                <w:b w:val="0"/>
                <w:sz w:val="18"/>
              </w:rPr>
              <w:t>Jeremy Heartwell, LCSW. A calm, direct outpatient therapist whose style is collaborative and practical. He uses reflective questions, summarizes accurately, and works at a measured pace rather than offering quick reassurance.</w:t>
            </w:r>
          </w:p>
        </w:tc>
      </w:tr>
      <w:tr>
        <w:tc>
          <w:tcPr>
            <w:tcW w:type="dxa" w:w="2160"/>
            <w:vAlign w:val="center"/>
          </w:tcPr>
          <w:p>
            <w:r>
              <w:rPr>
                <w:rFonts w:ascii="Aptos" w:hAnsi="Aptos"/>
                <w:b/>
                <w:sz w:val="18"/>
              </w:rPr>
              <w:t>Client</w:t>
            </w:r>
          </w:p>
        </w:tc>
        <w:tc>
          <w:tcPr>
            <w:tcW w:type="dxa" w:w="8496"/>
          </w:tcPr>
          <w:p>
            <w:r>
              <w:rPr>
                <w:rFonts w:ascii="Aptos" w:hAnsi="Aptos"/>
                <w:b w:val="0"/>
                <w:sz w:val="18"/>
              </w:rPr>
              <w:t>Elena Sadić, 34. A public interest attorney who is competent and highly regarded at work, but has become increasingly exhausted as a demanding caseload and family obligations have narrowed her time for sleep, relationships, and recovery.</w:t>
            </w:r>
          </w:p>
        </w:tc>
      </w:tr>
      <w:tr>
        <w:tc>
          <w:tcPr>
            <w:tcW w:type="dxa" w:w="2160"/>
            <w:shd w:fill="F3F5F4"/>
            <w:vAlign w:val="center"/>
          </w:tcPr>
          <w:p>
            <w:r>
              <w:rPr>
                <w:rFonts w:ascii="Aptos" w:hAnsi="Aptos"/>
                <w:b/>
                <w:sz w:val="18"/>
              </w:rPr>
              <w:t>Frame</w:t>
            </w:r>
          </w:p>
        </w:tc>
        <w:tc>
          <w:tcPr>
            <w:tcW w:type="dxa" w:w="8496"/>
            <w:shd w:fill="F3F5F4"/>
          </w:tcPr>
          <w:p>
            <w:r>
              <w:rPr>
                <w:rFonts w:ascii="Aptos" w:hAnsi="Aptos"/>
                <w:b w:val="0"/>
                <w:sz w:val="18"/>
              </w:rPr>
              <w:t>A weekly 50 minute outpatient relationship in progress: six completed sessions across roughly seven weeks, with eight future weekly appointments scheduled. The fictional storyline supports believable longitudinal review without presenting a diagnosis or a resolved outcome.</w:t>
            </w:r>
          </w:p>
        </w:tc>
      </w:tr>
    </w:tbl>
    <w:p>
      <w:pPr>
        <w:pStyle w:val="Heading1"/>
        <w:spacing w:before="200"/>
      </w:pPr>
      <w:r>
        <w:rPr>
          <w:rFonts w:ascii="Aptos" w:hAnsi="Aptos"/>
          <w:b/>
          <w:sz w:val="26"/>
        </w:rPr>
        <w:t>General direction</w:t>
      </w:r>
    </w:p>
    <w:p>
      <w:r>
        <w:rPr>
          <w:rFonts w:ascii="Aptos" w:hAnsi="Aptos"/>
          <w:b w:val="0"/>
          <w:sz w:val="21"/>
        </w:rPr>
        <w:t>Elena begins treatment after several months of sustained strain rather than a single dramatic event. She can still meet outward obligations, but increasingly does so by working late, cancelling restorative plans, and treating ordinary uncertainty as evidence that she is falling behind. Her sleep is uneven, she is more irritable with her partner, and she avoids conversations about workload because she worries that asking for help will expose her as inadequate. Earlier brief therapy in graduate school was useful, but this is the first time she has sought support around a pattern tied to her identity as a reliable, high-performing person.</w:t>
      </w:r>
    </w:p>
    <w:p>
      <w:r>
        <w:rPr>
          <w:rFonts w:ascii="Aptos" w:hAnsi="Aptos"/>
          <w:b w:val="0"/>
          <w:sz w:val="21"/>
        </w:rPr>
        <w:t>Across the first six sessions, Jeremy and Elena move from naming immediate exhaustion toward examining the standards and fears that maintain it. Elena has disclosed intermittent thoughts of self-harm during periods of intense overwhelm, without acting on them; Jeremy responds calmly and directly, revisits current status rather than treating a past disclosure as permanently current, and the case includes collaborative safety planning and attention to supports. The sessions do not show a simple recovery curve. Elena has credible gains, such as clearer communication and more regular rest, alongside setbacks during a major case deadline and family pressure. The next two months should remain open: a project launch offers a natural test of which changes hold up, what becomes harder, and what needs to be revisited.</w:t>
      </w:r>
    </w:p>
    <w:p>
      <w:pPr>
        <w:pStyle w:val="Heading1"/>
        <w:spacing w:before="200"/>
      </w:pPr>
      <w:r>
        <w:rPr>
          <w:rFonts w:ascii="Aptos" w:hAnsi="Aptos"/>
          <w:b/>
          <w:sz w:val="26"/>
        </w:rPr>
        <w:t>Snapshot timeline</w:t>
      </w:r>
    </w:p>
    <w:p>
      <w:pPr>
        <w:ind w:left="173" w:hanging="173"/>
      </w:pPr>
      <w:r>
        <w:rPr>
          <w:rFonts w:ascii="Aptos" w:hAnsi="Aptos"/>
          <w:b/>
          <w:sz w:val="19"/>
        </w:rPr>
        <w:t xml:space="preserve">Completed sessions 1 and 2: </w:t>
      </w:r>
      <w:r>
        <w:rPr>
          <w:rFonts w:ascii="Aptos" w:hAnsi="Aptos"/>
          <w:b w:val="0"/>
          <w:sz w:val="21"/>
        </w:rPr>
        <w:t>Establish the alliance, map sleep disruption, overwork, and withdrawal, and begin a direct but non-alarmist conversation about Elena's intermittent self-harm thoughts and available supports.</w:t>
      </w:r>
    </w:p>
    <w:p>
      <w:pPr>
        <w:ind w:left="173" w:hanging="173"/>
      </w:pPr>
      <w:r>
        <w:rPr>
          <w:rFonts w:ascii="Aptos" w:hAnsi="Aptos"/>
          <w:b/>
          <w:sz w:val="19"/>
        </w:rPr>
        <w:t xml:space="preserve">Completed sessions 3 and 4: </w:t>
      </w:r>
      <w:r>
        <w:rPr>
          <w:rFonts w:ascii="Aptos" w:hAnsi="Aptos"/>
          <w:b w:val="0"/>
          <w:sz w:val="21"/>
        </w:rPr>
        <w:t>Track the cycle of uncertainty, self-criticism, overwork, and depletion. Introduce small experiments in breaks, sleep protection, clearer communication, and a collaboratively reviewed safety plan.</w:t>
      </w:r>
    </w:p>
    <w:p>
      <w:pPr>
        <w:ind w:left="173" w:hanging="173"/>
      </w:pPr>
      <w:r>
        <w:rPr>
          <w:rFonts w:ascii="Aptos" w:hAnsi="Aptos"/>
          <w:b/>
          <w:sz w:val="19"/>
        </w:rPr>
        <w:t xml:space="preserve">Completed sessions 5 and 6: </w:t>
      </w:r>
      <w:r>
        <w:rPr>
          <w:rFonts w:ascii="Aptos" w:hAnsi="Aptos"/>
          <w:b w:val="0"/>
          <w:sz w:val="21"/>
        </w:rPr>
        <w:t>Show uneven early gains and a setback during a difficult deadline. Elena starts identifying warning signs earlier and practices repair rather than framing a hard week as total failure.</w:t>
      </w:r>
    </w:p>
    <w:p>
      <w:pPr>
        <w:ind w:left="173" w:hanging="173"/>
      </w:pPr>
      <w:r>
        <w:rPr>
          <w:rFonts w:ascii="Aptos" w:hAnsi="Aptos"/>
          <w:b/>
          <w:sz w:val="19"/>
        </w:rPr>
        <w:t xml:space="preserve">Scheduled weeks 1 through 4: </w:t>
      </w:r>
      <w:r>
        <w:rPr>
          <w:rFonts w:ascii="Aptos" w:hAnsi="Aptos"/>
          <w:b w:val="0"/>
          <w:sz w:val="21"/>
        </w:rPr>
        <w:t>Build more confident boundary and communication practice at work and at home. Let one or two experiments have mixed results so the case remains grounded and useful for trend review.</w:t>
      </w:r>
    </w:p>
    <w:p>
      <w:pPr>
        <w:ind w:left="173" w:hanging="173"/>
      </w:pPr>
      <w:r>
        <w:rPr>
          <w:rFonts w:ascii="Aptos" w:hAnsi="Aptos"/>
          <w:b/>
          <w:sz w:val="19"/>
        </w:rPr>
        <w:t xml:space="preserve">Scheduled weeks 5 through 8: </w:t>
      </w:r>
      <w:r>
        <w:rPr>
          <w:rFonts w:ascii="Aptos" w:hAnsi="Aptos"/>
          <w:b w:val="0"/>
          <w:sz w:val="21"/>
        </w:rPr>
        <w:t>Use a project launch to review patterns over time, identify durable supports, and name open questions about sustainable workload, partnership communication, rest, and current safety.</w:t>
      </w:r>
    </w:p>
    <w:p>
      <w:pPr>
        <w:spacing w:before="120"/>
      </w:pPr>
      <w:r>
        <w:rPr>
          <w:rFonts w:ascii="Aptos" w:hAnsi="Aptos"/>
          <w:b w:val="0"/>
          <w:color w:val="505050"/>
          <w:sz w:val="18"/>
        </w:rPr>
        <w:t>All names, events, and clinical material in this outline are fictional and intended only for product demonstration.</w:t>
      </w:r>
    </w:p>
    <w:sectPr w:rsidR="00FC693F" w:rsidRPr="0006063C" w:rsidSect="00034616">
      <w:pgSz w:w="12240" w:h="15840"/>
      <w:pgMar w:top="864"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Case Direction</dc:title>
  <dc:subject/>
  <dc:creator>Therapist Dashboard Software</dc:creator>
  <cp:keywords/>
  <dc:description>generated by python-docx</dc:description>
  <cp:lastModifiedBy/>
  <cp:revision>1</cp:revision>
  <dcterms:created xsi:type="dcterms:W3CDTF">2013-12-23T23:15:00Z</dcterms:created>
  <dcterms:modified xsi:type="dcterms:W3CDTF">2013-12-23T23:15:00Z</dcterms:modified>
  <cp:category/>
</cp:coreProperties>
</file>