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Avery Chen Client Intake and Preferences</w:t>
      </w:r>
    </w:p>
    <w:p>
      <w:pPr>
        <w:spacing w:after="140"/>
      </w:pPr>
      <w:r>
        <w:rPr>
          <w:color w:val="4A5560"/>
          <w:sz w:val="22"/>
        </w:rPr>
        <w:t>A fictional starting record for testing client onboarding, therapist connection, scheduling, and document workflows.</w:t>
      </w:r>
    </w:p>
    <w:p>
      <w:pPr>
        <w:pStyle w:val="Heading1"/>
      </w:pPr>
      <w:r>
        <w:t>Account and care relationship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Avery Chen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Client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Sign in email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avery.chen@example.com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Account state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Fictional development fixture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Auth0 subject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Populate after development account creation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Clinical fixture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See the separate trajectory outline and session plan</w:t>
            </w:r>
          </w:p>
        </w:tc>
      </w:tr>
    </w:tbl>
    <w:p>
      <w:pPr>
        <w:pStyle w:val="Heading1"/>
      </w:pPr>
      <w:r>
        <w:t>Starting context</w:t>
      </w:r>
    </w:p>
    <w:p>
      <w:r>
        <w:t>Caregiving demands and family communication have made it difficult to maintain personal routines.</w:t>
      </w:r>
    </w:p>
    <w:p>
      <w:pPr>
        <w:pStyle w:val="Heading2"/>
      </w:pPr>
      <w:r>
        <w:t>Initial goals</w:t>
      </w:r>
    </w:p>
    <w:p>
      <w:pPr>
        <w:pStyle w:val="ListBullet"/>
        <w:spacing w:after="40"/>
      </w:pPr>
      <w:r>
        <w:t>Clarify which caregiving responsibilities can be shared</w:t>
      </w:r>
    </w:p>
    <w:p>
      <w:pPr>
        <w:pStyle w:val="ListBullet"/>
        <w:spacing w:after="40"/>
      </w:pPr>
      <w:r>
        <w:t>Prepare for calmer conversations about limits and support</w:t>
      </w:r>
    </w:p>
    <w:p>
      <w:pPr>
        <w:pStyle w:val="ListBullet"/>
        <w:spacing w:after="40"/>
      </w:pPr>
      <w:r>
        <w:t>Rebuild one dependable weekly activity for rest</w:t>
      </w:r>
    </w:p>
    <w:p>
      <w:pPr>
        <w:pStyle w:val="Heading1"/>
      </w:pPr>
      <w:r>
        <w:t>Scheduling and communication preferences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Session format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In person preferred; telehealth acceptable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Appointment time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Weekday mornings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Reminders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Email 48 hours before a session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Email for scheduling only; no clinical details by email</w:t>
            </w:r>
          </w:p>
        </w:tc>
      </w:tr>
    </w:tbl>
    <w:p>
      <w:pPr>
        <w:pStyle w:val="Heading1"/>
      </w:pPr>
      <w:r>
        <w:t>Demo workflow notes</w:t>
      </w:r>
    </w:p>
    <w:p>
      <w:pPr>
        <w:pStyle w:val="ListBullet"/>
        <w:spacing w:after="40"/>
      </w:pPr>
      <w:r>
        <w:t>Create the Auth0 identity with the sign in email, then copy the issued subject into the account fixture.</w:t>
      </w:r>
    </w:p>
    <w:p>
      <w:pPr>
        <w:pStyle w:val="ListBullet"/>
        <w:spacing w:after="40"/>
      </w:pPr>
      <w:r>
        <w:t>Connect the client to a therapist only through the application's invitation or approval workflow.</w:t>
      </w:r>
    </w:p>
    <w:p>
      <w:pPr>
        <w:pStyle w:val="ListBullet"/>
        <w:spacing w:after="40"/>
      </w:pPr>
      <w:r>
        <w:t>Keep passwords, tokens, diagnoses, session content, and signed forms out of Auth0 metadata and tokens.</w:t>
      </w:r>
    </w:p>
    <w:sectPr w:rsidR="00FC693F" w:rsidRPr="0006063C" w:rsidSect="00034616">
      <w:footerReference w:type="default" r:id="rId9"/>
      <w:pgSz w:w="12240" w:h="15840"/>
      <w:pgMar w:top="749" w:right="1152" w:bottom="74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0"/>
        <w:sz w:val="15"/>
      </w:rPr>
      <w:t>Fictional demonstration record - not valid for identity or license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Chen Client Intake and Preferences</dc:title>
  <dc:subject>Fictional client onboarding and care-preference example</dc:subject>
  <dc:creator>Therapist Dashboard Demo</dc:creator>
  <cp:keywords>fictional demo account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