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Display" w:hAnsi="Aptos Display"/>
          <w:b/>
          <w:color w:val="24313A"/>
          <w:sz w:val="52"/>
        </w:rPr>
        <w:t>Jordan Kim Clinical Trajectory Outline</w:t>
      </w:r>
    </w:p>
    <w:p>
      <w:pPr>
        <w:pStyle w:val="Subtitle"/>
      </w:pPr>
      <w:r>
        <w:rPr>
          <w:rFonts w:ascii="Aptos" w:hAnsi="Aptos"/>
          <w:color w:val="65737D"/>
          <w:sz w:val="21"/>
        </w:rPr>
        <w:t>Fictional client character, session arc, and synthetic voice-test direction</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1296"/>
            <w:vAlign w:val="center"/>
            <w:shd w:fill="F5F0E8"/>
            <w:tcMar>
              <w:top w:w="100" w:type="dxa"/>
              <w:start w:w="80" w:type="dxa"/>
              <w:bottom w:w="100" w:type="dxa"/>
              <w:end w:w="80" w:type="dxa"/>
            </w:tcMar>
          </w:tcPr>
          <w:p>
            <w:pPr>
              <w:spacing w:after="20"/>
              <w:jc w:val="center"/>
            </w:pPr>
            <w:r>
              <w:rPr>
                <w:rFonts w:ascii="Aptos" w:hAnsi="Aptos"/>
                <w:b/>
                <w:color w:val="377A78"/>
                <w:sz w:val="15"/>
              </w:rPr>
              <w:t>AGE</w:t>
            </w:r>
          </w:p>
          <w:p>
            <w:pPr>
              <w:spacing w:after="0"/>
              <w:jc w:val="center"/>
            </w:pPr>
            <w:r>
              <w:rPr>
                <w:rFonts w:ascii="Aptos" w:hAnsi="Aptos"/>
                <w:b/>
                <w:color w:val="24313A"/>
                <w:sz w:val="17"/>
              </w:rPr>
              <w:t>32</w:t>
            </w:r>
          </w:p>
        </w:tc>
        <w:tc>
          <w:tcPr>
            <w:tcW w:type="dxa" w:w="3384"/>
            <w:vAlign w:val="center"/>
            <w:shd w:fill="F5F0E8"/>
            <w:tcMar>
              <w:top w:w="100" w:type="dxa"/>
              <w:start w:w="80" w:type="dxa"/>
              <w:bottom w:w="100" w:type="dxa"/>
              <w:end w:w="80" w:type="dxa"/>
            </w:tcMar>
          </w:tcPr>
          <w:p>
            <w:pPr>
              <w:spacing w:after="20"/>
              <w:jc w:val="center"/>
            </w:pPr>
            <w:r>
              <w:rPr>
                <w:rFonts w:ascii="Aptos" w:hAnsi="Aptos"/>
                <w:b/>
                <w:color w:val="377A78"/>
                <w:sz w:val="15"/>
              </w:rPr>
              <w:t>SETTING</w:t>
            </w:r>
          </w:p>
          <w:p>
            <w:pPr>
              <w:spacing w:after="0"/>
              <w:jc w:val="center"/>
            </w:pPr>
            <w:r>
              <w:rPr>
                <w:rFonts w:ascii="Aptos" w:hAnsi="Aptos"/>
                <w:b/>
                <w:color w:val="24313A"/>
                <w:sz w:val="17"/>
              </w:rPr>
              <w:t>Outpatient individual therapy</w:t>
            </w:r>
          </w:p>
        </w:tc>
        <w:tc>
          <w:tcPr>
            <w:tcW w:type="dxa" w:w="1656"/>
            <w:vAlign w:val="center"/>
            <w:shd w:fill="F5F0E8"/>
            <w:tcMar>
              <w:top w:w="100" w:type="dxa"/>
              <w:start w:w="80" w:type="dxa"/>
              <w:bottom w:w="100" w:type="dxa"/>
              <w:end w:w="80" w:type="dxa"/>
            </w:tcMar>
          </w:tcPr>
          <w:p>
            <w:pPr>
              <w:spacing w:after="20"/>
              <w:jc w:val="center"/>
            </w:pPr>
            <w:r>
              <w:rPr>
                <w:rFonts w:ascii="Aptos" w:hAnsi="Aptos"/>
                <w:b/>
                <w:color w:val="377A78"/>
                <w:sz w:val="15"/>
              </w:rPr>
              <w:t>ARC</w:t>
            </w:r>
          </w:p>
          <w:p>
            <w:pPr>
              <w:spacing w:after="0"/>
              <w:jc w:val="center"/>
            </w:pPr>
            <w:r>
              <w:rPr>
                <w:rFonts w:ascii="Aptos" w:hAnsi="Aptos"/>
                <w:b/>
                <w:color w:val="24313A"/>
                <w:sz w:val="17"/>
              </w:rPr>
              <w:t>6 sessions</w:t>
            </w:r>
          </w:p>
        </w:tc>
        <w:tc>
          <w:tcPr>
            <w:tcW w:type="dxa" w:w="2952"/>
            <w:vAlign w:val="center"/>
            <w:shd w:fill="F5F0E8"/>
            <w:tcMar>
              <w:top w:w="100" w:type="dxa"/>
              <w:start w:w="80" w:type="dxa"/>
              <w:bottom w:w="100" w:type="dxa"/>
              <w:end w:w="80" w:type="dxa"/>
            </w:tcMar>
          </w:tcPr>
          <w:p>
            <w:pPr>
              <w:spacing w:after="20"/>
              <w:jc w:val="center"/>
            </w:pPr>
            <w:r>
              <w:rPr>
                <w:rFonts w:ascii="Aptos" w:hAnsi="Aptos"/>
                <w:b/>
                <w:color w:val="377A78"/>
                <w:sz w:val="15"/>
              </w:rPr>
              <w:t>COMPLEXITY</w:t>
            </w:r>
          </w:p>
          <w:p>
            <w:pPr>
              <w:spacing w:after="0"/>
              <w:jc w:val="center"/>
            </w:pPr>
            <w:r>
              <w:rPr>
                <w:rFonts w:ascii="Aptos" w:hAnsi="Aptos"/>
                <w:b/>
                <w:color w:val="24313A"/>
                <w:sz w:val="17"/>
              </w:rPr>
              <w:t>Lower acuity</w:t>
            </w:r>
          </w:p>
        </w:tc>
      </w:tr>
    </w:tbl>
    <w:p>
      <w:pPr>
        <w:pStyle w:val="Heading1"/>
      </w:pPr>
      <w:r>
        <w:t>Use and interpretation</w:t>
      </w:r>
    </w:p>
    <w:p>
      <w:pPr>
        <w:keepNext w:val="0"/>
        <w:spacing w:after="100"/>
      </w:pPr>
      <w:r>
        <w:rPr>
          <w:rFonts w:ascii="Aptos" w:hAnsi="Aptos"/>
          <w:color w:val="24313A"/>
        </w:rPr>
        <w:t>This fictional composite supports product demonstrations, transcript evaluation, diarization tests, and longitudinal-synthesis review. It is not a diagnosis, risk determination, or treatment recommendation. Generated clinical claims must remain reviewable and linked to their fictional source sessions.</w:t>
      </w:r>
    </w:p>
    <w:p>
      <w:pPr>
        <w:pStyle w:val="Heading1"/>
      </w:pPr>
      <w:r>
        <w:t>Character snapshot</w:t>
      </w:r>
    </w:p>
    <w:p>
      <w:pPr>
        <w:keepNext w:val="0"/>
        <w:spacing w:after="100"/>
      </w:pPr>
      <w:r>
        <w:rPr>
          <w:rFonts w:ascii="Aptos" w:hAnsi="Aptos"/>
          <w:b/>
          <w:color w:val="377A78"/>
        </w:rPr>
        <w:t xml:space="preserve">Identity </w:t>
      </w:r>
      <w:r>
        <w:rPr>
          <w:rFonts w:ascii="Aptos" w:hAnsi="Aptos"/>
          <w:color w:val="24313A"/>
        </w:rPr>
        <w:t>Jordan Kim; age 32; Korean American; nonbinary; they/them.</w:t>
      </w:r>
    </w:p>
    <w:p>
      <w:pPr>
        <w:keepNext w:val="0"/>
        <w:spacing w:after="100"/>
      </w:pPr>
      <w:r>
        <w:rPr>
          <w:rFonts w:ascii="Aptos" w:hAnsi="Aptos"/>
          <w:b/>
          <w:color w:val="377A78"/>
        </w:rPr>
        <w:t xml:space="preserve">Current life </w:t>
      </w:r>
      <w:r>
        <w:rPr>
          <w:rFonts w:ascii="Aptos" w:hAnsi="Aptos"/>
          <w:color w:val="24313A"/>
        </w:rPr>
        <w:t>Product designer living alone and working on a fast-moving remote team.</w:t>
      </w:r>
    </w:p>
    <w:p>
      <w:pPr>
        <w:keepNext w:val="0"/>
        <w:spacing w:after="100"/>
      </w:pPr>
      <w:r>
        <w:rPr>
          <w:rFonts w:ascii="Aptos" w:hAnsi="Aptos"/>
          <w:b/>
          <w:color w:val="377A78"/>
        </w:rPr>
        <w:t xml:space="preserve">Reason for beginning therapy </w:t>
      </w:r>
      <w:r>
        <w:rPr>
          <w:rFonts w:ascii="Aptos" w:hAnsi="Aptos"/>
          <w:color w:val="24313A"/>
        </w:rPr>
        <w:t>Work pressure is disrupting sleep, recovery time, and confidence in everyday decisions.</w:t>
      </w:r>
    </w:p>
    <w:p>
      <w:pPr>
        <w:keepNext w:val="0"/>
        <w:spacing w:after="100"/>
      </w:pPr>
      <w:r>
        <w:rPr>
          <w:rFonts w:ascii="Aptos" w:hAnsi="Aptos"/>
          <w:b/>
          <w:color w:val="377A78"/>
        </w:rPr>
        <w:t xml:space="preserve">Core tension </w:t>
      </w:r>
      <w:r>
        <w:rPr>
          <w:rFonts w:ascii="Aptos" w:hAnsi="Aptos"/>
          <w:color w:val="24313A"/>
        </w:rPr>
        <w:t>Rest feels irresponsible unless every task is complete, but the definition of complete keeps moving.</w:t>
      </w:r>
    </w:p>
    <w:p>
      <w:pPr>
        <w:keepNext w:val="0"/>
        <w:spacing w:after="100"/>
      </w:pPr>
      <w:r>
        <w:rPr>
          <w:rFonts w:ascii="Aptos" w:hAnsi="Aptos"/>
          <w:b/>
          <w:color w:val="377A78"/>
        </w:rPr>
        <w:t xml:space="preserve">Strengths </w:t>
      </w:r>
      <w:r>
        <w:rPr>
          <w:rFonts w:ascii="Aptos" w:hAnsi="Aptos"/>
          <w:color w:val="24313A"/>
        </w:rPr>
        <w:t>Curious, observant, collaborative, financially stable, connected to two close friends, and willing to test small changes.</w:t>
      </w:r>
    </w:p>
    <w:p>
      <w:pPr>
        <w:pStyle w:val="Heading1"/>
      </w:pPr>
      <w:r>
        <w:t>Backstory</w:t>
      </w:r>
    </w:p>
    <w:p>
      <w:pPr>
        <w:keepNext w:val="0"/>
        <w:spacing w:after="100"/>
      </w:pPr>
      <w:r>
        <w:rPr>
          <w:rFonts w:ascii="Aptos" w:hAnsi="Aptos"/>
          <w:color w:val="24313A"/>
        </w:rPr>
        <w:t>Jordan built a career by being quick, responsive, and unusually good at anticipating revisions. A recent promotion brought more autonomy but also ambiguous expectations and constant visibility across time zones.</w:t>
      </w:r>
    </w:p>
    <w:p>
      <w:pPr>
        <w:keepNext w:val="0"/>
        <w:spacing w:after="100"/>
      </w:pPr>
      <w:r>
        <w:rPr>
          <w:rFonts w:ascii="Aptos" w:hAnsi="Aptos"/>
          <w:color w:val="24313A"/>
        </w:rPr>
        <w:t>They began checking work messages in bed and waking before dawn with an internal list already running. Nothing dramatic has collapsed, yet ordinary choices now feel loaded and weekends have become recovery periods rather than a life of their own.</w:t>
      </w:r>
    </w:p>
    <w:p>
      <w:pPr>
        <w:pStyle w:val="Heading1"/>
      </w:pPr>
      <w:r>
        <w:t>Presenting themes for scripted sessions</w:t>
      </w:r>
    </w:p>
    <w:p>
      <w:pPr>
        <w:pStyle w:val="ListBullet"/>
        <w:spacing w:after="50"/>
      </w:pPr>
      <w:r>
        <w:rPr>
          <w:rFonts w:ascii="Aptos" w:hAnsi="Aptos"/>
          <w:color w:val="24313A"/>
          <w:sz w:val="20"/>
        </w:rPr>
        <w:t>Performance-based self-worth and difficulty recognizing a sufficient stopping point.</w:t>
      </w:r>
    </w:p>
    <w:p>
      <w:pPr>
        <w:pStyle w:val="ListBullet"/>
        <w:spacing w:after="50"/>
      </w:pPr>
      <w:r>
        <w:rPr>
          <w:rFonts w:ascii="Aptos" w:hAnsi="Aptos"/>
          <w:color w:val="24313A"/>
          <w:sz w:val="20"/>
        </w:rPr>
        <w:t>Sleep disruption maintained by late work, anticipatory checking, and self-criticism.</w:t>
      </w:r>
    </w:p>
    <w:p>
      <w:pPr>
        <w:pStyle w:val="ListBullet"/>
        <w:spacing w:after="50"/>
      </w:pPr>
      <w:r>
        <w:rPr>
          <w:rFonts w:ascii="Aptos" w:hAnsi="Aptos"/>
          <w:color w:val="24313A"/>
          <w:sz w:val="20"/>
        </w:rPr>
        <w:t>Avoidance of direct expectation-setting with a manager.</w:t>
      </w:r>
    </w:p>
    <w:p>
      <w:pPr>
        <w:pStyle w:val="ListBullet"/>
        <w:spacing w:after="50"/>
      </w:pPr>
      <w:r>
        <w:rPr>
          <w:rFonts w:ascii="Aptos" w:hAnsi="Aptos"/>
          <w:color w:val="24313A"/>
          <w:sz w:val="20"/>
        </w:rPr>
        <w:t>A wish to reclaim creativity and friendship without turning either into another goal.</w:t>
      </w:r>
    </w:p>
    <w:p>
      <w:r>
        <w:br w:type="page"/>
      </w:r>
    </w:p>
    <w:p>
      <w:pPr>
        <w:pStyle w:val="Heading1"/>
      </w:pPr>
      <w:r>
        <w:t>Clinical framing</w:t>
      </w:r>
    </w:p>
    <w:p>
      <w:pPr>
        <w:keepNext w:val="0"/>
        <w:spacing w:after="100"/>
      </w:pPr>
      <w:r>
        <w:rPr>
          <w:rFonts w:ascii="Aptos" w:hAnsi="Aptos"/>
          <w:color w:val="24313A"/>
        </w:rPr>
        <w:t>The framing below is intentionally tentative. A therapist in the script checks whether an observation fits, uses current information, and preserves the client's ability to disagree or revise the account.</w:t>
      </w:r>
    </w:p>
    <w:p>
      <w:pPr>
        <w:keepNext w:val="0"/>
        <w:spacing w:after="100"/>
      </w:pPr>
      <w:r>
        <w:rPr>
          <w:rFonts w:ascii="Aptos" w:hAnsi="Aptos"/>
          <w:b/>
          <w:color w:val="377A78"/>
        </w:rPr>
        <w:t xml:space="preserve">Working formulation </w:t>
      </w:r>
      <w:r>
        <w:rPr>
          <w:rFonts w:ascii="Aptos" w:hAnsi="Aptos"/>
          <w:color w:val="24313A"/>
        </w:rPr>
        <w:t>Jordan's distress may be maintained by ambiguous workplace expectations, threat-focused checking, inconsistent recovery, and a belief that visible availability prevents disappointment.</w:t>
      </w:r>
    </w:p>
    <w:p>
      <w:pPr>
        <w:keepNext w:val="0"/>
        <w:spacing w:after="100"/>
      </w:pPr>
      <w:r>
        <w:rPr>
          <w:rFonts w:ascii="Aptos" w:hAnsi="Aptos"/>
          <w:b/>
          <w:color w:val="377A78"/>
        </w:rPr>
        <w:t xml:space="preserve">Protective factors and supports </w:t>
      </w:r>
      <w:r>
        <w:rPr>
          <w:rFonts w:ascii="Aptos" w:hAnsi="Aptos"/>
          <w:color w:val="24313A"/>
        </w:rPr>
        <w:t>Stable housing, supportive friends, reflective capacity, meaningful creative interests, and no current indication of acute safety concerns in the fictional arc.</w:t>
      </w:r>
    </w:p>
    <w:p>
      <w:pPr>
        <w:keepNext w:val="0"/>
        <w:spacing w:after="100"/>
      </w:pPr>
      <w:r>
        <w:rPr>
          <w:rFonts w:ascii="Aptos" w:hAnsi="Aptos"/>
          <w:b/>
          <w:color w:val="377A78"/>
        </w:rPr>
        <w:t xml:space="preserve">Relational pattern in therapy </w:t>
      </w:r>
      <w:r>
        <w:rPr>
          <w:rFonts w:ascii="Aptos" w:hAnsi="Aptos"/>
          <w:color w:val="24313A"/>
        </w:rPr>
        <w:t>Jordan is polite and analytically fluent, then becomes more spontaneous when they trust that uncertainty will not be graded.</w:t>
      </w:r>
    </w:p>
    <w:p>
      <w:pPr>
        <w:keepNext w:val="0"/>
        <w:spacing w:after="100"/>
      </w:pPr>
      <w:r>
        <w:rPr>
          <w:rFonts w:ascii="Aptos" w:hAnsi="Aptos"/>
          <w:b/>
          <w:color w:val="377A78"/>
        </w:rPr>
        <w:t xml:space="preserve">Therapeutic stance </w:t>
      </w:r>
      <w:r>
        <w:rPr>
          <w:rFonts w:ascii="Aptos" w:hAnsi="Aptos"/>
          <w:color w:val="24313A"/>
        </w:rPr>
        <w:t>Collaborative behavioral observation, sleep-supportive routines, values clarification, and rehearsal of specific workplace conversations.</w:t>
      </w:r>
    </w:p>
    <w:p>
      <w:pPr>
        <w:pStyle w:val="Heading1"/>
      </w:pPr>
      <w:r>
        <w:t>Safety and complexity boundaries</w:t>
      </w:r>
    </w:p>
    <w:p>
      <w:pPr>
        <w:pStyle w:val="ListBullet"/>
        <w:spacing w:after="50"/>
      </w:pPr>
      <w:r>
        <w:rPr>
          <w:rFonts w:ascii="Aptos" w:hAnsi="Aptos"/>
          <w:color w:val="24313A"/>
          <w:sz w:val="20"/>
        </w:rPr>
        <w:t>Do not inflate ordinary stress into a hidden disorder or crisis.</w:t>
      </w:r>
    </w:p>
    <w:p>
      <w:pPr>
        <w:pStyle w:val="ListBullet"/>
        <w:spacing w:after="50"/>
      </w:pPr>
      <w:r>
        <w:rPr>
          <w:rFonts w:ascii="Aptos" w:hAnsi="Aptos"/>
          <w:color w:val="24313A"/>
          <w:sz w:val="20"/>
        </w:rPr>
        <w:t>Track sleep and functioning without presenting a generated score as a clinical conclusion.</w:t>
      </w:r>
    </w:p>
    <w:p>
      <w:pPr>
        <w:pStyle w:val="ListBullet"/>
        <w:spacing w:after="50"/>
      </w:pPr>
      <w:r>
        <w:rPr>
          <w:rFonts w:ascii="Aptos" w:hAnsi="Aptos"/>
          <w:color w:val="24313A"/>
          <w:sz w:val="20"/>
        </w:rPr>
        <w:t>Keep improvement partial and believable; workload changes as well as personal habits matter.</w:t>
      </w:r>
    </w:p>
    <w:p>
      <w:pPr>
        <w:pStyle w:val="Heading1"/>
      </w:pPr>
      <w:r>
        <w:t>Overarching trajectory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41"/>
        <w:gridCol w:w="2541"/>
        <w:gridCol w:w="2541"/>
        <w:gridCol w:w="2541"/>
      </w:tblGrid>
      <w:tr>
        <w:trPr>
          <w:tblHeader w:val="true"/>
        </w:trPr>
        <w:tc>
          <w:tcPr>
            <w:tcW w:type="dxa" w:w="792"/>
            <w:shd w:fill="377A78"/>
            <w:tcMar>
              <w:top w:w="90" w:type="dxa"/>
              <w:start w:w="110" w:type="dxa"/>
              <w:bottom w:w="90" w:type="dxa"/>
              <w:end w:w="110" w:type="dxa"/>
            </w:tcMar>
          </w:tcPr>
          <w:p>
            <w:r>
              <w:rPr>
                <w:rFonts w:ascii="Aptos" w:hAnsi="Aptos"/>
                <w:b/>
                <w:color w:val="FFFFFF"/>
                <w:sz w:val="17"/>
              </w:rPr>
              <w:t>Phase</w:t>
            </w:r>
          </w:p>
        </w:tc>
        <w:tc>
          <w:tcPr>
            <w:tcW w:type="dxa" w:w="1224"/>
            <w:shd w:fill="377A78"/>
            <w:tcMar>
              <w:top w:w="90" w:type="dxa"/>
              <w:start w:w="110" w:type="dxa"/>
              <w:bottom w:w="90" w:type="dxa"/>
              <w:end w:w="110" w:type="dxa"/>
            </w:tcMar>
          </w:tcPr>
          <w:p>
            <w:r>
              <w:rPr>
                <w:rFonts w:ascii="Aptos" w:hAnsi="Aptos"/>
                <w:b/>
                <w:color w:val="FFFFFF"/>
                <w:sz w:val="17"/>
              </w:rPr>
              <w:t>Sessions</w:t>
            </w:r>
          </w:p>
        </w:tc>
        <w:tc>
          <w:tcPr>
            <w:tcW w:type="dxa" w:w="4320"/>
            <w:shd w:fill="377A78"/>
            <w:tcMar>
              <w:top w:w="90" w:type="dxa"/>
              <w:start w:w="110" w:type="dxa"/>
              <w:bottom w:w="90" w:type="dxa"/>
              <w:end w:w="110" w:type="dxa"/>
            </w:tcMar>
          </w:tcPr>
          <w:p>
            <w:r>
              <w:rPr>
                <w:rFonts w:ascii="Aptos" w:hAnsi="Aptos"/>
                <w:b/>
                <w:color w:val="FFFFFF"/>
                <w:sz w:val="17"/>
              </w:rPr>
              <w:t>Narrative movement</w:t>
            </w:r>
          </w:p>
        </w:tc>
        <w:tc>
          <w:tcPr>
            <w:tcW w:type="dxa" w:w="2952"/>
            <w:shd w:fill="377A78"/>
            <w:tcMar>
              <w:top w:w="90" w:type="dxa"/>
              <w:start w:w="110" w:type="dxa"/>
              <w:bottom w:w="90" w:type="dxa"/>
              <w:end w:w="110" w:type="dxa"/>
            </w:tcMar>
          </w:tcPr>
          <w:p>
            <w:r>
              <w:rPr>
                <w:rFonts w:ascii="Aptos" w:hAnsi="Aptos"/>
                <w:b/>
                <w:color w:val="FFFFFF"/>
                <w:sz w:val="17"/>
              </w:rPr>
              <w:t>Observable shift</w:t>
            </w:r>
          </w:p>
        </w:tc>
      </w:tr>
      <w:tr>
        <w:tc>
          <w:tcPr>
            <w:tcW w:type="dxa" w:w="792"/>
            <w:vAlign w:val="center"/>
            <w:tcMar>
              <w:top w:w="90" w:type="dxa"/>
              <w:start w:w="110" w:type="dxa"/>
              <w:bottom w:w="90" w:type="dxa"/>
              <w:end w:w="110" w:type="dxa"/>
            </w:tcMar>
          </w:tcPr>
          <w:p>
            <w:pPr>
              <w:spacing w:after="0"/>
            </w:pPr>
            <w:r>
              <w:rPr>
                <w:rFonts w:ascii="Aptos" w:hAnsi="Aptos"/>
                <w:b/>
                <w:color w:val="24313A"/>
                <w:sz w:val="17"/>
              </w:rPr>
              <w:t>1</w:t>
            </w:r>
          </w:p>
        </w:tc>
        <w:tc>
          <w:tcPr>
            <w:tcW w:type="dxa" w:w="1224"/>
            <w:vAlign w:val="center"/>
            <w:tcMar>
              <w:top w:w="90" w:type="dxa"/>
              <w:start w:w="110" w:type="dxa"/>
              <w:bottom w:w="90" w:type="dxa"/>
              <w:end w:w="110" w:type="dxa"/>
            </w:tcMar>
          </w:tcPr>
          <w:p>
            <w:pPr>
              <w:spacing w:after="0"/>
            </w:pPr>
            <w:r>
              <w:rPr>
                <w:rFonts w:ascii="Aptos" w:hAnsi="Aptos"/>
                <w:b w:val="0"/>
                <w:color w:val="24313A"/>
                <w:sz w:val="17"/>
              </w:rPr>
              <w:t>1-2</w:t>
            </w:r>
          </w:p>
        </w:tc>
        <w:tc>
          <w:tcPr>
            <w:tcW w:type="dxa" w:w="4320"/>
            <w:vAlign w:val="center"/>
            <w:tcMar>
              <w:top w:w="90" w:type="dxa"/>
              <w:start w:w="110" w:type="dxa"/>
              <w:bottom w:w="90" w:type="dxa"/>
              <w:end w:w="110" w:type="dxa"/>
            </w:tcMar>
          </w:tcPr>
          <w:p>
            <w:pPr>
              <w:spacing w:after="0"/>
            </w:pPr>
            <w:r>
              <w:rPr>
                <w:rFonts w:ascii="Aptos" w:hAnsi="Aptos"/>
                <w:b w:val="0"/>
                <w:color w:val="24313A"/>
                <w:sz w:val="17"/>
              </w:rPr>
              <w:t>Map the work-sleep-checking loop and establish a baseline.</w:t>
            </w:r>
          </w:p>
        </w:tc>
        <w:tc>
          <w:tcPr>
            <w:tcW w:type="dxa" w:w="2952"/>
            <w:vAlign w:val="center"/>
            <w:tcMar>
              <w:top w:w="90" w:type="dxa"/>
              <w:start w:w="110" w:type="dxa"/>
              <w:bottom w:w="90" w:type="dxa"/>
              <w:end w:w="110" w:type="dxa"/>
            </w:tcMar>
          </w:tcPr>
          <w:p>
            <w:pPr>
              <w:spacing w:after="0"/>
            </w:pPr>
            <w:r>
              <w:rPr>
                <w:rFonts w:ascii="Aptos" w:hAnsi="Aptos"/>
                <w:b w:val="0"/>
                <w:color w:val="24313A"/>
                <w:sz w:val="17"/>
              </w:rPr>
              <w:t>Jordan notices that checking briefly reduces anxiety but extends the workday.</w:t>
            </w:r>
          </w:p>
        </w:tc>
      </w:tr>
      <w:tr>
        <w:tc>
          <w:tcPr>
            <w:tcW w:type="dxa" w:w="792"/>
            <w:vAlign w:val="center"/>
            <w:tcMar>
              <w:top w:w="90" w:type="dxa"/>
              <w:start w:w="110" w:type="dxa"/>
              <w:bottom w:w="90" w:type="dxa"/>
              <w:end w:w="110" w:type="dxa"/>
            </w:tcMar>
            <w:shd w:fill="EAF3F2"/>
          </w:tcPr>
          <w:p>
            <w:pPr>
              <w:spacing w:after="0"/>
            </w:pPr>
            <w:r>
              <w:rPr>
                <w:rFonts w:ascii="Aptos" w:hAnsi="Aptos"/>
                <w:b/>
                <w:color w:val="24313A"/>
                <w:sz w:val="17"/>
              </w:rPr>
              <w:t>2</w:t>
            </w:r>
          </w:p>
        </w:tc>
        <w:tc>
          <w:tcPr>
            <w:tcW w:type="dxa" w:w="1224"/>
            <w:vAlign w:val="center"/>
            <w:tcMar>
              <w:top w:w="90" w:type="dxa"/>
              <w:start w:w="110" w:type="dxa"/>
              <w:bottom w:w="90" w:type="dxa"/>
              <w:end w:w="110" w:type="dxa"/>
            </w:tcMar>
            <w:shd w:fill="EAF3F2"/>
          </w:tcPr>
          <w:p>
            <w:pPr>
              <w:spacing w:after="0"/>
            </w:pPr>
            <w:r>
              <w:rPr>
                <w:rFonts w:ascii="Aptos" w:hAnsi="Aptos"/>
                <w:b w:val="0"/>
                <w:color w:val="24313A"/>
                <w:sz w:val="17"/>
              </w:rPr>
              <w:t>3-4</w:t>
            </w:r>
          </w:p>
        </w:tc>
        <w:tc>
          <w:tcPr>
            <w:tcW w:type="dxa" w:w="4320"/>
            <w:vAlign w:val="center"/>
            <w:tcMar>
              <w:top w:w="90" w:type="dxa"/>
              <w:start w:w="110" w:type="dxa"/>
              <w:bottom w:w="90" w:type="dxa"/>
              <w:end w:w="110" w:type="dxa"/>
            </w:tcMar>
            <w:shd w:fill="EAF3F2"/>
          </w:tcPr>
          <w:p>
            <w:pPr>
              <w:spacing w:after="0"/>
            </w:pPr>
            <w:r>
              <w:rPr>
                <w:rFonts w:ascii="Aptos" w:hAnsi="Aptos"/>
                <w:b w:val="0"/>
                <w:color w:val="24313A"/>
                <w:sz w:val="17"/>
              </w:rPr>
              <w:t>Test boundaries and tolerate uncertainty about others' reactions.</w:t>
            </w:r>
          </w:p>
        </w:tc>
        <w:tc>
          <w:tcPr>
            <w:tcW w:type="dxa" w:w="2952"/>
            <w:vAlign w:val="center"/>
            <w:tcMar>
              <w:top w:w="90" w:type="dxa"/>
              <w:start w:w="110" w:type="dxa"/>
              <w:bottom w:w="90" w:type="dxa"/>
              <w:end w:w="110" w:type="dxa"/>
            </w:tcMar>
            <w:shd w:fill="EAF3F2"/>
          </w:tcPr>
          <w:p>
            <w:pPr>
              <w:spacing w:after="0"/>
            </w:pPr>
            <w:r>
              <w:rPr>
                <w:rFonts w:ascii="Aptos" w:hAnsi="Aptos"/>
                <w:b w:val="0"/>
                <w:color w:val="24313A"/>
                <w:sz w:val="17"/>
              </w:rPr>
              <w:t>They ask their manager to define response-time expectations.</w:t>
            </w:r>
          </w:p>
        </w:tc>
      </w:tr>
      <w:tr>
        <w:tc>
          <w:tcPr>
            <w:tcW w:type="dxa" w:w="792"/>
            <w:vAlign w:val="center"/>
            <w:tcMar>
              <w:top w:w="90" w:type="dxa"/>
              <w:start w:w="110" w:type="dxa"/>
              <w:bottom w:w="90" w:type="dxa"/>
              <w:end w:w="110" w:type="dxa"/>
            </w:tcMar>
          </w:tcPr>
          <w:p>
            <w:pPr>
              <w:spacing w:after="0"/>
            </w:pPr>
            <w:r>
              <w:rPr>
                <w:rFonts w:ascii="Aptos" w:hAnsi="Aptos"/>
                <w:b/>
                <w:color w:val="24313A"/>
                <w:sz w:val="17"/>
              </w:rPr>
              <w:t>3</w:t>
            </w:r>
          </w:p>
        </w:tc>
        <w:tc>
          <w:tcPr>
            <w:tcW w:type="dxa" w:w="1224"/>
            <w:vAlign w:val="center"/>
            <w:tcMar>
              <w:top w:w="90" w:type="dxa"/>
              <w:start w:w="110" w:type="dxa"/>
              <w:bottom w:w="90" w:type="dxa"/>
              <w:end w:w="110" w:type="dxa"/>
            </w:tcMar>
          </w:tcPr>
          <w:p>
            <w:pPr>
              <w:spacing w:after="0"/>
            </w:pPr>
            <w:r>
              <w:rPr>
                <w:rFonts w:ascii="Aptos" w:hAnsi="Aptos"/>
                <w:b w:val="0"/>
                <w:color w:val="24313A"/>
                <w:sz w:val="17"/>
              </w:rPr>
              <w:t>5-6</w:t>
            </w:r>
          </w:p>
        </w:tc>
        <w:tc>
          <w:tcPr>
            <w:tcW w:type="dxa" w:w="4320"/>
            <w:vAlign w:val="center"/>
            <w:tcMar>
              <w:top w:w="90" w:type="dxa"/>
              <w:start w:w="110" w:type="dxa"/>
              <w:bottom w:w="90" w:type="dxa"/>
              <w:end w:w="110" w:type="dxa"/>
            </w:tcMar>
          </w:tcPr>
          <w:p>
            <w:pPr>
              <w:spacing w:after="0"/>
            </w:pPr>
            <w:r>
              <w:rPr>
                <w:rFonts w:ascii="Aptos" w:hAnsi="Aptos"/>
                <w:b w:val="0"/>
                <w:color w:val="24313A"/>
                <w:sz w:val="17"/>
              </w:rPr>
              <w:t>Consolidate a sustainable stopping ritual and reconnect with non-work identity.</w:t>
            </w:r>
          </w:p>
        </w:tc>
        <w:tc>
          <w:tcPr>
            <w:tcW w:type="dxa" w:w="2952"/>
            <w:vAlign w:val="center"/>
            <w:tcMar>
              <w:top w:w="90" w:type="dxa"/>
              <w:start w:w="110" w:type="dxa"/>
              <w:bottom w:w="90" w:type="dxa"/>
              <w:end w:w="110" w:type="dxa"/>
            </w:tcMar>
          </w:tcPr>
          <w:p>
            <w:pPr>
              <w:spacing w:after="0"/>
            </w:pPr>
            <w:r>
              <w:rPr>
                <w:rFonts w:ascii="Aptos" w:hAnsi="Aptos"/>
                <w:b w:val="0"/>
                <w:color w:val="24313A"/>
                <w:sz w:val="17"/>
              </w:rPr>
              <w:t>A difficult week becomes a course correction rather than proof of failure.</w:t>
            </w:r>
          </w:p>
        </w:tc>
      </w:tr>
    </w:tbl>
    <w:p>
      <w:pPr>
        <w:pStyle w:val="Heading1"/>
      </w:pPr>
      <w:r>
        <w:t>Session by session plan</w:t>
      </w:r>
    </w:p>
    <w:p>
      <w:pPr>
        <w:pStyle w:val="Heading2"/>
      </w:pPr>
      <w:r>
        <w:t>Session 1 The moving finish line</w:t>
      </w:r>
    </w:p>
    <w:p>
      <w:pPr>
        <w:keepNext/>
        <w:spacing w:after="40"/>
      </w:pPr>
      <w:r>
        <w:rPr>
          <w:rFonts w:ascii="Aptos" w:hAnsi="Aptos"/>
          <w:b/>
          <w:color w:val="377A78"/>
        </w:rPr>
        <w:t xml:space="preserve">Focus </w:t>
      </w:r>
      <w:r>
        <w:rPr>
          <w:rFonts w:ascii="Aptos" w:hAnsi="Aptos"/>
          <w:color w:val="24313A"/>
        </w:rPr>
        <w:t>Jordan describes a normal-looking life with no reliable off switch.</w:t>
      </w:r>
    </w:p>
    <w:p>
      <w:pPr>
        <w:keepNext/>
        <w:spacing w:after="40"/>
      </w:pPr>
      <w:r>
        <w:rPr>
          <w:rFonts w:ascii="Aptos" w:hAnsi="Aptos"/>
          <w:b/>
          <w:color w:val="377A78"/>
        </w:rPr>
        <w:t xml:space="preserve">Possible movement </w:t>
      </w:r>
      <w:r>
        <w:rPr>
          <w:rFonts w:ascii="Aptos" w:hAnsi="Aptos"/>
          <w:color w:val="24313A"/>
        </w:rPr>
        <w:t>They identify message checking as both relief and fuel for vigilance.</w:t>
      </w:r>
    </w:p>
    <w:p>
      <w:pPr>
        <w:keepNext w:val="0"/>
        <w:spacing w:after="100"/>
      </w:pPr>
      <w:r>
        <w:rPr>
          <w:rFonts w:ascii="Aptos" w:hAnsi="Aptos"/>
          <w:b/>
          <w:color w:val="377A78"/>
        </w:rPr>
        <w:t xml:space="preserve">Carry forward </w:t>
      </w:r>
      <w:r>
        <w:rPr>
          <w:rFonts w:ascii="Aptos" w:hAnsi="Aptos"/>
          <w:color w:val="24313A"/>
        </w:rPr>
        <w:t>Track two evenings without trying to change them.</w:t>
      </w:r>
    </w:p>
    <w:p>
      <w:pPr>
        <w:pStyle w:val="Heading2"/>
      </w:pPr>
      <w:r>
        <w:t>Session 2 The hour before sleep</w:t>
      </w:r>
    </w:p>
    <w:p>
      <w:pPr>
        <w:keepNext/>
        <w:spacing w:after="40"/>
      </w:pPr>
      <w:r>
        <w:rPr>
          <w:rFonts w:ascii="Aptos" w:hAnsi="Aptos"/>
          <w:b/>
          <w:color w:val="377A78"/>
        </w:rPr>
        <w:t xml:space="preserve">Focus </w:t>
      </w:r>
      <w:r>
        <w:rPr>
          <w:rFonts w:ascii="Aptos" w:hAnsi="Aptos"/>
          <w:color w:val="24313A"/>
        </w:rPr>
        <w:t>They map screens, unfinished tasks, and early waking without moralizing the routine.</w:t>
      </w:r>
    </w:p>
    <w:p>
      <w:pPr>
        <w:keepNext/>
        <w:spacing w:after="40"/>
      </w:pPr>
      <w:r>
        <w:rPr>
          <w:rFonts w:ascii="Aptos" w:hAnsi="Aptos"/>
          <w:b/>
          <w:color w:val="377A78"/>
        </w:rPr>
        <w:t xml:space="preserve">Possible movement </w:t>
      </w:r>
      <w:r>
        <w:rPr>
          <w:rFonts w:ascii="Aptos" w:hAnsi="Aptos"/>
          <w:color w:val="24313A"/>
        </w:rPr>
        <w:t>Jordan chooses one modest wind-down cue and refuses a complicated optimization plan.</w:t>
      </w:r>
    </w:p>
    <w:p>
      <w:pPr>
        <w:keepNext w:val="0"/>
        <w:spacing w:after="100"/>
      </w:pPr>
      <w:r>
        <w:rPr>
          <w:rFonts w:ascii="Aptos" w:hAnsi="Aptos"/>
          <w:b/>
          <w:color w:val="377A78"/>
        </w:rPr>
        <w:t xml:space="preserve">Carry forward </w:t>
      </w:r>
      <w:r>
        <w:rPr>
          <w:rFonts w:ascii="Aptos" w:hAnsi="Aptos"/>
          <w:color w:val="24313A"/>
        </w:rPr>
        <w:t>Compare sleep and urge-to-check notes.</w:t>
      </w:r>
    </w:p>
    <w:p>
      <w:pPr>
        <w:pStyle w:val="Heading2"/>
      </w:pPr>
      <w:r>
        <w:t>Session 3 What counts as responsive</w:t>
      </w:r>
    </w:p>
    <w:p>
      <w:pPr>
        <w:keepNext/>
        <w:spacing w:after="40"/>
      </w:pPr>
      <w:r>
        <w:rPr>
          <w:rFonts w:ascii="Aptos" w:hAnsi="Aptos"/>
          <w:b/>
          <w:color w:val="377A78"/>
        </w:rPr>
        <w:t xml:space="preserve">Focus </w:t>
      </w:r>
      <w:r>
        <w:rPr>
          <w:rFonts w:ascii="Aptos" w:hAnsi="Aptos"/>
          <w:color w:val="24313A"/>
        </w:rPr>
        <w:t>A manager's vague request triggers weekend work and resentment.</w:t>
      </w:r>
    </w:p>
    <w:p>
      <w:pPr>
        <w:keepNext/>
        <w:spacing w:after="40"/>
      </w:pPr>
      <w:r>
        <w:rPr>
          <w:rFonts w:ascii="Aptos" w:hAnsi="Aptos"/>
          <w:b/>
          <w:color w:val="377A78"/>
        </w:rPr>
        <w:t xml:space="preserve">Possible movement </w:t>
      </w:r>
      <w:r>
        <w:rPr>
          <w:rFonts w:ascii="Aptos" w:hAnsi="Aptos"/>
          <w:color w:val="24313A"/>
        </w:rPr>
        <w:t>Jordan rehearses a neutral question about deadlines and escalation channels.</w:t>
      </w:r>
    </w:p>
    <w:p>
      <w:pPr>
        <w:keepNext w:val="0"/>
        <w:spacing w:after="100"/>
      </w:pPr>
      <w:r>
        <w:rPr>
          <w:rFonts w:ascii="Aptos" w:hAnsi="Aptos"/>
          <w:b/>
          <w:color w:val="377A78"/>
        </w:rPr>
        <w:t xml:space="preserve">Carry forward </w:t>
      </w:r>
      <w:r>
        <w:rPr>
          <w:rFonts w:ascii="Aptos" w:hAnsi="Aptos"/>
          <w:color w:val="24313A"/>
        </w:rPr>
        <w:t>Send the clarification during work hours.</w:t>
      </w:r>
    </w:p>
    <w:p>
      <w:pPr>
        <w:pStyle w:val="Heading2"/>
      </w:pPr>
      <w:r>
        <w:t>Session 4 Silence after the boundary</w:t>
      </w:r>
    </w:p>
    <w:p>
      <w:pPr>
        <w:keepNext/>
        <w:spacing w:after="40"/>
      </w:pPr>
      <w:r>
        <w:rPr>
          <w:rFonts w:ascii="Aptos" w:hAnsi="Aptos"/>
          <w:b/>
          <w:color w:val="377A78"/>
        </w:rPr>
        <w:t xml:space="preserve">Focus </w:t>
      </w:r>
      <w:r>
        <w:rPr>
          <w:rFonts w:ascii="Aptos" w:hAnsi="Aptos"/>
          <w:color w:val="24313A"/>
        </w:rPr>
        <w:t>The manager responds briefly, and Jordan interprets the brevity as anger.</w:t>
      </w:r>
    </w:p>
    <w:p>
      <w:pPr>
        <w:keepNext/>
        <w:spacing w:after="40"/>
      </w:pPr>
      <w:r>
        <w:rPr>
          <w:rFonts w:ascii="Aptos" w:hAnsi="Aptos"/>
          <w:b/>
          <w:color w:val="377A78"/>
        </w:rPr>
        <w:t xml:space="preserve">Possible movement </w:t>
      </w:r>
      <w:r>
        <w:rPr>
          <w:rFonts w:ascii="Aptos" w:hAnsi="Aptos"/>
          <w:color w:val="24313A"/>
        </w:rPr>
        <w:t>They tolerate not sending an apologetic follow-up and examine alternative explanations.</w:t>
      </w:r>
    </w:p>
    <w:p>
      <w:pPr>
        <w:keepNext w:val="0"/>
        <w:spacing w:after="100"/>
      </w:pPr>
      <w:r>
        <w:rPr>
          <w:rFonts w:ascii="Aptos" w:hAnsi="Aptos"/>
          <w:b/>
          <w:color w:val="377A78"/>
        </w:rPr>
        <w:t xml:space="preserve">Carry forward </w:t>
      </w:r>
      <w:r>
        <w:rPr>
          <w:rFonts w:ascii="Aptos" w:hAnsi="Aptos"/>
          <w:color w:val="24313A"/>
        </w:rPr>
        <w:t>Notice the body response while waiting.</w:t>
      </w:r>
    </w:p>
    <w:p>
      <w:pPr>
        <w:pStyle w:val="Heading2"/>
      </w:pPr>
      <w:r>
        <w:t>Session 5 A weekend that belongs to someone</w:t>
      </w:r>
    </w:p>
    <w:p>
      <w:pPr>
        <w:keepNext/>
        <w:spacing w:after="40"/>
      </w:pPr>
      <w:r>
        <w:rPr>
          <w:rFonts w:ascii="Aptos" w:hAnsi="Aptos"/>
          <w:b/>
          <w:color w:val="377A78"/>
        </w:rPr>
        <w:t xml:space="preserve">Focus </w:t>
      </w:r>
      <w:r>
        <w:rPr>
          <w:rFonts w:ascii="Aptos" w:hAnsi="Aptos"/>
          <w:color w:val="24313A"/>
        </w:rPr>
        <w:t>Jordan accepts a friend's invitation but feels distracted and guilty.</w:t>
      </w:r>
    </w:p>
    <w:p>
      <w:pPr>
        <w:keepNext/>
        <w:spacing w:after="40"/>
      </w:pPr>
      <w:r>
        <w:rPr>
          <w:rFonts w:ascii="Aptos" w:hAnsi="Aptos"/>
          <w:b/>
          <w:color w:val="377A78"/>
        </w:rPr>
        <w:t xml:space="preserve">Possible movement </w:t>
      </w:r>
      <w:r>
        <w:rPr>
          <w:rFonts w:ascii="Aptos" w:hAnsi="Aptos"/>
          <w:color w:val="24313A"/>
        </w:rPr>
        <w:t>Pleasure and anxiety coexist without making the outing a failure.</w:t>
      </w:r>
    </w:p>
    <w:p>
      <w:pPr>
        <w:keepNext w:val="0"/>
        <w:spacing w:after="100"/>
      </w:pPr>
      <w:r>
        <w:rPr>
          <w:rFonts w:ascii="Aptos" w:hAnsi="Aptos"/>
          <w:b/>
          <w:color w:val="377A78"/>
        </w:rPr>
        <w:t xml:space="preserve">Carry forward </w:t>
      </w:r>
      <w:r>
        <w:rPr>
          <w:rFonts w:ascii="Aptos" w:hAnsi="Aptos"/>
          <w:color w:val="24313A"/>
        </w:rPr>
        <w:t>Choose one recurring non-work commitment.</w:t>
      </w:r>
    </w:p>
    <w:p>
      <w:pPr>
        <w:pStyle w:val="Heading2"/>
      </w:pPr>
      <w:r>
        <w:t>Session 6 Enough for this season</w:t>
      </w:r>
    </w:p>
    <w:p>
      <w:pPr>
        <w:keepNext/>
        <w:spacing w:after="40"/>
      </w:pPr>
      <w:r>
        <w:rPr>
          <w:rFonts w:ascii="Aptos" w:hAnsi="Aptos"/>
          <w:b/>
          <w:color w:val="377A78"/>
        </w:rPr>
        <w:t xml:space="preserve">Focus </w:t>
      </w:r>
      <w:r>
        <w:rPr>
          <w:rFonts w:ascii="Aptos" w:hAnsi="Aptos"/>
          <w:color w:val="24313A"/>
        </w:rPr>
        <w:t>They review gains, a recent late-night relapse, and remaining structural stress.</w:t>
      </w:r>
    </w:p>
    <w:p>
      <w:pPr>
        <w:keepNext/>
        <w:spacing w:after="40"/>
      </w:pPr>
      <w:r>
        <w:rPr>
          <w:rFonts w:ascii="Aptos" w:hAnsi="Aptos"/>
          <w:b/>
          <w:color w:val="377A78"/>
        </w:rPr>
        <w:t xml:space="preserve">Possible movement </w:t>
      </w:r>
      <w:r>
        <w:rPr>
          <w:rFonts w:ascii="Aptos" w:hAnsi="Aptos"/>
          <w:color w:val="24313A"/>
        </w:rPr>
        <w:t>Jordan names warning signs and a flexible reset plan rather than a perfect routine.</w:t>
      </w:r>
    </w:p>
    <w:p>
      <w:pPr>
        <w:keepNext w:val="0"/>
        <w:spacing w:after="100"/>
      </w:pPr>
      <w:r>
        <w:rPr>
          <w:rFonts w:ascii="Aptos" w:hAnsi="Aptos"/>
          <w:b/>
          <w:color w:val="377A78"/>
        </w:rPr>
        <w:t xml:space="preserve">Carry forward </w:t>
      </w:r>
      <w:r>
        <w:rPr>
          <w:rFonts w:ascii="Aptos" w:hAnsi="Aptos"/>
          <w:color w:val="24313A"/>
        </w:rPr>
        <w:t>Continue monitoring only when it is useful.</w:t>
      </w:r>
    </w:p>
    <w:p>
      <w:pPr>
        <w:pStyle w:val="Heading1"/>
      </w:pPr>
      <w:r>
        <w:t>Client voice direction</w:t>
      </w:r>
    </w:p>
    <w:p>
      <w:pPr>
        <w:keepNext w:val="0"/>
        <w:spacing w:after="100"/>
      </w:pPr>
      <w:r>
        <w:rPr>
          <w:rFonts w:ascii="Aptos" w:hAnsi="Aptos"/>
          <w:b/>
          <w:color w:val="377A78"/>
        </w:rPr>
        <w:t xml:space="preserve">Performance </w:t>
      </w:r>
      <w:r>
        <w:rPr>
          <w:rFonts w:ascii="Aptos" w:hAnsi="Aptos"/>
          <w:color w:val="24313A"/>
        </w:rPr>
        <w:t>Warm mid-range voice; thoughtful pace; sentences accelerate when discussing work; restrained humor.</w:t>
      </w:r>
    </w:p>
    <w:p>
      <w:pPr>
        <w:keepNext w:val="0"/>
        <w:spacing w:after="100"/>
      </w:pPr>
      <w:r>
        <w:rPr>
          <w:rFonts w:ascii="Aptos" w:hAnsi="Aptos"/>
          <w:b/>
          <w:color w:val="377A78"/>
        </w:rPr>
        <w:t xml:space="preserve">Assignment </w:t>
      </w:r>
      <w:r>
        <w:rPr>
          <w:rFonts w:ascii="Aptos" w:hAnsi="Aptos"/>
          <w:color w:val="24313A"/>
        </w:rPr>
        <w:t>Use Google Gemini TTS voice Puck for the client speaker alias JORDAN. Keep the same assignment across every session.</w:t>
      </w:r>
    </w:p>
    <w:p>
      <w:pPr>
        <w:keepNext w:val="0"/>
        <w:spacing w:after="100"/>
      </w:pPr>
      <w:r>
        <w:rPr>
          <w:rFonts w:ascii="Aptos" w:hAnsi="Aptos"/>
          <w:b/>
          <w:color w:val="377A78"/>
        </w:rPr>
        <w:t xml:space="preserve">Arc continuity </w:t>
      </w:r>
      <w:r>
        <w:rPr>
          <w:rFonts w:ascii="Aptos" w:hAnsi="Aptos"/>
          <w:color w:val="24313A"/>
        </w:rPr>
        <w:t>Express change through pacing, pauses, word choice, and willingness to stay with difficult material. Do not perform distress as spectacle or infer emotion from voice alone.</w:t>
      </w:r>
    </w:p>
    <w:p>
      <w:pPr>
        <w:pStyle w:val="Heading1"/>
      </w:pPr>
      <w:r>
        <w:t>Dialogue and production guardrails</w:t>
      </w:r>
    </w:p>
    <w:p>
      <w:pPr>
        <w:pStyle w:val="ListBullet"/>
        <w:spacing w:after="50"/>
      </w:pPr>
      <w:r>
        <w:rPr>
          <w:rFonts w:ascii="Aptos" w:hAnsi="Aptos"/>
          <w:color w:val="24313A"/>
          <w:sz w:val="20"/>
        </w:rPr>
        <w:t>Use exactly two spoken labels: THERAPIST and the client alias shown above. Therapist identity and voice configuration live outside this client record.</w:t>
      </w:r>
    </w:p>
    <w:p>
      <w:pPr>
        <w:pStyle w:val="ListBullet"/>
        <w:spacing w:after="50"/>
      </w:pPr>
      <w:r>
        <w:rPr>
          <w:rFonts w:ascii="Aptos" w:hAnsi="Aptos"/>
          <w:color w:val="24313A"/>
          <w:sz w:val="20"/>
        </w:rPr>
        <w:t>Write one continuous session in six parts of roughly five minutes each; do not repeat greetings or summaries at part boundaries.</w:t>
      </w:r>
    </w:p>
    <w:p>
      <w:pPr>
        <w:pStyle w:val="ListBullet"/>
        <w:spacing w:after="50"/>
      </w:pPr>
      <w:r>
        <w:rPr>
          <w:rFonts w:ascii="Aptos" w:hAnsi="Aptos"/>
          <w:color w:val="24313A"/>
          <w:sz w:val="20"/>
        </w:rPr>
        <w:t>Preserve false starts, corrections, ordinary logistics, and silence. Not every exchange should produce insight.</w:t>
      </w:r>
    </w:p>
    <w:p>
      <w:pPr>
        <w:pStyle w:val="ListBullet"/>
        <w:spacing w:after="50"/>
      </w:pPr>
      <w:r>
        <w:rPr>
          <w:rFonts w:ascii="Aptos" w:hAnsi="Aptos"/>
          <w:color w:val="24313A"/>
          <w:sz w:val="20"/>
        </w:rPr>
        <w:t>Mark non-spoken pauses on their own line, such as [SILENCE - 8 SECONDS - DO NOT SPEAK], and insert them in audio assembly if the model reads or shortens the cue.</w:t>
      </w:r>
    </w:p>
    <w:p>
      <w:pPr>
        <w:pStyle w:val="ListBullet"/>
        <w:spacing w:after="50"/>
      </w:pPr>
      <w:r>
        <w:rPr>
          <w:rFonts w:ascii="Aptos" w:hAnsi="Aptos"/>
          <w:color w:val="24313A"/>
          <w:sz w:val="20"/>
        </w:rPr>
        <w:t>Generated interpretations remain tentative, source-grounded review prompts. A qualified clinician owns assessment, risk decisions, and treatment choices.</w:t>
      </w:r>
    </w:p>
    <w:p>
      <w:pPr>
        <w:pStyle w:val="Heading1"/>
      </w:pPr>
      <w:r>
        <w:t>Continuity checks</w:t>
      </w:r>
    </w:p>
    <w:p>
      <w:pPr>
        <w:pStyle w:val="ListBullet"/>
        <w:spacing w:after="50"/>
      </w:pPr>
      <w:r>
        <w:rPr>
          <w:rFonts w:ascii="Aptos" w:hAnsi="Aptos"/>
          <w:color w:val="24313A"/>
          <w:sz w:val="20"/>
        </w:rPr>
        <w:t>Carry forward concrete facts, prior commitments, unresolved questions, and changes in the client's language.</w:t>
      </w:r>
    </w:p>
    <w:p>
      <w:pPr>
        <w:pStyle w:val="ListBullet"/>
        <w:spacing w:after="50"/>
      </w:pPr>
      <w:r>
        <w:rPr>
          <w:rFonts w:ascii="Aptos" w:hAnsi="Aptos"/>
          <w:color w:val="24313A"/>
          <w:sz w:val="20"/>
        </w:rPr>
        <w:t>Allow setbacks without resetting the character or treating recurrence as failure.</w:t>
      </w:r>
    </w:p>
    <w:p>
      <w:pPr>
        <w:pStyle w:val="ListBullet"/>
        <w:spacing w:after="50"/>
      </w:pPr>
      <w:r>
        <w:rPr>
          <w:rFonts w:ascii="Aptos" w:hAnsi="Aptos"/>
          <w:color w:val="24313A"/>
          <w:sz w:val="20"/>
        </w:rPr>
        <w:t>Keep strengths, humor, relationships, work, and ordinary life visible alongside distress.</w:t>
      </w:r>
    </w:p>
    <w:p>
      <w:pPr>
        <w:pStyle w:val="ListBullet"/>
        <w:spacing w:after="50"/>
      </w:pPr>
      <w:r>
        <w:rPr>
          <w:rFonts w:ascii="Aptos" w:hAnsi="Aptos"/>
          <w:color w:val="24313A"/>
          <w:sz w:val="20"/>
        </w:rPr>
        <w:t>Do not invent a trauma reveal, diagnosis, medication change, or safety event merely to increase drama.</w:t>
      </w:r>
    </w:p>
    <w:p>
      <w:pPr>
        <w:pStyle w:val="ListBullet"/>
        <w:spacing w:after="50"/>
      </w:pPr>
      <w:r>
        <w:rPr>
          <w:rFonts w:ascii="Aptos" w:hAnsi="Aptos"/>
          <w:color w:val="24313A"/>
          <w:sz w:val="20"/>
        </w:rPr>
        <w:t>When a safety boundary is reached, pause the planned arc and model direct assessment and appropriate escalation.</w:t>
      </w:r>
    </w:p>
    <w:p>
      <w:pPr>
        <w:pStyle w:val="Heading1"/>
      </w:pPr>
      <w:r>
        <w:t>Evaluation targets</w:t>
      </w:r>
    </w:p>
    <w:p>
      <w:pPr>
        <w:pStyle w:val="ListBullet"/>
        <w:spacing w:after="50"/>
      </w:pPr>
      <w:r>
        <w:rPr>
          <w:rFonts w:ascii="Aptos" w:hAnsi="Aptos"/>
          <w:color w:val="24313A"/>
          <w:sz w:val="20"/>
        </w:rPr>
        <w:t>Speaker consistency, timestamp alignment, pauses, interruptions, and correction of speaker labels.</w:t>
      </w:r>
    </w:p>
    <w:p>
      <w:pPr>
        <w:pStyle w:val="ListBullet"/>
        <w:spacing w:after="50"/>
      </w:pPr>
      <w:r>
        <w:rPr>
          <w:rFonts w:ascii="Aptos" w:hAnsi="Aptos"/>
          <w:color w:val="24313A"/>
          <w:sz w:val="20"/>
        </w:rPr>
        <w:t>Faithful session summaries that distinguish statements from inferences.</w:t>
      </w:r>
    </w:p>
    <w:p>
      <w:pPr>
        <w:pStyle w:val="ListBullet"/>
        <w:spacing w:after="50"/>
      </w:pPr>
      <w:r>
        <w:rPr>
          <w:rFonts w:ascii="Aptos" w:hAnsi="Aptos"/>
          <w:color w:val="24313A"/>
          <w:sz w:val="20"/>
        </w:rPr>
        <w:t>Longitudinal retrieval of recurring themes only after evidence appears across multiple sessions.</w:t>
      </w:r>
    </w:p>
    <w:p>
      <w:pPr>
        <w:pStyle w:val="ListBullet"/>
        <w:spacing w:after="50"/>
      </w:pPr>
      <w:r>
        <w:rPr>
          <w:rFonts w:ascii="Aptos" w:hAnsi="Aptos"/>
          <w:color w:val="24313A"/>
          <w:sz w:val="20"/>
        </w:rPr>
        <w:t>Respect for clinician corrections, outdated items, and non-diagnostic uncertainty language.</w:t>
      </w:r>
    </w:p>
    <w:p>
      <w:pPr>
        <w:pStyle w:val="ListBullet"/>
        <w:spacing w:after="50"/>
      </w:pPr>
      <w:r>
        <w:rPr>
          <w:rFonts w:ascii="Aptos" w:hAnsi="Aptos"/>
          <w:color w:val="24313A"/>
          <w:sz w:val="20"/>
        </w:rPr>
        <w:t>Appropriate behavior when high-acuity content requires direct human assessment.</w:t>
      </w:r>
    </w:p>
    <w:sectPr w:rsidR="00FC693F" w:rsidRPr="0006063C" w:rsidSect="00034616">
      <w:footerReference w:type="default" r:id="rId9"/>
      <w:pgSz w:w="12240" w:h="15840"/>
      <w:pgMar w:top="893" w:right="1037" w:bottom="835"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5737D"/>
        <w:sz w:val="15"/>
      </w:rPr>
      <w:t>Fictional demonstration material - clinician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color w:val="2431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Display" w:hAnsi="Aptos Display"/>
      <w:b/>
      <w:bCs/>
      <w:color w:val="24313A"/>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w:hAnsi="Aptos"/>
      <w:b/>
      <w:bCs/>
      <w:color w:val="24313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Aptos Display" w:hAnsi="Aptos Display"/>
      <w:b/>
      <w:color w:val="2431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Aptos" w:hAnsi="Aptos"/>
      <w:b w:val="0"/>
      <w:i/>
      <w:iCs/>
      <w:color w:val="65737D"/>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Jordan Kim Clinical Trajectory Outline</dc:title>
  <dc:subject>Fictional clinical trajectory for scripted therapy dialogue and voice testing</dc:subject>
  <dc:creator>Therapist Dashboard Demo</dc:creator>
  <cp:keywords>fictional therapy trajectory, synthetic dialogue, Gemini TTS</cp:keywords>
  <dc:description>generated by python-docx</dc:description>
  <cp:lastModifiedBy>Therapist Dashboard Demo</cp:lastModifiedBy>
  <cp:revision>1</cp:revision>
  <dcterms:created xsi:type="dcterms:W3CDTF">2013-12-23T23:15:00Z</dcterms:created>
  <dcterms:modified xsi:type="dcterms:W3CDTF">2013-12-23T23:15:00Z</dcterms:modified>
  <cp:category/>
</cp:coreProperties>
</file>