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Display" w:hAnsi="Aptos Display"/>
          <w:b/>
          <w:color w:val="24313A"/>
          <w:sz w:val="52"/>
        </w:rPr>
        <w:t>Keisha Ward Clinical Trajectory Outline</w:t>
      </w:r>
    </w:p>
    <w:p>
      <w:pPr>
        <w:pStyle w:val="Subtitle"/>
      </w:pPr>
      <w:r>
        <w:rPr>
          <w:rFonts w:ascii="Aptos" w:hAnsi="Aptos"/>
          <w:color w:val="65737D"/>
          <w:sz w:val="21"/>
        </w:rPr>
        <w:t>Fictional client character, session arc, and synthetic voice-test direction</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296"/>
            <w:vAlign w:val="center"/>
            <w:shd w:fill="F5F0E8"/>
            <w:tcMar>
              <w:top w:w="100" w:type="dxa"/>
              <w:start w:w="80" w:type="dxa"/>
              <w:bottom w:w="100" w:type="dxa"/>
              <w:end w:w="80" w:type="dxa"/>
            </w:tcMar>
          </w:tcPr>
          <w:p>
            <w:pPr>
              <w:spacing w:after="20"/>
              <w:jc w:val="center"/>
            </w:pPr>
            <w:r>
              <w:rPr>
                <w:rFonts w:ascii="Aptos" w:hAnsi="Aptos"/>
                <w:b/>
                <w:color w:val="377A78"/>
                <w:sz w:val="15"/>
              </w:rPr>
              <w:t>AGE</w:t>
            </w:r>
          </w:p>
          <w:p>
            <w:pPr>
              <w:spacing w:after="0"/>
              <w:jc w:val="center"/>
            </w:pPr>
            <w:r>
              <w:rPr>
                <w:rFonts w:ascii="Aptos" w:hAnsi="Aptos"/>
                <w:b/>
                <w:color w:val="24313A"/>
                <w:sz w:val="17"/>
              </w:rPr>
              <w:t>37</w:t>
            </w:r>
          </w:p>
        </w:tc>
        <w:tc>
          <w:tcPr>
            <w:tcW w:type="dxa" w:w="3384"/>
            <w:vAlign w:val="center"/>
            <w:shd w:fill="F5F0E8"/>
            <w:tcMar>
              <w:top w:w="100" w:type="dxa"/>
              <w:start w:w="80" w:type="dxa"/>
              <w:bottom w:w="100" w:type="dxa"/>
              <w:end w:w="80" w:type="dxa"/>
            </w:tcMar>
          </w:tcPr>
          <w:p>
            <w:pPr>
              <w:spacing w:after="20"/>
              <w:jc w:val="center"/>
            </w:pPr>
            <w:r>
              <w:rPr>
                <w:rFonts w:ascii="Aptos" w:hAnsi="Aptos"/>
                <w:b/>
                <w:color w:val="377A78"/>
                <w:sz w:val="15"/>
              </w:rPr>
              <w:t>SETTING</w:t>
            </w:r>
          </w:p>
          <w:p>
            <w:pPr>
              <w:spacing w:after="0"/>
              <w:jc w:val="center"/>
            </w:pPr>
            <w:r>
              <w:rPr>
                <w:rFonts w:ascii="Aptos" w:hAnsi="Aptos"/>
                <w:b/>
                <w:color w:val="24313A"/>
                <w:sz w:val="17"/>
              </w:rPr>
              <w:t>Step-down outpatient therapy with coordinated psychiatric follow-up</w:t>
            </w:r>
          </w:p>
        </w:tc>
        <w:tc>
          <w:tcPr>
            <w:tcW w:type="dxa" w:w="1656"/>
            <w:vAlign w:val="center"/>
            <w:shd w:fill="F5F0E8"/>
            <w:tcMar>
              <w:top w:w="100" w:type="dxa"/>
              <w:start w:w="80" w:type="dxa"/>
              <w:bottom w:w="100" w:type="dxa"/>
              <w:end w:w="80" w:type="dxa"/>
            </w:tcMar>
          </w:tcPr>
          <w:p>
            <w:pPr>
              <w:spacing w:after="20"/>
              <w:jc w:val="center"/>
            </w:pPr>
            <w:r>
              <w:rPr>
                <w:rFonts w:ascii="Aptos" w:hAnsi="Aptos"/>
                <w:b/>
                <w:color w:val="377A78"/>
                <w:sz w:val="15"/>
              </w:rPr>
              <w:t>ARC</w:t>
            </w:r>
          </w:p>
          <w:p>
            <w:pPr>
              <w:spacing w:after="0"/>
              <w:jc w:val="center"/>
            </w:pPr>
            <w:r>
              <w:rPr>
                <w:rFonts w:ascii="Aptos" w:hAnsi="Aptos"/>
                <w:b/>
                <w:color w:val="24313A"/>
                <w:sz w:val="17"/>
              </w:rPr>
              <w:t>10 sessions</w:t>
            </w:r>
          </w:p>
        </w:tc>
        <w:tc>
          <w:tcPr>
            <w:tcW w:type="dxa" w:w="2952"/>
            <w:vAlign w:val="center"/>
            <w:shd w:fill="F5F0E8"/>
            <w:tcMar>
              <w:top w:w="100" w:type="dxa"/>
              <w:start w:w="80" w:type="dxa"/>
              <w:bottom w:w="100" w:type="dxa"/>
              <w:end w:w="80" w:type="dxa"/>
            </w:tcMar>
          </w:tcPr>
          <w:p>
            <w:pPr>
              <w:spacing w:after="20"/>
              <w:jc w:val="center"/>
            </w:pPr>
            <w:r>
              <w:rPr>
                <w:rFonts w:ascii="Aptos" w:hAnsi="Aptos"/>
                <w:b/>
                <w:color w:val="377A78"/>
                <w:sz w:val="15"/>
              </w:rPr>
              <w:t>COMPLEXITY</w:t>
            </w:r>
          </w:p>
          <w:p>
            <w:pPr>
              <w:spacing w:after="0"/>
              <w:jc w:val="center"/>
            </w:pPr>
            <w:r>
              <w:rPr>
                <w:rFonts w:ascii="Aptos" w:hAnsi="Aptos"/>
                <w:b/>
                <w:color w:val="24313A"/>
                <w:sz w:val="17"/>
              </w:rPr>
              <w:t>High acuity</w:t>
            </w:r>
          </w:p>
        </w:tc>
      </w:tr>
    </w:tbl>
    <w:p>
      <w:pPr>
        <w:pStyle w:val="Heading1"/>
      </w:pPr>
      <w:r>
        <w:t>Use and interpretation</w:t>
      </w:r>
    </w:p>
    <w:p>
      <w:pPr>
        <w:keepNext w:val="0"/>
        <w:spacing w:after="100"/>
      </w:pPr>
      <w:r>
        <w:rPr>
          <w:rFonts w:ascii="Aptos" w:hAnsi="Aptos"/>
          <w:color w:val="24313A"/>
        </w:rPr>
        <w:t>This fictional composite supports product demonstrations, transcript evaluation, diarization tests, and longitudinal-synthesis review. It is not a diagnosis, risk determination, or treatment recommendation. Generated clinical claims must remain reviewable and linked to their fictional source sessions.</w:t>
      </w:r>
    </w:p>
    <w:p>
      <w:pPr>
        <w:pStyle w:val="Heading1"/>
      </w:pPr>
      <w:r>
        <w:t>Character snapshot</w:t>
      </w:r>
    </w:p>
    <w:p>
      <w:pPr>
        <w:keepNext w:val="0"/>
        <w:spacing w:after="100"/>
      </w:pPr>
      <w:r>
        <w:rPr>
          <w:rFonts w:ascii="Aptos" w:hAnsi="Aptos"/>
          <w:b/>
          <w:color w:val="377A78"/>
        </w:rPr>
        <w:t xml:space="preserve">Identity </w:t>
      </w:r>
      <w:r>
        <w:rPr>
          <w:rFonts w:ascii="Aptos" w:hAnsi="Aptos"/>
          <w:color w:val="24313A"/>
        </w:rPr>
        <w:t>Keisha Ward; age 37; Black woman; she/her.</w:t>
      </w:r>
    </w:p>
    <w:p>
      <w:pPr>
        <w:keepNext w:val="0"/>
        <w:spacing w:after="100"/>
      </w:pPr>
      <w:r>
        <w:rPr>
          <w:rFonts w:ascii="Aptos" w:hAnsi="Aptos"/>
          <w:b/>
          <w:color w:val="377A78"/>
        </w:rPr>
        <w:t xml:space="preserve">Current life </w:t>
      </w:r>
      <w:r>
        <w:rPr>
          <w:rFonts w:ascii="Aptos" w:hAnsi="Aptos"/>
          <w:color w:val="24313A"/>
        </w:rPr>
        <w:t>Restaurant operations manager returning to outpatient care after a brief crisis-stabilization admission.</w:t>
      </w:r>
    </w:p>
    <w:p>
      <w:pPr>
        <w:keepNext w:val="0"/>
        <w:spacing w:after="100"/>
      </w:pPr>
      <w:r>
        <w:rPr>
          <w:rFonts w:ascii="Aptos" w:hAnsi="Aptos"/>
          <w:b/>
          <w:color w:val="377A78"/>
        </w:rPr>
        <w:t xml:space="preserve">Reason for beginning therapy </w:t>
      </w:r>
      <w:r>
        <w:rPr>
          <w:rFonts w:ascii="Aptos" w:hAnsi="Aptos"/>
          <w:color w:val="24313A"/>
        </w:rPr>
        <w:t>Keisha is re-entering daily life after a suicidal crisis that followed compounded relationship, housing, and work stress.</w:t>
      </w:r>
    </w:p>
    <w:p>
      <w:pPr>
        <w:keepNext w:val="0"/>
        <w:spacing w:after="100"/>
      </w:pPr>
      <w:r>
        <w:rPr>
          <w:rFonts w:ascii="Aptos" w:hAnsi="Aptos"/>
          <w:b/>
          <w:color w:val="377A78"/>
        </w:rPr>
        <w:t xml:space="preserve">Core tension </w:t>
      </w:r>
      <w:r>
        <w:rPr>
          <w:rFonts w:ascii="Aptos" w:hAnsi="Aptos"/>
          <w:color w:val="24313A"/>
        </w:rPr>
        <w:t>She wants stability but fears that honest disclosure will automatically remove her choices or return her to the hospital.</w:t>
      </w:r>
    </w:p>
    <w:p>
      <w:pPr>
        <w:keepNext w:val="0"/>
        <w:spacing w:after="100"/>
      </w:pPr>
      <w:r>
        <w:rPr>
          <w:rFonts w:ascii="Aptos" w:hAnsi="Aptos"/>
          <w:b/>
          <w:color w:val="377A78"/>
        </w:rPr>
        <w:t xml:space="preserve">Strengths </w:t>
      </w:r>
      <w:r>
        <w:rPr>
          <w:rFonts w:ascii="Aptos" w:hAnsi="Aptos"/>
          <w:color w:val="24313A"/>
        </w:rPr>
        <w:t>Direct, resourceful, attached to her niece, supported by a cousin, engaged with follow-up care, and able to collaborate on concrete safety steps.</w:t>
      </w:r>
    </w:p>
    <w:p>
      <w:pPr>
        <w:pStyle w:val="Heading1"/>
      </w:pPr>
      <w:r>
        <w:t>Backstory</w:t>
      </w:r>
    </w:p>
    <w:p>
      <w:pPr>
        <w:keepNext w:val="0"/>
        <w:spacing w:after="100"/>
      </w:pPr>
      <w:r>
        <w:rPr>
          <w:rFonts w:ascii="Aptos" w:hAnsi="Aptos"/>
          <w:color w:val="24313A"/>
        </w:rPr>
        <w:t>Several destabilizing events converged over six weeks: a relationship ended, a housing plan fell through, and staffing shortages expanded Keisha's work hours. Sleep narrowed, isolation increased, and she began experiencing recurrent thoughts that others would be better off without her.</w:t>
      </w:r>
    </w:p>
    <w:p>
      <w:pPr>
        <w:keepNext w:val="0"/>
        <w:spacing w:after="100"/>
      </w:pPr>
      <w:r>
        <w:rPr>
          <w:rFonts w:ascii="Aptos" w:hAnsi="Aptos"/>
          <w:color w:val="24313A"/>
        </w:rPr>
        <w:t>A cousin noticed that Keisha had stopped responding and helped her reach crisis care. The fictional arc begins after discharge. It does not include method detail. The clinical challenge is to portray direct safety assessment, autonomy, and uneven recovery without turning crisis into spectacle.</w:t>
      </w:r>
    </w:p>
    <w:p>
      <w:pPr>
        <w:pStyle w:val="Heading1"/>
      </w:pPr>
      <w:r>
        <w:t>Presenting themes for scripted sessions</w:t>
      </w:r>
    </w:p>
    <w:p>
      <w:pPr>
        <w:pStyle w:val="ListBullet"/>
        <w:spacing w:after="50"/>
      </w:pPr>
      <w:r>
        <w:rPr>
          <w:rFonts w:ascii="Aptos" w:hAnsi="Aptos"/>
          <w:color w:val="24313A"/>
          <w:sz w:val="20"/>
        </w:rPr>
        <w:t>Fear that disclosure will lead to loss of control or punitive care.</w:t>
      </w:r>
    </w:p>
    <w:p>
      <w:pPr>
        <w:pStyle w:val="ListBullet"/>
        <w:spacing w:after="50"/>
      </w:pPr>
      <w:r>
        <w:rPr>
          <w:rFonts w:ascii="Aptos" w:hAnsi="Aptos"/>
          <w:color w:val="24313A"/>
          <w:sz w:val="20"/>
        </w:rPr>
        <w:t>Rebuilding sleep, food, housing, and social contact as clinical context rather than background noise.</w:t>
      </w:r>
    </w:p>
    <w:p>
      <w:pPr>
        <w:pStyle w:val="ListBullet"/>
        <w:spacing w:after="50"/>
      </w:pPr>
      <w:r>
        <w:rPr>
          <w:rFonts w:ascii="Aptos" w:hAnsi="Aptos"/>
          <w:color w:val="24313A"/>
          <w:sz w:val="20"/>
        </w:rPr>
        <w:t>Passive death wishes that fluctuate and require direct, repeated assessment.</w:t>
      </w:r>
    </w:p>
    <w:p>
      <w:pPr>
        <w:pStyle w:val="ListBullet"/>
        <w:spacing w:after="50"/>
      </w:pPr>
      <w:r>
        <w:rPr>
          <w:rFonts w:ascii="Aptos" w:hAnsi="Aptos"/>
          <w:color w:val="24313A"/>
          <w:sz w:val="20"/>
        </w:rPr>
        <w:t>Shame after hospitalization and uncertainty about returning to work.</w:t>
      </w:r>
    </w:p>
    <w:p>
      <w:r>
        <w:br w:type="page"/>
      </w:r>
    </w:p>
    <w:p>
      <w:pPr>
        <w:pStyle w:val="Heading1"/>
      </w:pPr>
      <w:r>
        <w:t>Clinical framing</w:t>
      </w:r>
    </w:p>
    <w:p>
      <w:pPr>
        <w:keepNext w:val="0"/>
        <w:spacing w:after="100"/>
      </w:pPr>
      <w:r>
        <w:rPr>
          <w:rFonts w:ascii="Aptos" w:hAnsi="Aptos"/>
          <w:color w:val="24313A"/>
        </w:rPr>
        <w:t>The framing below is intentionally tentative. A therapist in the script checks whether an observation fits, uses current information, and preserves the client's ability to disagree or revise the account.</w:t>
      </w:r>
    </w:p>
    <w:p>
      <w:pPr>
        <w:keepNext w:val="0"/>
        <w:spacing w:after="100"/>
      </w:pPr>
      <w:r>
        <w:rPr>
          <w:rFonts w:ascii="Aptos" w:hAnsi="Aptos"/>
          <w:b/>
          <w:color w:val="377A78"/>
        </w:rPr>
        <w:t xml:space="preserve">Working formulation </w:t>
      </w:r>
      <w:r>
        <w:rPr>
          <w:rFonts w:ascii="Aptos" w:hAnsi="Aptos"/>
          <w:color w:val="24313A"/>
        </w:rPr>
        <w:t>Keisha's risk and distress may fluctuate with sleep loss, isolation, housing uncertainty, shame, and rapid accumulation of stress. No single generated narrative should determine risk level or disposition.</w:t>
      </w:r>
    </w:p>
    <w:p>
      <w:pPr>
        <w:keepNext w:val="0"/>
        <w:spacing w:after="100"/>
      </w:pPr>
      <w:r>
        <w:rPr>
          <w:rFonts w:ascii="Aptos" w:hAnsi="Aptos"/>
          <w:b/>
          <w:color w:val="377A78"/>
        </w:rPr>
        <w:t xml:space="preserve">Protective factors and supports </w:t>
      </w:r>
      <w:r>
        <w:rPr>
          <w:rFonts w:ascii="Aptos" w:hAnsi="Aptos"/>
          <w:color w:val="24313A"/>
        </w:rPr>
        <w:t>Active connection with cousin and niece, willingness to use a written safety plan, psychiatric follow-up, temporary stable housing, and future-oriented employment decisions.</w:t>
      </w:r>
    </w:p>
    <w:p>
      <w:pPr>
        <w:keepNext w:val="0"/>
        <w:spacing w:after="100"/>
      </w:pPr>
      <w:r>
        <w:rPr>
          <w:rFonts w:ascii="Aptos" w:hAnsi="Aptos"/>
          <w:b/>
          <w:color w:val="377A78"/>
        </w:rPr>
        <w:t xml:space="preserve">Relational pattern in therapy </w:t>
      </w:r>
      <w:r>
        <w:rPr>
          <w:rFonts w:ascii="Aptos" w:hAnsi="Aptos"/>
          <w:color w:val="24313A"/>
        </w:rPr>
        <w:t>Keisha watches for vague reassurance or coercion. Trust depends on clear explanations, direct questions, and visible respect for her participation in decisions.</w:t>
      </w:r>
    </w:p>
    <w:p>
      <w:pPr>
        <w:keepNext w:val="0"/>
        <w:spacing w:after="100"/>
      </w:pPr>
      <w:r>
        <w:rPr>
          <w:rFonts w:ascii="Aptos" w:hAnsi="Aptos"/>
          <w:b/>
          <w:color w:val="377A78"/>
        </w:rPr>
        <w:t xml:space="preserve">Therapeutic stance </w:t>
      </w:r>
      <w:r>
        <w:rPr>
          <w:rFonts w:ascii="Aptos" w:hAnsi="Aptos"/>
          <w:color w:val="24313A"/>
        </w:rPr>
        <w:t>Direct collaborative safety assessment, practical stabilization, transparent limits of confidentiality, paced meaning-making, and coordination with appropriate care.</w:t>
      </w:r>
    </w:p>
    <w:p>
      <w:pPr>
        <w:pStyle w:val="Heading1"/>
      </w:pPr>
      <w:r>
        <w:t>Safety and complexity boundaries</w:t>
      </w:r>
    </w:p>
    <w:p>
      <w:pPr>
        <w:pStyle w:val="ListBullet"/>
        <w:spacing w:after="50"/>
      </w:pPr>
      <w:r>
        <w:rPr>
          <w:rFonts w:ascii="Aptos" w:hAnsi="Aptos"/>
          <w:color w:val="24313A"/>
          <w:sz w:val="20"/>
        </w:rPr>
        <w:t>Every safety assessment is conducted by a qualified clinician using current information; the script never lets a model score determine action.</w:t>
      </w:r>
    </w:p>
    <w:p>
      <w:pPr>
        <w:pStyle w:val="ListBullet"/>
        <w:spacing w:after="50"/>
      </w:pPr>
      <w:r>
        <w:rPr>
          <w:rFonts w:ascii="Aptos" w:hAnsi="Aptos"/>
          <w:color w:val="24313A"/>
          <w:sz w:val="20"/>
        </w:rPr>
        <w:t>Do not include method, rehearsal, or graphic details. Use plain language about suicidal thoughts, intent, access, protective factors, and ability to use supports.</w:t>
      </w:r>
    </w:p>
    <w:p>
      <w:pPr>
        <w:pStyle w:val="ListBullet"/>
        <w:spacing w:after="50"/>
      </w:pPr>
      <w:r>
        <w:rPr>
          <w:rFonts w:ascii="Aptos" w:hAnsi="Aptos"/>
          <w:color w:val="24313A"/>
          <w:sz w:val="20"/>
        </w:rPr>
        <w:t>If imminent danger appears in a generated session, the therapist pauses the planned arc and follows emergency policy rather than preserving narrative continuity.</w:t>
      </w:r>
    </w:p>
    <w:p>
      <w:pPr>
        <w:pStyle w:val="ListBullet"/>
        <w:spacing w:after="50"/>
      </w:pPr>
      <w:r>
        <w:rPr>
          <w:rFonts w:ascii="Aptos" w:hAnsi="Aptos"/>
          <w:color w:val="24313A"/>
          <w:sz w:val="20"/>
        </w:rPr>
        <w:t>Recovery remains nonlinear. A recurrence of thoughts is a reason for reassessment, not proof that treatment failed.</w:t>
      </w:r>
    </w:p>
    <w:p>
      <w:pPr>
        <w:pStyle w:val="Heading1"/>
      </w:pPr>
      <w:r>
        <w:t>Overarching trajectory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41"/>
        <w:gridCol w:w="2541"/>
        <w:gridCol w:w="2541"/>
        <w:gridCol w:w="2541"/>
      </w:tblGrid>
      <w:tr>
        <w:trPr>
          <w:tblHeader w:val="true"/>
        </w:trPr>
        <w:tc>
          <w:tcPr>
            <w:tcW w:type="dxa" w:w="792"/>
            <w:shd w:fill="377A78"/>
            <w:tcMar>
              <w:top w:w="90" w:type="dxa"/>
              <w:start w:w="110" w:type="dxa"/>
              <w:bottom w:w="90" w:type="dxa"/>
              <w:end w:w="110" w:type="dxa"/>
            </w:tcMar>
          </w:tcPr>
          <w:p>
            <w:r>
              <w:rPr>
                <w:rFonts w:ascii="Aptos" w:hAnsi="Aptos"/>
                <w:b/>
                <w:color w:val="FFFFFF"/>
                <w:sz w:val="17"/>
              </w:rPr>
              <w:t>Phase</w:t>
            </w:r>
          </w:p>
        </w:tc>
        <w:tc>
          <w:tcPr>
            <w:tcW w:type="dxa" w:w="1224"/>
            <w:shd w:fill="377A78"/>
            <w:tcMar>
              <w:top w:w="90" w:type="dxa"/>
              <w:start w:w="110" w:type="dxa"/>
              <w:bottom w:w="90" w:type="dxa"/>
              <w:end w:w="110" w:type="dxa"/>
            </w:tcMar>
          </w:tcPr>
          <w:p>
            <w:r>
              <w:rPr>
                <w:rFonts w:ascii="Aptos" w:hAnsi="Aptos"/>
                <w:b/>
                <w:color w:val="FFFFFF"/>
                <w:sz w:val="17"/>
              </w:rPr>
              <w:t>Sessions</w:t>
            </w:r>
          </w:p>
        </w:tc>
        <w:tc>
          <w:tcPr>
            <w:tcW w:type="dxa" w:w="4320"/>
            <w:shd w:fill="377A78"/>
            <w:tcMar>
              <w:top w:w="90" w:type="dxa"/>
              <w:start w:w="110" w:type="dxa"/>
              <w:bottom w:w="90" w:type="dxa"/>
              <w:end w:w="110" w:type="dxa"/>
            </w:tcMar>
          </w:tcPr>
          <w:p>
            <w:r>
              <w:rPr>
                <w:rFonts w:ascii="Aptos" w:hAnsi="Aptos"/>
                <w:b/>
                <w:color w:val="FFFFFF"/>
                <w:sz w:val="17"/>
              </w:rPr>
              <w:t>Narrative movement</w:t>
            </w:r>
          </w:p>
        </w:tc>
        <w:tc>
          <w:tcPr>
            <w:tcW w:type="dxa" w:w="2952"/>
            <w:shd w:fill="377A78"/>
            <w:tcMar>
              <w:top w:w="90" w:type="dxa"/>
              <w:start w:w="110" w:type="dxa"/>
              <w:bottom w:w="90" w:type="dxa"/>
              <w:end w:w="110" w:type="dxa"/>
            </w:tcMar>
          </w:tcPr>
          <w:p>
            <w:r>
              <w:rPr>
                <w:rFonts w:ascii="Aptos" w:hAnsi="Aptos"/>
                <w:b/>
                <w:color w:val="FFFFFF"/>
                <w:sz w:val="17"/>
              </w:rPr>
              <w:t>Observable shift</w:t>
            </w:r>
          </w:p>
        </w:tc>
      </w:tr>
      <w:tr>
        <w:tc>
          <w:tcPr>
            <w:tcW w:type="dxa" w:w="792"/>
            <w:vAlign w:val="center"/>
            <w:tcMar>
              <w:top w:w="90" w:type="dxa"/>
              <w:start w:w="110" w:type="dxa"/>
              <w:bottom w:w="90" w:type="dxa"/>
              <w:end w:w="110" w:type="dxa"/>
            </w:tcMar>
          </w:tcPr>
          <w:p>
            <w:pPr>
              <w:spacing w:after="0"/>
            </w:pPr>
            <w:r>
              <w:rPr>
                <w:rFonts w:ascii="Aptos" w:hAnsi="Aptos"/>
                <w:b/>
                <w:color w:val="24313A"/>
                <w:sz w:val="17"/>
              </w:rPr>
              <w:t>1</w:t>
            </w:r>
          </w:p>
        </w:tc>
        <w:tc>
          <w:tcPr>
            <w:tcW w:type="dxa" w:w="1224"/>
            <w:vAlign w:val="center"/>
            <w:tcMar>
              <w:top w:w="90" w:type="dxa"/>
              <w:start w:w="110" w:type="dxa"/>
              <w:bottom w:w="90" w:type="dxa"/>
              <w:end w:w="110" w:type="dxa"/>
            </w:tcMar>
          </w:tcPr>
          <w:p>
            <w:pPr>
              <w:spacing w:after="0"/>
            </w:pPr>
            <w:r>
              <w:rPr>
                <w:rFonts w:ascii="Aptos" w:hAnsi="Aptos"/>
                <w:b w:val="0"/>
                <w:color w:val="24313A"/>
                <w:sz w:val="17"/>
              </w:rPr>
              <w:t>1-3</w:t>
            </w:r>
          </w:p>
        </w:tc>
        <w:tc>
          <w:tcPr>
            <w:tcW w:type="dxa" w:w="4320"/>
            <w:vAlign w:val="center"/>
            <w:tcMar>
              <w:top w:w="90" w:type="dxa"/>
              <w:start w:w="110" w:type="dxa"/>
              <w:bottom w:w="90" w:type="dxa"/>
              <w:end w:w="110" w:type="dxa"/>
            </w:tcMar>
          </w:tcPr>
          <w:p>
            <w:pPr>
              <w:spacing w:after="0"/>
            </w:pPr>
            <w:r>
              <w:rPr>
                <w:rFonts w:ascii="Aptos" w:hAnsi="Aptos"/>
                <w:b w:val="0"/>
                <w:color w:val="24313A"/>
                <w:sz w:val="17"/>
              </w:rPr>
              <w:t>Establish transparent safety work and stabilize immediate routines and housing.</w:t>
            </w:r>
          </w:p>
        </w:tc>
        <w:tc>
          <w:tcPr>
            <w:tcW w:type="dxa" w:w="2952"/>
            <w:vAlign w:val="center"/>
            <w:tcMar>
              <w:top w:w="90" w:type="dxa"/>
              <w:start w:w="110" w:type="dxa"/>
              <w:bottom w:w="90" w:type="dxa"/>
              <w:end w:w="110" w:type="dxa"/>
            </w:tcMar>
          </w:tcPr>
          <w:p>
            <w:pPr>
              <w:spacing w:after="0"/>
            </w:pPr>
            <w:r>
              <w:rPr>
                <w:rFonts w:ascii="Aptos" w:hAnsi="Aptos"/>
                <w:b w:val="0"/>
                <w:color w:val="24313A"/>
                <w:sz w:val="17"/>
              </w:rPr>
              <w:t>Keisha experiences direct assessment as collaborative rather than punitive.</w:t>
            </w:r>
          </w:p>
        </w:tc>
      </w:tr>
      <w:tr>
        <w:tc>
          <w:tcPr>
            <w:tcW w:type="dxa" w:w="792"/>
            <w:vAlign w:val="center"/>
            <w:tcMar>
              <w:top w:w="90" w:type="dxa"/>
              <w:start w:w="110" w:type="dxa"/>
              <w:bottom w:w="90" w:type="dxa"/>
              <w:end w:w="110" w:type="dxa"/>
            </w:tcMar>
            <w:shd w:fill="EAF3F2"/>
          </w:tcPr>
          <w:p>
            <w:pPr>
              <w:spacing w:after="0"/>
            </w:pPr>
            <w:r>
              <w:rPr>
                <w:rFonts w:ascii="Aptos" w:hAnsi="Aptos"/>
                <w:b/>
                <w:color w:val="24313A"/>
                <w:sz w:val="17"/>
              </w:rPr>
              <w:t>2</w:t>
            </w:r>
          </w:p>
        </w:tc>
        <w:tc>
          <w:tcPr>
            <w:tcW w:type="dxa" w:w="1224"/>
            <w:vAlign w:val="center"/>
            <w:tcMar>
              <w:top w:w="90" w:type="dxa"/>
              <w:start w:w="110" w:type="dxa"/>
              <w:bottom w:w="90" w:type="dxa"/>
              <w:end w:w="110" w:type="dxa"/>
            </w:tcMar>
            <w:shd w:fill="EAF3F2"/>
          </w:tcPr>
          <w:p>
            <w:pPr>
              <w:spacing w:after="0"/>
            </w:pPr>
            <w:r>
              <w:rPr>
                <w:rFonts w:ascii="Aptos" w:hAnsi="Aptos"/>
                <w:b w:val="0"/>
                <w:color w:val="24313A"/>
                <w:sz w:val="17"/>
              </w:rPr>
              <w:t>4-7</w:t>
            </w:r>
          </w:p>
        </w:tc>
        <w:tc>
          <w:tcPr>
            <w:tcW w:type="dxa" w:w="4320"/>
            <w:vAlign w:val="center"/>
            <w:tcMar>
              <w:top w:w="90" w:type="dxa"/>
              <w:start w:w="110" w:type="dxa"/>
              <w:bottom w:w="90" w:type="dxa"/>
              <w:end w:w="110" w:type="dxa"/>
            </w:tcMar>
            <w:shd w:fill="EAF3F2"/>
          </w:tcPr>
          <w:p>
            <w:pPr>
              <w:spacing w:after="0"/>
            </w:pPr>
            <w:r>
              <w:rPr>
                <w:rFonts w:ascii="Aptos" w:hAnsi="Aptos"/>
                <w:b w:val="0"/>
                <w:color w:val="24313A"/>
                <w:sz w:val="17"/>
              </w:rPr>
              <w:t>Rebuild support, address shame, and test a gradual work return.</w:t>
            </w:r>
          </w:p>
        </w:tc>
        <w:tc>
          <w:tcPr>
            <w:tcW w:type="dxa" w:w="2952"/>
            <w:vAlign w:val="center"/>
            <w:tcMar>
              <w:top w:w="90" w:type="dxa"/>
              <w:start w:w="110" w:type="dxa"/>
              <w:bottom w:w="90" w:type="dxa"/>
              <w:end w:w="110" w:type="dxa"/>
            </w:tcMar>
            <w:shd w:fill="EAF3F2"/>
          </w:tcPr>
          <w:p>
            <w:pPr>
              <w:spacing w:after="0"/>
            </w:pPr>
            <w:r>
              <w:rPr>
                <w:rFonts w:ascii="Aptos" w:hAnsi="Aptos"/>
                <w:b w:val="0"/>
                <w:color w:val="24313A"/>
                <w:sz w:val="17"/>
              </w:rPr>
              <w:t>She discloses a worsening evening before it becomes an emergency.</w:t>
            </w:r>
          </w:p>
        </w:tc>
      </w:tr>
      <w:tr>
        <w:tc>
          <w:tcPr>
            <w:tcW w:type="dxa" w:w="792"/>
            <w:vAlign w:val="center"/>
            <w:tcMar>
              <w:top w:w="90" w:type="dxa"/>
              <w:start w:w="110" w:type="dxa"/>
              <w:bottom w:w="90" w:type="dxa"/>
              <w:end w:w="110" w:type="dxa"/>
            </w:tcMar>
          </w:tcPr>
          <w:p>
            <w:pPr>
              <w:spacing w:after="0"/>
            </w:pPr>
            <w:r>
              <w:rPr>
                <w:rFonts w:ascii="Aptos" w:hAnsi="Aptos"/>
                <w:b/>
                <w:color w:val="24313A"/>
                <w:sz w:val="17"/>
              </w:rPr>
              <w:t>3</w:t>
            </w:r>
          </w:p>
        </w:tc>
        <w:tc>
          <w:tcPr>
            <w:tcW w:type="dxa" w:w="1224"/>
            <w:vAlign w:val="center"/>
            <w:tcMar>
              <w:top w:w="90" w:type="dxa"/>
              <w:start w:w="110" w:type="dxa"/>
              <w:bottom w:w="90" w:type="dxa"/>
              <w:end w:w="110" w:type="dxa"/>
            </w:tcMar>
          </w:tcPr>
          <w:p>
            <w:pPr>
              <w:spacing w:after="0"/>
            </w:pPr>
            <w:r>
              <w:rPr>
                <w:rFonts w:ascii="Aptos" w:hAnsi="Aptos"/>
                <w:b w:val="0"/>
                <w:color w:val="24313A"/>
                <w:sz w:val="17"/>
              </w:rPr>
              <w:t>8-10</w:t>
            </w:r>
          </w:p>
        </w:tc>
        <w:tc>
          <w:tcPr>
            <w:tcW w:type="dxa" w:w="4320"/>
            <w:vAlign w:val="center"/>
            <w:tcMar>
              <w:top w:w="90" w:type="dxa"/>
              <w:start w:w="110" w:type="dxa"/>
              <w:bottom w:w="90" w:type="dxa"/>
              <w:end w:w="110" w:type="dxa"/>
            </w:tcMar>
          </w:tcPr>
          <w:p>
            <w:pPr>
              <w:spacing w:after="0"/>
            </w:pPr>
            <w:r>
              <w:rPr>
                <w:rFonts w:ascii="Aptos" w:hAnsi="Aptos"/>
                <w:b w:val="0"/>
                <w:color w:val="24313A"/>
                <w:sz w:val="17"/>
              </w:rPr>
              <w:t>Process the crisis carefully and strengthen a durable response plan.</w:t>
            </w:r>
          </w:p>
        </w:tc>
        <w:tc>
          <w:tcPr>
            <w:tcW w:type="dxa" w:w="2952"/>
            <w:vAlign w:val="center"/>
            <w:tcMar>
              <w:top w:w="90" w:type="dxa"/>
              <w:start w:w="110" w:type="dxa"/>
              <w:bottom w:w="90" w:type="dxa"/>
              <w:end w:w="110" w:type="dxa"/>
            </w:tcMar>
          </w:tcPr>
          <w:p>
            <w:pPr>
              <w:spacing w:after="0"/>
            </w:pPr>
            <w:r>
              <w:rPr>
                <w:rFonts w:ascii="Aptos" w:hAnsi="Aptos"/>
                <w:b w:val="0"/>
                <w:color w:val="24313A"/>
                <w:sz w:val="17"/>
              </w:rPr>
              <w:t>Keisha can name risk changes, choices, and supports without claiming permanent resolution.</w:t>
            </w:r>
          </w:p>
        </w:tc>
      </w:tr>
    </w:tbl>
    <w:p>
      <w:pPr>
        <w:pStyle w:val="Heading1"/>
      </w:pPr>
      <w:r>
        <w:t>Session by session plan</w:t>
      </w:r>
    </w:p>
    <w:p>
      <w:pPr>
        <w:pStyle w:val="Heading2"/>
      </w:pPr>
      <w:r>
        <w:t>Session 1 What happens when I answer honestly</w:t>
      </w:r>
    </w:p>
    <w:p>
      <w:pPr>
        <w:keepNext/>
        <w:spacing w:after="40"/>
      </w:pPr>
      <w:r>
        <w:rPr>
          <w:rFonts w:ascii="Aptos" w:hAnsi="Aptos"/>
          <w:b/>
          <w:color w:val="377A78"/>
        </w:rPr>
        <w:t xml:space="preserve">Focus </w:t>
      </w:r>
      <w:r>
        <w:rPr>
          <w:rFonts w:ascii="Aptos" w:hAnsi="Aptos"/>
          <w:color w:val="24313A"/>
        </w:rPr>
        <w:t>The therapist explains confidentiality and asks directly about current suicidal thoughts, intent, access, and supports.</w:t>
      </w:r>
    </w:p>
    <w:p>
      <w:pPr>
        <w:keepNext/>
        <w:spacing w:after="40"/>
      </w:pPr>
      <w:r>
        <w:rPr>
          <w:rFonts w:ascii="Aptos" w:hAnsi="Aptos"/>
          <w:b/>
          <w:color w:val="377A78"/>
        </w:rPr>
        <w:t xml:space="preserve">Possible movement </w:t>
      </w:r>
      <w:r>
        <w:rPr>
          <w:rFonts w:ascii="Aptos" w:hAnsi="Aptos"/>
          <w:color w:val="24313A"/>
        </w:rPr>
        <w:t>Keisha corrects an assumption and participates in updating the safety plan.</w:t>
      </w:r>
    </w:p>
    <w:p>
      <w:pPr>
        <w:keepNext w:val="0"/>
        <w:spacing w:after="100"/>
      </w:pPr>
      <w:r>
        <w:rPr>
          <w:rFonts w:ascii="Aptos" w:hAnsi="Aptos"/>
          <w:b/>
          <w:color w:val="377A78"/>
        </w:rPr>
        <w:t xml:space="preserve">Carry forward </w:t>
      </w:r>
      <w:r>
        <w:rPr>
          <w:rFonts w:ascii="Aptos" w:hAnsi="Aptos"/>
          <w:color w:val="24313A"/>
        </w:rPr>
        <w:t>Confirm follow-up contacts and immediate needs.</w:t>
      </w:r>
    </w:p>
    <w:p>
      <w:pPr>
        <w:pStyle w:val="Heading2"/>
      </w:pPr>
      <w:r>
        <w:t>Session 2 The first night back</w:t>
      </w:r>
    </w:p>
    <w:p>
      <w:pPr>
        <w:keepNext/>
        <w:spacing w:after="40"/>
      </w:pPr>
      <w:r>
        <w:rPr>
          <w:rFonts w:ascii="Aptos" w:hAnsi="Aptos"/>
          <w:b/>
          <w:color w:val="377A78"/>
        </w:rPr>
        <w:t xml:space="preserve">Focus </w:t>
      </w:r>
      <w:r>
        <w:rPr>
          <w:rFonts w:ascii="Aptos" w:hAnsi="Aptos"/>
          <w:color w:val="24313A"/>
        </w:rPr>
        <w:t>Sleep, meals, medication questions, and temporary housing are reviewed alongside risk.</w:t>
      </w:r>
    </w:p>
    <w:p>
      <w:pPr>
        <w:keepNext/>
        <w:spacing w:after="40"/>
      </w:pPr>
      <w:r>
        <w:rPr>
          <w:rFonts w:ascii="Aptos" w:hAnsi="Aptos"/>
          <w:b/>
          <w:color w:val="377A78"/>
        </w:rPr>
        <w:t xml:space="preserve">Possible movement </w:t>
      </w:r>
      <w:r>
        <w:rPr>
          <w:rFonts w:ascii="Aptos" w:hAnsi="Aptos"/>
          <w:color w:val="24313A"/>
        </w:rPr>
        <w:t>Keisha chooses two realistic anchors rather than a full recovery schedule.</w:t>
      </w:r>
    </w:p>
    <w:p>
      <w:pPr>
        <w:keepNext w:val="0"/>
        <w:spacing w:after="100"/>
      </w:pPr>
      <w:r>
        <w:rPr>
          <w:rFonts w:ascii="Aptos" w:hAnsi="Aptos"/>
          <w:b/>
          <w:color w:val="377A78"/>
        </w:rPr>
        <w:t xml:space="preserve">Carry forward </w:t>
      </w:r>
      <w:r>
        <w:rPr>
          <w:rFonts w:ascii="Aptos" w:hAnsi="Aptos"/>
          <w:color w:val="24313A"/>
        </w:rPr>
        <w:t>Coordinate with the prescriber as authorized.</w:t>
      </w:r>
    </w:p>
    <w:p>
      <w:pPr>
        <w:pStyle w:val="Heading2"/>
      </w:pPr>
      <w:r>
        <w:t>Session 3 The hour that stretches</w:t>
      </w:r>
    </w:p>
    <w:p>
      <w:pPr>
        <w:keepNext/>
        <w:spacing w:after="40"/>
      </w:pPr>
      <w:r>
        <w:rPr>
          <w:rFonts w:ascii="Aptos" w:hAnsi="Aptos"/>
          <w:b/>
          <w:color w:val="377A78"/>
        </w:rPr>
        <w:t xml:space="preserve">Focus </w:t>
      </w:r>
      <w:r>
        <w:rPr>
          <w:rFonts w:ascii="Aptos" w:hAnsi="Aptos"/>
          <w:color w:val="24313A"/>
        </w:rPr>
        <w:t>Evening isolation is identified as a predictable period of increased passive thoughts.</w:t>
      </w:r>
    </w:p>
    <w:p>
      <w:pPr>
        <w:keepNext/>
        <w:spacing w:after="40"/>
      </w:pPr>
      <w:r>
        <w:rPr>
          <w:rFonts w:ascii="Aptos" w:hAnsi="Aptos"/>
          <w:b/>
          <w:color w:val="377A78"/>
        </w:rPr>
        <w:t xml:space="preserve">Possible movement </w:t>
      </w:r>
      <w:r>
        <w:rPr>
          <w:rFonts w:ascii="Aptos" w:hAnsi="Aptos"/>
          <w:color w:val="24313A"/>
        </w:rPr>
        <w:t>She rehearses contacting her cousin before the intensity peaks.</w:t>
      </w:r>
    </w:p>
    <w:p>
      <w:pPr>
        <w:keepNext w:val="0"/>
        <w:spacing w:after="100"/>
      </w:pPr>
      <w:r>
        <w:rPr>
          <w:rFonts w:ascii="Aptos" w:hAnsi="Aptos"/>
          <w:b/>
          <w:color w:val="377A78"/>
        </w:rPr>
        <w:t xml:space="preserve">Carry forward </w:t>
      </w:r>
      <w:r>
        <w:rPr>
          <w:rFonts w:ascii="Aptos" w:hAnsi="Aptos"/>
          <w:color w:val="24313A"/>
        </w:rPr>
        <w:t>Use the written escalation sequence.</w:t>
      </w:r>
    </w:p>
    <w:p>
      <w:pPr>
        <w:pStyle w:val="Heading2"/>
      </w:pPr>
      <w:r>
        <w:t>Session 4 Shame in the waiting room</w:t>
      </w:r>
    </w:p>
    <w:p>
      <w:pPr>
        <w:keepNext/>
        <w:spacing w:after="40"/>
      </w:pPr>
      <w:r>
        <w:rPr>
          <w:rFonts w:ascii="Aptos" w:hAnsi="Aptos"/>
          <w:b/>
          <w:color w:val="377A78"/>
        </w:rPr>
        <w:t xml:space="preserve">Focus </w:t>
      </w:r>
      <w:r>
        <w:rPr>
          <w:rFonts w:ascii="Aptos" w:hAnsi="Aptos"/>
          <w:color w:val="24313A"/>
        </w:rPr>
        <w:t>Keisha worries coworkers and family now see her as fragile.</w:t>
      </w:r>
    </w:p>
    <w:p>
      <w:pPr>
        <w:keepNext/>
        <w:spacing w:after="40"/>
      </w:pPr>
      <w:r>
        <w:rPr>
          <w:rFonts w:ascii="Aptos" w:hAnsi="Aptos"/>
          <w:b/>
          <w:color w:val="377A78"/>
        </w:rPr>
        <w:t xml:space="preserve">Possible movement </w:t>
      </w:r>
      <w:r>
        <w:rPr>
          <w:rFonts w:ascii="Aptos" w:hAnsi="Aptos"/>
          <w:color w:val="24313A"/>
        </w:rPr>
        <w:t>The therapist separates privacy choices from secrecy driven by shame.</w:t>
      </w:r>
    </w:p>
    <w:p>
      <w:pPr>
        <w:keepNext w:val="0"/>
        <w:spacing w:after="100"/>
      </w:pPr>
      <w:r>
        <w:rPr>
          <w:rFonts w:ascii="Aptos" w:hAnsi="Aptos"/>
          <w:b/>
          <w:color w:val="377A78"/>
        </w:rPr>
        <w:t xml:space="preserve">Carry forward </w:t>
      </w:r>
      <w:r>
        <w:rPr>
          <w:rFonts w:ascii="Aptos" w:hAnsi="Aptos"/>
          <w:color w:val="24313A"/>
        </w:rPr>
        <w:t>Choose what, if anything, to share at work.</w:t>
      </w:r>
    </w:p>
    <w:p>
      <w:pPr>
        <w:pStyle w:val="Heading2"/>
      </w:pPr>
      <w:r>
        <w:t>Session 5 Returning for four hours</w:t>
      </w:r>
    </w:p>
    <w:p>
      <w:pPr>
        <w:keepNext/>
        <w:spacing w:after="40"/>
      </w:pPr>
      <w:r>
        <w:rPr>
          <w:rFonts w:ascii="Aptos" w:hAnsi="Aptos"/>
          <w:b/>
          <w:color w:val="377A78"/>
        </w:rPr>
        <w:t xml:space="preserve">Focus </w:t>
      </w:r>
      <w:r>
        <w:rPr>
          <w:rFonts w:ascii="Aptos" w:hAnsi="Aptos"/>
          <w:color w:val="24313A"/>
        </w:rPr>
        <w:t>A limited work shift brings competence and exhaustion.</w:t>
      </w:r>
    </w:p>
    <w:p>
      <w:pPr>
        <w:keepNext/>
        <w:spacing w:after="40"/>
      </w:pPr>
      <w:r>
        <w:rPr>
          <w:rFonts w:ascii="Aptos" w:hAnsi="Aptos"/>
          <w:b/>
          <w:color w:val="377A78"/>
        </w:rPr>
        <w:t xml:space="preserve">Possible movement </w:t>
      </w:r>
      <w:r>
        <w:rPr>
          <w:rFonts w:ascii="Aptos" w:hAnsi="Aptos"/>
          <w:color w:val="24313A"/>
        </w:rPr>
        <w:t>Keisha notices warning signs before pushing through them.</w:t>
      </w:r>
    </w:p>
    <w:p>
      <w:pPr>
        <w:keepNext w:val="0"/>
        <w:spacing w:after="100"/>
      </w:pPr>
      <w:r>
        <w:rPr>
          <w:rFonts w:ascii="Aptos" w:hAnsi="Aptos"/>
          <w:b/>
          <w:color w:val="377A78"/>
        </w:rPr>
        <w:t xml:space="preserve">Carry forward </w:t>
      </w:r>
      <w:r>
        <w:rPr>
          <w:rFonts w:ascii="Aptos" w:hAnsi="Aptos"/>
          <w:color w:val="24313A"/>
        </w:rPr>
        <w:t>Review the return-to-work pace.</w:t>
      </w:r>
    </w:p>
    <w:p>
      <w:pPr>
        <w:pStyle w:val="Heading2"/>
      </w:pPr>
      <w:r>
        <w:t>Session 6 The difficult Tuesday</w:t>
      </w:r>
    </w:p>
    <w:p>
      <w:pPr>
        <w:keepNext/>
        <w:spacing w:after="40"/>
      </w:pPr>
      <w:r>
        <w:rPr>
          <w:rFonts w:ascii="Aptos" w:hAnsi="Aptos"/>
          <w:b/>
          <w:color w:val="377A78"/>
        </w:rPr>
        <w:t xml:space="preserve">Focus </w:t>
      </w:r>
      <w:r>
        <w:rPr>
          <w:rFonts w:ascii="Aptos" w:hAnsi="Aptos"/>
          <w:color w:val="24313A"/>
        </w:rPr>
        <w:t>A housing setback and poor sleep bring back stronger suicidal thoughts without current intent.</w:t>
      </w:r>
    </w:p>
    <w:p>
      <w:pPr>
        <w:keepNext/>
        <w:spacing w:after="40"/>
      </w:pPr>
      <w:r>
        <w:rPr>
          <w:rFonts w:ascii="Aptos" w:hAnsi="Aptos"/>
          <w:b/>
          <w:color w:val="377A78"/>
        </w:rPr>
        <w:t xml:space="preserve">Possible movement </w:t>
      </w:r>
      <w:r>
        <w:rPr>
          <w:rFonts w:ascii="Aptos" w:hAnsi="Aptos"/>
          <w:color w:val="24313A"/>
        </w:rPr>
        <w:t>She tells the therapist and uses supports; the session reassesses safety directly.</w:t>
      </w:r>
    </w:p>
    <w:p>
      <w:pPr>
        <w:keepNext w:val="0"/>
        <w:spacing w:after="100"/>
      </w:pPr>
      <w:r>
        <w:rPr>
          <w:rFonts w:ascii="Aptos" w:hAnsi="Aptos"/>
          <w:b/>
          <w:color w:val="377A78"/>
        </w:rPr>
        <w:t xml:space="preserve">Carry forward </w:t>
      </w:r>
      <w:r>
        <w:rPr>
          <w:rFonts w:ascii="Aptos" w:hAnsi="Aptos"/>
          <w:color w:val="24313A"/>
        </w:rPr>
        <w:t>Increase contact and coordinate care.</w:t>
      </w:r>
    </w:p>
    <w:p>
      <w:pPr>
        <w:pStyle w:val="Heading2"/>
      </w:pPr>
      <w:r>
        <w:t>Session 7 Anger at being watched</w:t>
      </w:r>
    </w:p>
    <w:p>
      <w:pPr>
        <w:keepNext/>
        <w:spacing w:after="40"/>
      </w:pPr>
      <w:r>
        <w:rPr>
          <w:rFonts w:ascii="Aptos" w:hAnsi="Aptos"/>
          <w:b/>
          <w:color w:val="377A78"/>
        </w:rPr>
        <w:t xml:space="preserve">Focus </w:t>
      </w:r>
      <w:r>
        <w:rPr>
          <w:rFonts w:ascii="Aptos" w:hAnsi="Aptos"/>
          <w:color w:val="24313A"/>
        </w:rPr>
        <w:t>Keisha resents check-ins from loved ones and wants more privacy.</w:t>
      </w:r>
    </w:p>
    <w:p>
      <w:pPr>
        <w:keepNext/>
        <w:spacing w:after="40"/>
      </w:pPr>
      <w:r>
        <w:rPr>
          <w:rFonts w:ascii="Aptos" w:hAnsi="Aptos"/>
          <w:b/>
          <w:color w:val="377A78"/>
        </w:rPr>
        <w:t xml:space="preserve">Possible movement </w:t>
      </w:r>
      <w:r>
        <w:rPr>
          <w:rFonts w:ascii="Aptos" w:hAnsi="Aptos"/>
          <w:color w:val="24313A"/>
        </w:rPr>
        <w:t>She negotiates a support plan that includes boundaries and clear escalation signals.</w:t>
      </w:r>
    </w:p>
    <w:p>
      <w:pPr>
        <w:keepNext w:val="0"/>
        <w:spacing w:after="100"/>
      </w:pPr>
      <w:r>
        <w:rPr>
          <w:rFonts w:ascii="Aptos" w:hAnsi="Aptos"/>
          <w:b/>
          <w:color w:val="377A78"/>
        </w:rPr>
        <w:t xml:space="preserve">Carry forward </w:t>
      </w:r>
      <w:r>
        <w:rPr>
          <w:rFonts w:ascii="Aptos" w:hAnsi="Aptos"/>
          <w:color w:val="24313A"/>
        </w:rPr>
        <w:t>Share the revised plan with consent.</w:t>
      </w:r>
    </w:p>
    <w:p>
      <w:pPr>
        <w:pStyle w:val="Heading2"/>
      </w:pPr>
      <w:r>
        <w:t>Session 8 The story she is not ready to tell</w:t>
      </w:r>
    </w:p>
    <w:p>
      <w:pPr>
        <w:keepNext/>
        <w:spacing w:after="40"/>
      </w:pPr>
      <w:r>
        <w:rPr>
          <w:rFonts w:ascii="Aptos" w:hAnsi="Aptos"/>
          <w:b/>
          <w:color w:val="377A78"/>
        </w:rPr>
        <w:t xml:space="preserve">Focus </w:t>
      </w:r>
      <w:r>
        <w:rPr>
          <w:rFonts w:ascii="Aptos" w:hAnsi="Aptos"/>
          <w:color w:val="24313A"/>
        </w:rPr>
        <w:t>They approach the crisis without demanding a full narrative.</w:t>
      </w:r>
    </w:p>
    <w:p>
      <w:pPr>
        <w:keepNext/>
        <w:spacing w:after="40"/>
      </w:pPr>
      <w:r>
        <w:rPr>
          <w:rFonts w:ascii="Aptos" w:hAnsi="Aptos"/>
          <w:b/>
          <w:color w:val="377A78"/>
        </w:rPr>
        <w:t xml:space="preserve">Possible movement </w:t>
      </w:r>
      <w:r>
        <w:rPr>
          <w:rFonts w:ascii="Aptos" w:hAnsi="Aptos"/>
          <w:color w:val="24313A"/>
        </w:rPr>
        <w:t>Keisha identifies one point where options felt invisible and one point where connection returned.</w:t>
      </w:r>
    </w:p>
    <w:p>
      <w:pPr>
        <w:keepNext w:val="0"/>
        <w:spacing w:after="100"/>
      </w:pPr>
      <w:r>
        <w:rPr>
          <w:rFonts w:ascii="Aptos" w:hAnsi="Aptos"/>
          <w:b/>
          <w:color w:val="377A78"/>
        </w:rPr>
        <w:t xml:space="preserve">Carry forward </w:t>
      </w:r>
      <w:r>
        <w:rPr>
          <w:rFonts w:ascii="Aptos" w:hAnsi="Aptos"/>
          <w:color w:val="24313A"/>
        </w:rPr>
        <w:t>Stop before overwhelm and debrief.</w:t>
      </w:r>
    </w:p>
    <w:p>
      <w:pPr>
        <w:pStyle w:val="Heading2"/>
      </w:pPr>
      <w:r>
        <w:t>Session 9 A plan for the next accumulation</w:t>
      </w:r>
    </w:p>
    <w:p>
      <w:pPr>
        <w:keepNext/>
        <w:spacing w:after="40"/>
      </w:pPr>
      <w:r>
        <w:rPr>
          <w:rFonts w:ascii="Aptos" w:hAnsi="Aptos"/>
          <w:b/>
          <w:color w:val="377A78"/>
        </w:rPr>
        <w:t xml:space="preserve">Focus </w:t>
      </w:r>
      <w:r>
        <w:rPr>
          <w:rFonts w:ascii="Aptos" w:hAnsi="Aptos"/>
          <w:color w:val="24313A"/>
        </w:rPr>
        <w:t>They map combinations of stressors rather than a single trigger.</w:t>
      </w:r>
    </w:p>
    <w:p>
      <w:pPr>
        <w:keepNext/>
        <w:spacing w:after="40"/>
      </w:pPr>
      <w:r>
        <w:rPr>
          <w:rFonts w:ascii="Aptos" w:hAnsi="Aptos"/>
          <w:b/>
          <w:color w:val="377A78"/>
        </w:rPr>
        <w:t xml:space="preserve">Possible movement </w:t>
      </w:r>
      <w:r>
        <w:rPr>
          <w:rFonts w:ascii="Aptos" w:hAnsi="Aptos"/>
          <w:color w:val="24313A"/>
        </w:rPr>
        <w:t>Keisha identifies earlier thresholds for sleep, isolation, and hopelessness.</w:t>
      </w:r>
    </w:p>
    <w:p>
      <w:pPr>
        <w:keepNext w:val="0"/>
        <w:spacing w:after="100"/>
      </w:pPr>
      <w:r>
        <w:rPr>
          <w:rFonts w:ascii="Aptos" w:hAnsi="Aptos"/>
          <w:b/>
          <w:color w:val="377A78"/>
        </w:rPr>
        <w:t xml:space="preserve">Carry forward </w:t>
      </w:r>
      <w:r>
        <w:rPr>
          <w:rFonts w:ascii="Aptos" w:hAnsi="Aptos"/>
          <w:color w:val="24313A"/>
        </w:rPr>
        <w:t>Add thresholds to the safety plan.</w:t>
      </w:r>
    </w:p>
    <w:p>
      <w:pPr>
        <w:pStyle w:val="Heading2"/>
      </w:pPr>
      <w:r>
        <w:t>Session 10 Continuing care without a finish line</w:t>
      </w:r>
    </w:p>
    <w:p>
      <w:pPr>
        <w:keepNext/>
        <w:spacing w:after="40"/>
      </w:pPr>
      <w:r>
        <w:rPr>
          <w:rFonts w:ascii="Aptos" w:hAnsi="Aptos"/>
          <w:b/>
          <w:color w:val="377A78"/>
        </w:rPr>
        <w:t xml:space="preserve">Focus </w:t>
      </w:r>
      <w:r>
        <w:rPr>
          <w:rFonts w:ascii="Aptos" w:hAnsi="Aptos"/>
          <w:color w:val="24313A"/>
        </w:rPr>
        <w:t>The arc reviews current risk, supports, work, housing, and unresolved grief.</w:t>
      </w:r>
    </w:p>
    <w:p>
      <w:pPr>
        <w:keepNext/>
        <w:spacing w:after="40"/>
      </w:pPr>
      <w:r>
        <w:rPr>
          <w:rFonts w:ascii="Aptos" w:hAnsi="Aptos"/>
          <w:b/>
          <w:color w:val="377A78"/>
        </w:rPr>
        <w:t xml:space="preserve">Possible movement </w:t>
      </w:r>
      <w:r>
        <w:rPr>
          <w:rFonts w:ascii="Aptos" w:hAnsi="Aptos"/>
          <w:color w:val="24313A"/>
        </w:rPr>
        <w:t>Keisha defines stability as earlier response and more choice, not absence of difficult thoughts forever.</w:t>
      </w:r>
    </w:p>
    <w:p>
      <w:pPr>
        <w:keepNext w:val="0"/>
        <w:spacing w:after="100"/>
      </w:pPr>
      <w:r>
        <w:rPr>
          <w:rFonts w:ascii="Aptos" w:hAnsi="Aptos"/>
          <w:b/>
          <w:color w:val="377A78"/>
        </w:rPr>
        <w:t xml:space="preserve">Carry forward </w:t>
      </w:r>
      <w:r>
        <w:rPr>
          <w:rFonts w:ascii="Aptos" w:hAnsi="Aptos"/>
          <w:color w:val="24313A"/>
        </w:rPr>
        <w:t>Continue coordinated care.</w:t>
      </w:r>
    </w:p>
    <w:p>
      <w:r>
        <w:br w:type="page"/>
      </w:r>
    </w:p>
    <w:p>
      <w:pPr>
        <w:pStyle w:val="Heading1"/>
      </w:pPr>
      <w:r>
        <w:t>Client voice direction</w:t>
      </w:r>
    </w:p>
    <w:p>
      <w:pPr>
        <w:keepNext w:val="0"/>
        <w:spacing w:after="100"/>
      </w:pPr>
      <w:r>
        <w:rPr>
          <w:rFonts w:ascii="Aptos" w:hAnsi="Aptos"/>
          <w:b/>
          <w:color w:val="377A78"/>
        </w:rPr>
        <w:t xml:space="preserve">Performance </w:t>
      </w:r>
      <w:r>
        <w:rPr>
          <w:rFonts w:ascii="Aptos" w:hAnsi="Aptos"/>
          <w:color w:val="24313A"/>
        </w:rPr>
        <w:t>Full, direct voice; deliberate pace; humor can be sharp; quieter and less polished when discussing the crisis.</w:t>
      </w:r>
    </w:p>
    <w:p>
      <w:pPr>
        <w:keepNext w:val="0"/>
        <w:spacing w:after="100"/>
      </w:pPr>
      <w:r>
        <w:rPr>
          <w:rFonts w:ascii="Aptos" w:hAnsi="Aptos"/>
          <w:b/>
          <w:color w:val="377A78"/>
        </w:rPr>
        <w:t xml:space="preserve">Assignment </w:t>
      </w:r>
      <w:r>
        <w:rPr>
          <w:rFonts w:ascii="Aptos" w:hAnsi="Aptos"/>
          <w:color w:val="24313A"/>
        </w:rPr>
        <w:t>Use Google Gemini TTS voice Sulafat for the client speaker alias KEISHA. Keep the same assignment across every session.</w:t>
      </w:r>
    </w:p>
    <w:p>
      <w:pPr>
        <w:keepNext w:val="0"/>
        <w:spacing w:after="100"/>
      </w:pPr>
      <w:r>
        <w:rPr>
          <w:rFonts w:ascii="Aptos" w:hAnsi="Aptos"/>
          <w:b/>
          <w:color w:val="377A78"/>
        </w:rPr>
        <w:t xml:space="preserve">Arc continuity </w:t>
      </w:r>
      <w:r>
        <w:rPr>
          <w:rFonts w:ascii="Aptos" w:hAnsi="Aptos"/>
          <w:color w:val="24313A"/>
        </w:rPr>
        <w:t>Express change through pacing, pauses, word choice, and willingness to stay with difficult material. Do not perform distress as spectacle or infer emotion from voice alone.</w:t>
      </w:r>
    </w:p>
    <w:p>
      <w:pPr>
        <w:pStyle w:val="Heading1"/>
      </w:pPr>
      <w:r>
        <w:t>Dialogue and production guardrails</w:t>
      </w:r>
    </w:p>
    <w:p>
      <w:pPr>
        <w:pStyle w:val="ListBullet"/>
        <w:spacing w:after="50"/>
      </w:pPr>
      <w:r>
        <w:rPr>
          <w:rFonts w:ascii="Aptos" w:hAnsi="Aptos"/>
          <w:color w:val="24313A"/>
          <w:sz w:val="20"/>
        </w:rPr>
        <w:t>Use exactly two spoken labels: THERAPIST and the client alias shown above. Therapist identity and voice configuration live outside this client record.</w:t>
      </w:r>
    </w:p>
    <w:p>
      <w:pPr>
        <w:pStyle w:val="ListBullet"/>
        <w:spacing w:after="50"/>
      </w:pPr>
      <w:r>
        <w:rPr>
          <w:rFonts w:ascii="Aptos" w:hAnsi="Aptos"/>
          <w:color w:val="24313A"/>
          <w:sz w:val="20"/>
        </w:rPr>
        <w:t>Write one continuous session in six parts of roughly five minutes each; do not repeat greetings or summaries at part boundaries.</w:t>
      </w:r>
    </w:p>
    <w:p>
      <w:pPr>
        <w:pStyle w:val="ListBullet"/>
        <w:spacing w:after="50"/>
      </w:pPr>
      <w:r>
        <w:rPr>
          <w:rFonts w:ascii="Aptos" w:hAnsi="Aptos"/>
          <w:color w:val="24313A"/>
          <w:sz w:val="20"/>
        </w:rPr>
        <w:t>Preserve false starts, corrections, ordinary logistics, and silence. Not every exchange should produce insight.</w:t>
      </w:r>
    </w:p>
    <w:p>
      <w:pPr>
        <w:pStyle w:val="ListBullet"/>
        <w:spacing w:after="50"/>
      </w:pPr>
      <w:r>
        <w:rPr>
          <w:rFonts w:ascii="Aptos" w:hAnsi="Aptos"/>
          <w:color w:val="24313A"/>
          <w:sz w:val="20"/>
        </w:rPr>
        <w:t>Mark non-spoken pauses on their own line, such as [SILENCE - 8 SECONDS - DO NOT SPEAK], and insert them in audio assembly if the model reads or shortens the cue.</w:t>
      </w:r>
    </w:p>
    <w:p>
      <w:pPr>
        <w:pStyle w:val="ListBullet"/>
        <w:spacing w:after="50"/>
      </w:pPr>
      <w:r>
        <w:rPr>
          <w:rFonts w:ascii="Aptos" w:hAnsi="Aptos"/>
          <w:color w:val="24313A"/>
          <w:sz w:val="20"/>
        </w:rPr>
        <w:t>Generated interpretations remain tentative, source-grounded review prompts. A qualified clinician owns assessment, risk decisions, and treatment choices.</w:t>
      </w:r>
    </w:p>
    <w:p>
      <w:pPr>
        <w:pStyle w:val="Heading1"/>
      </w:pPr>
      <w:r>
        <w:t>Continuity checks</w:t>
      </w:r>
    </w:p>
    <w:p>
      <w:pPr>
        <w:pStyle w:val="ListBullet"/>
        <w:spacing w:after="50"/>
      </w:pPr>
      <w:r>
        <w:rPr>
          <w:rFonts w:ascii="Aptos" w:hAnsi="Aptos"/>
          <w:color w:val="24313A"/>
          <w:sz w:val="20"/>
        </w:rPr>
        <w:t>Carry forward concrete facts, prior commitments, unresolved questions, and changes in the client's language.</w:t>
      </w:r>
    </w:p>
    <w:p>
      <w:pPr>
        <w:pStyle w:val="ListBullet"/>
        <w:spacing w:after="50"/>
      </w:pPr>
      <w:r>
        <w:rPr>
          <w:rFonts w:ascii="Aptos" w:hAnsi="Aptos"/>
          <w:color w:val="24313A"/>
          <w:sz w:val="20"/>
        </w:rPr>
        <w:t>Allow setbacks without resetting the character or treating recurrence as failure.</w:t>
      </w:r>
    </w:p>
    <w:p>
      <w:pPr>
        <w:pStyle w:val="ListBullet"/>
        <w:spacing w:after="50"/>
      </w:pPr>
      <w:r>
        <w:rPr>
          <w:rFonts w:ascii="Aptos" w:hAnsi="Aptos"/>
          <w:color w:val="24313A"/>
          <w:sz w:val="20"/>
        </w:rPr>
        <w:t>Keep strengths, humor, relationships, work, and ordinary life visible alongside distress.</w:t>
      </w:r>
    </w:p>
    <w:p>
      <w:pPr>
        <w:pStyle w:val="ListBullet"/>
        <w:spacing w:after="50"/>
      </w:pPr>
      <w:r>
        <w:rPr>
          <w:rFonts w:ascii="Aptos" w:hAnsi="Aptos"/>
          <w:color w:val="24313A"/>
          <w:sz w:val="20"/>
        </w:rPr>
        <w:t>Do not invent a trauma reveal, diagnosis, medication change, or safety event merely to increase drama.</w:t>
      </w:r>
    </w:p>
    <w:p>
      <w:pPr>
        <w:pStyle w:val="ListBullet"/>
        <w:spacing w:after="50"/>
      </w:pPr>
      <w:r>
        <w:rPr>
          <w:rFonts w:ascii="Aptos" w:hAnsi="Aptos"/>
          <w:color w:val="24313A"/>
          <w:sz w:val="20"/>
        </w:rPr>
        <w:t>When a safety boundary is reached, pause the planned arc and model direct assessment and appropriate escalation.</w:t>
      </w:r>
    </w:p>
    <w:p>
      <w:pPr>
        <w:pStyle w:val="Heading1"/>
      </w:pPr>
      <w:r>
        <w:t>Evaluation targets</w:t>
      </w:r>
    </w:p>
    <w:p>
      <w:pPr>
        <w:pStyle w:val="ListBullet"/>
        <w:spacing w:after="50"/>
      </w:pPr>
      <w:r>
        <w:rPr>
          <w:rFonts w:ascii="Aptos" w:hAnsi="Aptos"/>
          <w:color w:val="24313A"/>
          <w:sz w:val="20"/>
        </w:rPr>
        <w:t>Speaker consistency, timestamp alignment, pauses, interruptions, and correction of speaker labels.</w:t>
      </w:r>
    </w:p>
    <w:p>
      <w:pPr>
        <w:pStyle w:val="ListBullet"/>
        <w:spacing w:after="50"/>
      </w:pPr>
      <w:r>
        <w:rPr>
          <w:rFonts w:ascii="Aptos" w:hAnsi="Aptos"/>
          <w:color w:val="24313A"/>
          <w:sz w:val="20"/>
        </w:rPr>
        <w:t>Faithful session summaries that distinguish statements from inferences.</w:t>
      </w:r>
    </w:p>
    <w:p>
      <w:pPr>
        <w:pStyle w:val="ListBullet"/>
        <w:spacing w:after="50"/>
      </w:pPr>
      <w:r>
        <w:rPr>
          <w:rFonts w:ascii="Aptos" w:hAnsi="Aptos"/>
          <w:color w:val="24313A"/>
          <w:sz w:val="20"/>
        </w:rPr>
        <w:t>Longitudinal retrieval of recurring themes only after evidence appears across multiple sessions.</w:t>
      </w:r>
    </w:p>
    <w:p>
      <w:pPr>
        <w:pStyle w:val="ListBullet"/>
        <w:spacing w:after="50"/>
      </w:pPr>
      <w:r>
        <w:rPr>
          <w:rFonts w:ascii="Aptos" w:hAnsi="Aptos"/>
          <w:color w:val="24313A"/>
          <w:sz w:val="20"/>
        </w:rPr>
        <w:t>Respect for clinician corrections, outdated items, and non-diagnostic uncertainty language.</w:t>
      </w:r>
    </w:p>
    <w:p>
      <w:pPr>
        <w:pStyle w:val="ListBullet"/>
        <w:spacing w:after="50"/>
      </w:pPr>
      <w:r>
        <w:rPr>
          <w:rFonts w:ascii="Aptos" w:hAnsi="Aptos"/>
          <w:color w:val="24313A"/>
          <w:sz w:val="20"/>
        </w:rPr>
        <w:t>Appropriate behavior when high-acuity content requires direct human assessment.</w:t>
      </w:r>
    </w:p>
    <w:sectPr w:rsidR="00FC693F" w:rsidRPr="0006063C" w:rsidSect="00034616">
      <w:footerReference w:type="default" r:id="rId9"/>
      <w:pgSz w:w="12240" w:h="15840"/>
      <w:pgMar w:top="893" w:right="1037" w:bottom="835"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5737D"/>
        <w:sz w:val="15"/>
      </w:rPr>
      <w:t>Fictional demonstration material - clinician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2431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Display" w:hAnsi="Aptos Display"/>
      <w:b/>
      <w:bCs/>
      <w:color w:val="24313A"/>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b/>
      <w:bCs/>
      <w:color w:val="24313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Aptos Display" w:hAnsi="Aptos Display"/>
      <w:b/>
      <w:color w:val="2431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Aptos" w:hAnsi="Aptos"/>
      <w:b w:val="0"/>
      <w:i/>
      <w:iCs/>
      <w:color w:val="65737D"/>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Keisha Ward Clinical Trajectory Outline</dc:title>
  <dc:subject>Fictional clinical trajectory for scripted therapy dialogue and voice testing</dc:subject>
  <dc:creator>Therapist Dashboard Demo</dc:creator>
  <cp:keywords>fictional therapy trajectory, synthetic dialogue, Gemini TTS</cp:keywords>
  <dc:description>generated by python-docx</dc:description>
  <cp:lastModifiedBy>Therapist Dashboard Demo</cp:lastModifiedBy>
  <cp:revision>1</cp:revision>
  <dcterms:created xsi:type="dcterms:W3CDTF">2013-12-23T23:15:00Z</dcterms:created>
  <dcterms:modified xsi:type="dcterms:W3CDTF">2013-12-23T23:15:00Z</dcterms:modified>
  <cp:category/>
</cp:coreProperties>
</file>