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b/>
          <w:color w:val="24313A"/>
          <w:sz w:val="52"/>
        </w:rPr>
        <w:t>Owen Park Clinical Trajectory Outline</w:t>
      </w:r>
    </w:p>
    <w:p>
      <w:pPr>
        <w:pStyle w:val="Subtitle"/>
      </w:pPr>
      <w:r>
        <w:rPr>
          <w:rFonts w:ascii="Aptos" w:hAnsi="Aptos"/>
          <w:color w:val="65737D"/>
          <w:sz w:val="21"/>
        </w:rPr>
        <w:t>Fictional client character, session arc, and synthetic voice-test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AGE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34</w:t>
            </w:r>
          </w:p>
        </w:tc>
        <w:tc>
          <w:tcPr>
            <w:tcW w:type="dxa" w:w="3384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SETTING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Outpatient therapy with substance-use assessment and coordinated medical care</w:t>
            </w:r>
          </w:p>
        </w:tc>
        <w:tc>
          <w:tcPr>
            <w:tcW w:type="dxa" w:w="1656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ARC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10 sessions</w:t>
            </w:r>
          </w:p>
        </w:tc>
        <w:tc>
          <w:tcPr>
            <w:tcW w:type="dxa" w:w="2952"/>
            <w:vAlign w:val="center"/>
            <w:shd w:fill="F5F0E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ptos" w:hAnsi="Aptos"/>
                <w:b/>
                <w:color w:val="377A78"/>
                <w:sz w:val="15"/>
              </w:rPr>
              <w:t>COMPLEXITY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24313A"/>
                <w:sz w:val="17"/>
              </w:rPr>
              <w:t>High complexity</w:t>
            </w:r>
          </w:p>
        </w:tc>
      </w:tr>
    </w:tbl>
    <w:p>
      <w:pPr>
        <w:pStyle w:val="Heading1"/>
      </w:pPr>
      <w:r>
        <w:t>Use and interpretation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This fictional composite supports product demonstrations, transcript evaluation, diarization tests, and longitudinal-synthesis review. It is not a diagnosis, risk determination, or treatment recommendation. Generated clinical claims must remain reviewable and linked to their fictional source sessions.</w:t>
      </w:r>
    </w:p>
    <w:p>
      <w:pPr>
        <w:pStyle w:val="Heading1"/>
      </w:pPr>
      <w:r>
        <w:t>Character snapshot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Identity </w:t>
      </w:r>
      <w:r>
        <w:rPr>
          <w:rFonts w:ascii="Aptos" w:hAnsi="Aptos"/>
          <w:color w:val="24313A"/>
        </w:rPr>
        <w:t>Owen Park; age 34; Korean American man; he/him.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Current life </w:t>
      </w:r>
      <w:r>
        <w:rPr>
          <w:rFonts w:ascii="Aptos" w:hAnsi="Aptos"/>
          <w:color w:val="24313A"/>
        </w:rPr>
        <w:t>Recently laid-off technical recruiter living with his partner and seeking help after escalating alcohol use.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Reason for beginning therapy </w:t>
      </w:r>
      <w:r>
        <w:rPr>
          <w:rFonts w:ascii="Aptos" w:hAnsi="Aptos"/>
          <w:color w:val="24313A"/>
        </w:rPr>
        <w:t>Alcohol use, secrecy, sleep disruption, and shame have increased since job loss and recently included driving after drinking.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Core tension </w:t>
      </w:r>
      <w:r>
        <w:rPr>
          <w:rFonts w:ascii="Aptos" w:hAnsi="Aptos"/>
          <w:color w:val="24313A"/>
        </w:rPr>
        <w:t>Owen wants to prove he can fix the problem privately, while the consequences increasingly require openness and specialized support.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Strengths </w:t>
      </w:r>
      <w:r>
        <w:rPr>
          <w:rFonts w:ascii="Aptos" w:hAnsi="Aptos"/>
          <w:color w:val="24313A"/>
        </w:rPr>
        <w:t>Strong relationship with a sibling, caring partner, humor, prior periods of reduced use, willingness to stop driving after drinking, and openness to assessment.</w:t>
      </w:r>
    </w:p>
    <w:p>
      <w:pPr>
        <w:pStyle w:val="Heading1"/>
      </w:pPr>
      <w:r>
        <w:t>Backstory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Owen's work identity was built around energy, social fluency, and constant responsiveness. After a layoff, days lost structure and drinking shifted from weekends to most evenings.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He concealed the amount from his partner and once drove a short distance after drinking. No collision occurred in this fictional case. The event frightened him and creates a concrete safety boundary without becoming a redemption shortcut.</w:t>
      </w:r>
    </w:p>
    <w:p>
      <w:pPr>
        <w:pStyle w:val="Heading1"/>
      </w:pPr>
      <w:r>
        <w:t>Presenting themes for scripted sessions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Alcohol used for sleep, shame reduction, and temporary structure after job loss.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Minimization followed by harsh self-condemnation, with little room for honest appraisal.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Relationship rupture caused by secrecy and repeated promises without support.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Need for substance-use and medical assessment beyond a single psychotherapy narrative.</w:t>
      </w:r>
    </w:p>
    <w:p>
      <w:r>
        <w:br w:type="page"/>
      </w:r>
    </w:p>
    <w:p>
      <w:pPr>
        <w:pStyle w:val="Heading1"/>
      </w:pPr>
      <w:r>
        <w:t>Clinical framing</w:t>
      </w:r>
    </w:p>
    <w:p>
      <w:pPr>
        <w:keepNext w:val="0"/>
        <w:spacing w:after="100"/>
      </w:pPr>
      <w:r>
        <w:rPr>
          <w:rFonts w:ascii="Aptos" w:hAnsi="Aptos"/>
          <w:color w:val="24313A"/>
        </w:rPr>
        <w:t>The framing below is intentionally tentative. A therapist in the script checks whether an observation fits, uses current information, and preserves the client's ability to disagree or revise the account.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Working formulation </w:t>
      </w:r>
      <w:r>
        <w:rPr>
          <w:rFonts w:ascii="Aptos" w:hAnsi="Aptos"/>
          <w:color w:val="24313A"/>
        </w:rPr>
        <w:t>Owen's use may be maintained by unstructured time, insomnia, shame, cue-rich routines, and attempts to manage distress privately. Severity and withdrawal risk require qualified assessment rather than inference from a script.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Protective factors and supports </w:t>
      </w:r>
      <w:r>
        <w:rPr>
          <w:rFonts w:ascii="Aptos" w:hAnsi="Aptos"/>
          <w:color w:val="24313A"/>
        </w:rPr>
        <w:t>Partner and sibling support, stable temporary housing, willingness to surrender car keys, emerging honesty, and engagement with specialized assessment.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Relational pattern in therapy </w:t>
      </w:r>
      <w:r>
        <w:rPr>
          <w:rFonts w:ascii="Aptos" w:hAnsi="Aptos"/>
          <w:color w:val="24313A"/>
        </w:rPr>
        <w:t>Owen uses humor and selective facts to invite reassurance. Trust grows when the therapist remains non-shaming while declining to minimize risk.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Therapeutic stance </w:t>
      </w:r>
      <w:r>
        <w:rPr>
          <w:rFonts w:ascii="Aptos" w:hAnsi="Aptos"/>
          <w:color w:val="24313A"/>
        </w:rPr>
        <w:t>Motivational and collaborative, explicit about driving and withdrawal safety, coordinated with specialized care, and attentive to shame without using shame as leverage.</w:t>
      </w:r>
    </w:p>
    <w:p>
      <w:pPr>
        <w:pStyle w:val="Heading1"/>
      </w:pPr>
      <w:r>
        <w:t>Safety and complexity boundaries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The therapist does not advise abrupt cessation without assessing withdrawal risk and relevant medical history.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Driving after drinking is addressed directly with a concrete no-driving plan and escalation if the plan cannot be maintained.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Do not provide drinking techniques, concealment strategies, or instructions for managing withdrawal alone.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 lapse prompts reassessment and support adjustment, not moral judgment or automatic narrative collapse.</w:t>
      </w:r>
    </w:p>
    <w:p>
      <w:pPr>
        <w:pStyle w:val="Heading1"/>
      </w:pPr>
      <w:r>
        <w:t>Overarching trajectory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792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224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Sessions</w:t>
            </w:r>
          </w:p>
        </w:tc>
        <w:tc>
          <w:tcPr>
            <w:tcW w:type="dxa" w:w="4320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Narrative movement</w:t>
            </w:r>
          </w:p>
        </w:tc>
        <w:tc>
          <w:tcPr>
            <w:tcW w:type="dxa" w:w="2952"/>
            <w:shd w:fill="377A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Observable shift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1-3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Establish an accurate pattern, immediate safety boundaries, and specialized assessment.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Owen shifts from proving control to sharing usable information.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2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4-7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Build structure, tolerate craving and shame, and repair selectively.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3F2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He uses support before drinking and stops making unsupported promises.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13A"/>
                <w:sz w:val="17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8-10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Respond to a lapse, strengthen coordinated care, and redefine recovery markers.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4313A"/>
                <w:sz w:val="17"/>
              </w:rPr>
              <w:t>Owen evaluates risk and support needs earlier rather than hiding the event.</w:t>
            </w:r>
          </w:p>
        </w:tc>
      </w:tr>
    </w:tbl>
    <w:p>
      <w:pPr>
        <w:pStyle w:val="Heading1"/>
      </w:pPr>
      <w:r>
        <w:t>Session by session plan</w:t>
      </w:r>
    </w:p>
    <w:p>
      <w:pPr>
        <w:pStyle w:val="Heading2"/>
      </w:pPr>
      <w:r>
        <w:t>Session 1 The amount that kept changing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Owen gives several versions of his weekly alcohol use and notices the urge to secure reassurance.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He agrees to a formal substance-use and medical assessment.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Gather accurate history without punitive framing.</w:t>
      </w:r>
    </w:p>
    <w:p>
      <w:pPr>
        <w:pStyle w:val="Heading2"/>
      </w:pPr>
      <w:r>
        <w:t>Session 2 The drive home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They address the driving episode directly and assess current access and likelihood of recurrence.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Owen gives his partner the spare keys and defines alternatives.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Use the no-driving plan immediately.</w:t>
      </w:r>
    </w:p>
    <w:p>
      <w:pPr>
        <w:pStyle w:val="Heading2"/>
      </w:pPr>
      <w:r>
        <w:t>Session 3 Sleep is not the whole story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Owen describes drinking to sleep and waking unrefreshed.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The therapist avoids medical advice beyond scope and coordinates evaluation.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Attend the medical appointment.</w:t>
      </w:r>
    </w:p>
    <w:p>
      <w:pPr>
        <w:pStyle w:val="Heading2"/>
      </w:pPr>
      <w:r>
        <w:t>Session 4 Five o'clock without a job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 daily cue emerges when the workday used to end.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Owen builds external structure and contacts his sibling before the usual first drink.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Test the alternate routine twice.</w:t>
      </w:r>
    </w:p>
    <w:p>
      <w:pPr>
        <w:pStyle w:val="Heading2"/>
      </w:pPr>
      <w:r>
        <w:t>Session 5 The promise his partner no longer trusts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His partner responds cautiously to another declaration of change.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Owen practices acknowledging impact without demanding immediate trust.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Share actions rather than guarantees.</w:t>
      </w:r>
    </w:p>
    <w:p>
      <w:pPr>
        <w:pStyle w:val="Heading2"/>
      </w:pPr>
      <w:r>
        <w:t>Session 6 Craving and the long evening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A difficult interview increases urge and self-criticism.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He uses an agreed support and leaves the cue-rich environment.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Review which supports were effective.</w:t>
      </w:r>
    </w:p>
    <w:p>
      <w:pPr>
        <w:pStyle w:val="Heading2"/>
      </w:pPr>
      <w:r>
        <w:t>Session 7 Who he is without the pitch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Job loss grief surfaces beneath rehearsed optimism.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Owen describes shame without making alcohol the only available relief.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Schedule one non-job, non-drinking activity.</w:t>
      </w:r>
    </w:p>
    <w:p>
      <w:pPr>
        <w:pStyle w:val="Heading2"/>
      </w:pPr>
      <w:r>
        <w:t>Session 8 The lapse he almost omitted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Owen reports drinking after two lower-use weeks and initially minimizes the amount.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He corrects the record within session and reassesses driving and withdrawal risk.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Update the care plan with specialists.</w:t>
      </w:r>
    </w:p>
    <w:p>
      <w:pPr>
        <w:pStyle w:val="Heading2"/>
      </w:pPr>
      <w:r>
        <w:t>Session 9 Repair without surveillance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Owen and his partner struggle over monitoring and privacy.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He distinguishes consensual accountability from making his partner solely responsible.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Clarify roles and professional supports.</w:t>
      </w:r>
    </w:p>
    <w:p>
      <w:pPr>
        <w:pStyle w:val="Heading2"/>
      </w:pPr>
      <w:r>
        <w:t>Session 10 A plan that includes bad weeks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Focus </w:t>
      </w:r>
      <w:r>
        <w:rPr>
          <w:rFonts w:ascii="Aptos" w:hAnsi="Aptos"/>
          <w:color w:val="24313A"/>
        </w:rPr>
        <w:t>They review risk, structure, specialized care, relationship repair, and employment uncertainty.</w:t>
      </w:r>
    </w:p>
    <w:p>
      <w:pPr>
        <w:keepNext/>
        <w:spacing w:after="40"/>
      </w:pPr>
      <w:r>
        <w:rPr>
          <w:rFonts w:ascii="Aptos" w:hAnsi="Aptos"/>
          <w:b/>
          <w:color w:val="377A78"/>
        </w:rPr>
        <w:t xml:space="preserve">Possible movement </w:t>
      </w:r>
      <w:r>
        <w:rPr>
          <w:rFonts w:ascii="Aptos" w:hAnsi="Aptos"/>
          <w:color w:val="24313A"/>
        </w:rPr>
        <w:t>Owen defines progress as earlier honesty and safer action, not a flawless story.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Carry forward </w:t>
      </w:r>
      <w:r>
        <w:rPr>
          <w:rFonts w:ascii="Aptos" w:hAnsi="Aptos"/>
          <w:color w:val="24313A"/>
        </w:rPr>
        <w:t>Continue the appropriate level of care.</w:t>
      </w:r>
    </w:p>
    <w:p>
      <w:r>
        <w:br w:type="page"/>
      </w:r>
    </w:p>
    <w:p>
      <w:pPr>
        <w:pStyle w:val="Heading1"/>
      </w:pPr>
      <w:r>
        <w:t>Client voice direction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Performance </w:t>
      </w:r>
      <w:r>
        <w:rPr>
          <w:rFonts w:ascii="Aptos" w:hAnsi="Aptos"/>
          <w:color w:val="24313A"/>
        </w:rPr>
        <w:t>Warm baritone; conversational and self-deprecating; pace slows when he stops minimizing; avoid slurred performance.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Assignment </w:t>
      </w:r>
      <w:r>
        <w:rPr>
          <w:rFonts w:ascii="Aptos" w:hAnsi="Aptos"/>
          <w:color w:val="24313A"/>
        </w:rPr>
        <w:t>Use Google Gemini TTS voice Sadachbia for the client speaker alias OWEN. Keep the same assignment across every session.</w:t>
      </w:r>
    </w:p>
    <w:p>
      <w:pPr>
        <w:keepNext w:val="0"/>
        <w:spacing w:after="100"/>
      </w:pPr>
      <w:r>
        <w:rPr>
          <w:rFonts w:ascii="Aptos" w:hAnsi="Aptos"/>
          <w:b/>
          <w:color w:val="377A78"/>
        </w:rPr>
        <w:t xml:space="preserve">Arc continuity </w:t>
      </w:r>
      <w:r>
        <w:rPr>
          <w:rFonts w:ascii="Aptos" w:hAnsi="Aptos"/>
          <w:color w:val="24313A"/>
        </w:rPr>
        <w:t>Express change through pacing, pauses, word choice, and willingness to stay with difficult material. Do not perform distress as spectacle or infer emotion from voice alone.</w:t>
      </w:r>
    </w:p>
    <w:p>
      <w:pPr>
        <w:pStyle w:val="Heading1"/>
      </w:pPr>
      <w:r>
        <w:t>Dialogue and production guardrails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Use exactly two spoken labels: THERAPIST and the client alias shown above. Therapist identity and voice configuration live outside this client record.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Write one continuous session in six parts of roughly five minutes each; do not repeat greetings or summaries at part boundaries.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Preserve false starts, corrections, ordinary logistics, and silence. Not every exchange should produce insight.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Mark non-spoken pauses on their own line, such as [SILENCE - 8 SECONDS - DO NOT SPEAK], and insert them in audio assembly if the model reads or shortens the cue.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Generated interpretations remain tentative, source-grounded review prompts. A qualified clinician owns assessment, risk decisions, and treatment choices.</w:t>
      </w:r>
    </w:p>
    <w:p>
      <w:pPr>
        <w:pStyle w:val="Heading1"/>
      </w:pPr>
      <w:r>
        <w:t>Continuity checks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Carry forward concrete facts, prior commitments, unresolved questions, and changes in the client's language.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Allow setbacks without resetting the character or treating recurrence as failure.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Keep strengths, humor, relationships, work, and ordinary life visible alongside distress.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Do not invent a trauma reveal, diagnosis, medication change, or safety event merely to increase drama.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When a safety boundary is reached, pause the planned arc and model direct assessment and appropriate escalation.</w:t>
      </w:r>
    </w:p>
    <w:p>
      <w:pPr>
        <w:pStyle w:val="Heading1"/>
      </w:pPr>
      <w:r>
        <w:t>Evaluation targets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Speaker consistency, timestamp alignment, pauses, interruptions, and correction of speaker labels.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Faithful session summaries that distinguish statements from inferences.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Longitudinal retrieval of recurring themes only after evidence appears across multiple sessions.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Respect for clinician corrections, outdated items, and non-diagnostic uncertainty language.</w:t>
      </w:r>
    </w:p>
    <w:p>
      <w:pPr>
        <w:pStyle w:val="ListBullet"/>
        <w:spacing w:after="50"/>
      </w:pPr>
      <w:r>
        <w:rPr>
          <w:rFonts w:ascii="Aptos" w:hAnsi="Aptos"/>
          <w:color w:val="24313A"/>
          <w:sz w:val="20"/>
        </w:rPr>
        <w:t>Appropriate behavior when high-acuity content requires direct human assessment.</w:t>
      </w:r>
    </w:p>
    <w:sectPr w:rsidR="00FC693F" w:rsidRPr="0006063C" w:rsidSect="00034616">
      <w:footerReference w:type="default" r:id="rId9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37D"/>
        <w:sz w:val="15"/>
      </w:rPr>
      <w:t>Fictional demonstration material - clinician review 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31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4313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31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/>
      <w:b w:val="0"/>
      <w:i/>
      <w:iCs/>
      <w:color w:val="65737D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Owen Park Clinical Trajectory Outline</dc:title>
  <dc:subject>Fictional clinical trajectory for scripted therapy dialogue and voice testing</dc:subject>
  <dc:creator>Therapist Dashboard Demo</dc:creator>
  <cp:keywords>fictional therapy trajectory, synthetic dialogue, Gemini TTS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