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24313A"/>
          <w:sz w:val="52"/>
        </w:rPr>
        <w:t>Priya Nair Clinical Trajectory Outline</w:t>
      </w:r>
    </w:p>
    <w:p>
      <w:pPr>
        <w:pStyle w:val="Subtitle"/>
      </w:pPr>
      <w:r>
        <w:rPr>
          <w:rFonts w:ascii="Aptos" w:hAnsi="Aptos"/>
          <w:color w:val="65737D"/>
          <w:sz w:val="21"/>
        </w:rPr>
        <w:t>Fictional client character, session arc, and synthetic voice-test direction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296"/>
            <w:vAlign w:val="center"/>
            <w:shd w:fill="F5F0E8"/>
            <w:tcMar>
              <w:top w:w="100" w:type="dxa"/>
              <w:start w:w="80" w:type="dxa"/>
              <w:bottom w:w="100" w:type="dxa"/>
              <w:end w:w="80" w:type="dxa"/>
            </w:tcMar>
          </w:tcPr>
          <w:p>
            <w:pPr>
              <w:spacing w:after="20"/>
              <w:jc w:val="center"/>
            </w:pPr>
            <w:r>
              <w:rPr>
                <w:rFonts w:ascii="Aptos" w:hAnsi="Aptos"/>
                <w:b/>
                <w:color w:val="377A78"/>
                <w:sz w:val="15"/>
              </w:rPr>
              <w:t>AGE</w:t>
            </w:r>
          </w:p>
          <w:p>
            <w:pPr>
              <w:spacing w:after="0"/>
              <w:jc w:val="center"/>
            </w:pPr>
            <w:r>
              <w:rPr>
                <w:rFonts w:ascii="Aptos" w:hAnsi="Aptos"/>
                <w:b/>
                <w:color w:val="24313A"/>
                <w:sz w:val="17"/>
              </w:rPr>
              <w:t>28</w:t>
            </w:r>
          </w:p>
        </w:tc>
        <w:tc>
          <w:tcPr>
            <w:tcW w:type="dxa" w:w="3384"/>
            <w:vAlign w:val="center"/>
            <w:shd w:fill="F5F0E8"/>
            <w:tcMar>
              <w:top w:w="100" w:type="dxa"/>
              <w:start w:w="80" w:type="dxa"/>
              <w:bottom w:w="100" w:type="dxa"/>
              <w:end w:w="80" w:type="dxa"/>
            </w:tcMar>
          </w:tcPr>
          <w:p>
            <w:pPr>
              <w:spacing w:after="20"/>
              <w:jc w:val="center"/>
            </w:pPr>
            <w:r>
              <w:rPr>
                <w:rFonts w:ascii="Aptos" w:hAnsi="Aptos"/>
                <w:b/>
                <w:color w:val="377A78"/>
                <w:sz w:val="15"/>
              </w:rPr>
              <w:t>SETTING</w:t>
            </w:r>
          </w:p>
          <w:p>
            <w:pPr>
              <w:spacing w:after="0"/>
              <w:jc w:val="center"/>
            </w:pPr>
            <w:r>
              <w:rPr>
                <w:rFonts w:ascii="Aptos" w:hAnsi="Aptos"/>
                <w:b/>
                <w:color w:val="24313A"/>
                <w:sz w:val="17"/>
              </w:rPr>
              <w:t>Outpatient individual therapy</w:t>
            </w:r>
          </w:p>
        </w:tc>
        <w:tc>
          <w:tcPr>
            <w:tcW w:type="dxa" w:w="1656"/>
            <w:vAlign w:val="center"/>
            <w:shd w:fill="F5F0E8"/>
            <w:tcMar>
              <w:top w:w="100" w:type="dxa"/>
              <w:start w:w="80" w:type="dxa"/>
              <w:bottom w:w="100" w:type="dxa"/>
              <w:end w:w="80" w:type="dxa"/>
            </w:tcMar>
          </w:tcPr>
          <w:p>
            <w:pPr>
              <w:spacing w:after="20"/>
              <w:jc w:val="center"/>
            </w:pPr>
            <w:r>
              <w:rPr>
                <w:rFonts w:ascii="Aptos" w:hAnsi="Aptos"/>
                <w:b/>
                <w:color w:val="377A78"/>
                <w:sz w:val="15"/>
              </w:rPr>
              <w:t>ARC</w:t>
            </w:r>
          </w:p>
          <w:p>
            <w:pPr>
              <w:spacing w:after="0"/>
              <w:jc w:val="center"/>
            </w:pPr>
            <w:r>
              <w:rPr>
                <w:rFonts w:ascii="Aptos" w:hAnsi="Aptos"/>
                <w:b/>
                <w:color w:val="24313A"/>
                <w:sz w:val="17"/>
              </w:rPr>
              <w:t>8 sessions</w:t>
            </w:r>
          </w:p>
        </w:tc>
        <w:tc>
          <w:tcPr>
            <w:tcW w:type="dxa" w:w="2952"/>
            <w:vAlign w:val="center"/>
            <w:shd w:fill="F5F0E8"/>
            <w:tcMar>
              <w:top w:w="100" w:type="dxa"/>
              <w:start w:w="80" w:type="dxa"/>
              <w:bottom w:w="100" w:type="dxa"/>
              <w:end w:w="80" w:type="dxa"/>
            </w:tcMar>
          </w:tcPr>
          <w:p>
            <w:pPr>
              <w:spacing w:after="20"/>
              <w:jc w:val="center"/>
            </w:pPr>
            <w:r>
              <w:rPr>
                <w:rFonts w:ascii="Aptos" w:hAnsi="Aptos"/>
                <w:b/>
                <w:color w:val="377A78"/>
                <w:sz w:val="15"/>
              </w:rPr>
              <w:t>COMPLEXITY</w:t>
            </w:r>
          </w:p>
          <w:p>
            <w:pPr>
              <w:spacing w:after="0"/>
              <w:jc w:val="center"/>
            </w:pPr>
            <w:r>
              <w:rPr>
                <w:rFonts w:ascii="Aptos" w:hAnsi="Aptos"/>
                <w:b/>
                <w:color w:val="24313A"/>
                <w:sz w:val="17"/>
              </w:rPr>
              <w:t>Moderate</w:t>
            </w:r>
          </w:p>
        </w:tc>
      </w:tr>
    </w:tbl>
    <w:p>
      <w:pPr>
        <w:pStyle w:val="Heading1"/>
      </w:pPr>
      <w:r>
        <w:t>Use and interpretation</w:t>
      </w:r>
    </w:p>
    <w:p>
      <w:pPr>
        <w:keepNext w:val="0"/>
        <w:spacing w:after="100"/>
      </w:pPr>
      <w:r>
        <w:rPr>
          <w:rFonts w:ascii="Aptos" w:hAnsi="Aptos"/>
          <w:color w:val="24313A"/>
        </w:rPr>
        <w:t>This fictional composite supports product demonstrations, transcript evaluation, diarization tests, and longitudinal-synthesis review. It is not a diagnosis, risk determination, or treatment recommendation. Generated clinical claims must remain reviewable and linked to their fictional source sessions.</w:t>
      </w:r>
    </w:p>
    <w:p>
      <w:pPr>
        <w:pStyle w:val="Heading1"/>
      </w:pPr>
      <w:r>
        <w:t>Character snapshot</w:t>
      </w:r>
    </w:p>
    <w:p>
      <w:pPr>
        <w:keepNext w:val="0"/>
        <w:spacing w:after="100"/>
      </w:pPr>
      <w:r>
        <w:rPr>
          <w:rFonts w:ascii="Aptos" w:hAnsi="Aptos"/>
          <w:b/>
          <w:color w:val="377A78"/>
        </w:rPr>
        <w:t xml:space="preserve">Identity </w:t>
      </w:r>
      <w:r>
        <w:rPr>
          <w:rFonts w:ascii="Aptos" w:hAnsi="Aptos"/>
          <w:color w:val="24313A"/>
        </w:rPr>
        <w:t>Priya Nair; age 28; Indian American woman; she/her.</w:t>
      </w:r>
    </w:p>
    <w:p>
      <w:pPr>
        <w:keepNext w:val="0"/>
        <w:spacing w:after="100"/>
      </w:pPr>
      <w:r>
        <w:rPr>
          <w:rFonts w:ascii="Aptos" w:hAnsi="Aptos"/>
          <w:b/>
          <w:color w:val="377A78"/>
        </w:rPr>
        <w:t xml:space="preserve">Current life </w:t>
      </w:r>
      <w:r>
        <w:rPr>
          <w:rFonts w:ascii="Aptos" w:hAnsi="Aptos"/>
          <w:color w:val="24313A"/>
        </w:rPr>
        <w:t>Architecture associate living with a roommate and preparing for professional licensure exams.</w:t>
      </w:r>
    </w:p>
    <w:p>
      <w:pPr>
        <w:keepNext w:val="0"/>
        <w:spacing w:after="100"/>
      </w:pPr>
      <w:r>
        <w:rPr>
          <w:rFonts w:ascii="Aptos" w:hAnsi="Aptos"/>
          <w:b/>
          <w:color w:val="377A78"/>
        </w:rPr>
        <w:t xml:space="preserve">Reason for beginning therapy </w:t>
      </w:r>
      <w:r>
        <w:rPr>
          <w:rFonts w:ascii="Aptos" w:hAnsi="Aptos"/>
          <w:color w:val="24313A"/>
        </w:rPr>
        <w:t>Panic-like episodes, avoidance, and perfectionistic study routines have intensified after a failed licensure exam.</w:t>
      </w:r>
    </w:p>
    <w:p>
      <w:pPr>
        <w:keepNext w:val="0"/>
        <w:spacing w:after="100"/>
      </w:pPr>
      <w:r>
        <w:rPr>
          <w:rFonts w:ascii="Aptos" w:hAnsi="Aptos"/>
          <w:b/>
          <w:color w:val="377A78"/>
        </w:rPr>
        <w:t xml:space="preserve">Core tension </w:t>
      </w:r>
      <w:r>
        <w:rPr>
          <w:rFonts w:ascii="Aptos" w:hAnsi="Aptos"/>
          <w:color w:val="24313A"/>
        </w:rPr>
        <w:t>Priya believes another failure would reveal a permanent lack of ability, so preparation expands until it becomes impossible to begin.</w:t>
      </w:r>
    </w:p>
    <w:p>
      <w:pPr>
        <w:keepNext w:val="0"/>
        <w:spacing w:after="100"/>
      </w:pPr>
      <w:r>
        <w:rPr>
          <w:rFonts w:ascii="Aptos" w:hAnsi="Aptos"/>
          <w:b/>
          <w:color w:val="377A78"/>
        </w:rPr>
        <w:t xml:space="preserve">Strengths </w:t>
      </w:r>
      <w:r>
        <w:rPr>
          <w:rFonts w:ascii="Aptos" w:hAnsi="Aptos"/>
          <w:color w:val="24313A"/>
        </w:rPr>
        <w:t>Persistent, creative, close to a cousin and roommate, capable of humor, and willing to examine patterns that conflict with her values.</w:t>
      </w:r>
    </w:p>
    <w:p>
      <w:pPr>
        <w:pStyle w:val="Heading1"/>
      </w:pPr>
      <w:r>
        <w:t>Backstory</w:t>
      </w:r>
    </w:p>
    <w:p>
      <w:pPr>
        <w:keepNext w:val="0"/>
        <w:spacing w:after="100"/>
      </w:pPr>
      <w:r>
        <w:rPr>
          <w:rFonts w:ascii="Aptos" w:hAnsi="Aptos"/>
          <w:color w:val="24313A"/>
        </w:rPr>
        <w:t>Priya has usually succeeded through preparation and careful self-monitoring. She chose architecture because it joins technical rigor with creativity, but evaluation settings narrow her attention to mistakes.</w:t>
      </w:r>
    </w:p>
    <w:p>
      <w:pPr>
        <w:keepNext w:val="0"/>
        <w:spacing w:after="100"/>
      </w:pPr>
      <w:r>
        <w:rPr>
          <w:rFonts w:ascii="Aptos" w:hAnsi="Aptos"/>
          <w:color w:val="24313A"/>
        </w:rPr>
        <w:t>After narrowly failing a licensing section, she hid the result for several weeks and began alternating between marathon study sessions and complete avoidance. Two episodes of racing heart and dizziness led her to seek therapy.</w:t>
      </w:r>
    </w:p>
    <w:p>
      <w:pPr>
        <w:pStyle w:val="Heading1"/>
      </w:pPr>
      <w:r>
        <w:t>Presenting themes for scripted sessions</w:t>
      </w:r>
    </w:p>
    <w:p>
      <w:pPr>
        <w:pStyle w:val="ListBullet"/>
        <w:spacing w:after="50"/>
      </w:pPr>
      <w:r>
        <w:rPr>
          <w:rFonts w:ascii="Aptos" w:hAnsi="Aptos"/>
          <w:color w:val="24313A"/>
          <w:sz w:val="20"/>
        </w:rPr>
        <w:t>Perfectionism that alternates between overpreparation and avoidance.</w:t>
      </w:r>
    </w:p>
    <w:p>
      <w:pPr>
        <w:pStyle w:val="ListBullet"/>
        <w:spacing w:after="50"/>
      </w:pPr>
      <w:r>
        <w:rPr>
          <w:rFonts w:ascii="Aptos" w:hAnsi="Aptos"/>
          <w:color w:val="24313A"/>
          <w:sz w:val="20"/>
        </w:rPr>
        <w:t>Panic-like sensations interpreted as proof that she cannot cope.</w:t>
      </w:r>
    </w:p>
    <w:p>
      <w:pPr>
        <w:pStyle w:val="ListBullet"/>
        <w:spacing w:after="50"/>
      </w:pPr>
      <w:r>
        <w:rPr>
          <w:rFonts w:ascii="Aptos" w:hAnsi="Aptos"/>
          <w:color w:val="24313A"/>
          <w:sz w:val="20"/>
        </w:rPr>
        <w:t>Selective disclosure and fear of disappointing people she loves.</w:t>
      </w:r>
    </w:p>
    <w:p>
      <w:pPr>
        <w:pStyle w:val="ListBullet"/>
        <w:spacing w:after="50"/>
      </w:pPr>
      <w:r>
        <w:rPr>
          <w:rFonts w:ascii="Aptos" w:hAnsi="Aptos"/>
          <w:color w:val="24313A"/>
          <w:sz w:val="20"/>
        </w:rPr>
        <w:t>Reconnecting professional identity with curiosity rather than only evaluation.</w:t>
      </w:r>
    </w:p>
    <w:p>
      <w:r>
        <w:br w:type="page"/>
      </w:r>
    </w:p>
    <w:p>
      <w:pPr>
        <w:pStyle w:val="Heading1"/>
      </w:pPr>
      <w:r>
        <w:t>Clinical framing</w:t>
      </w:r>
    </w:p>
    <w:p>
      <w:pPr>
        <w:keepNext w:val="0"/>
        <w:spacing w:after="100"/>
      </w:pPr>
      <w:r>
        <w:rPr>
          <w:rFonts w:ascii="Aptos" w:hAnsi="Aptos"/>
          <w:color w:val="24313A"/>
        </w:rPr>
        <w:t>The framing below is intentionally tentative. A therapist in the script checks whether an observation fits, uses current information, and preserves the client's ability to disagree or revise the account.</w:t>
      </w:r>
    </w:p>
    <w:p>
      <w:pPr>
        <w:keepNext w:val="0"/>
        <w:spacing w:after="100"/>
      </w:pPr>
      <w:r>
        <w:rPr>
          <w:rFonts w:ascii="Aptos" w:hAnsi="Aptos"/>
          <w:b/>
          <w:color w:val="377A78"/>
        </w:rPr>
        <w:t xml:space="preserve">Working formulation </w:t>
      </w:r>
      <w:r>
        <w:rPr>
          <w:rFonts w:ascii="Aptos" w:hAnsi="Aptos"/>
          <w:color w:val="24313A"/>
        </w:rPr>
        <w:t>Priya's distress may be maintained by catastrophic interpretations of mistakes and bodily arousal, rigid study rules, avoidance after perceived failure, and shame-driven secrecy.</w:t>
      </w:r>
    </w:p>
    <w:p>
      <w:pPr>
        <w:keepNext w:val="0"/>
        <w:spacing w:after="100"/>
      </w:pPr>
      <w:r>
        <w:rPr>
          <w:rFonts w:ascii="Aptos" w:hAnsi="Aptos"/>
          <w:b/>
          <w:color w:val="377A78"/>
        </w:rPr>
        <w:t xml:space="preserve">Protective factors and supports </w:t>
      </w:r>
      <w:r>
        <w:rPr>
          <w:rFonts w:ascii="Aptos" w:hAnsi="Aptos"/>
          <w:color w:val="24313A"/>
        </w:rPr>
        <w:t>Stable housing, supportive relationships, employment, insight, future orientation, and willingness to practice graduated exposure with clinician oversight.</w:t>
      </w:r>
    </w:p>
    <w:p>
      <w:pPr>
        <w:keepNext w:val="0"/>
        <w:spacing w:after="100"/>
      </w:pPr>
      <w:r>
        <w:rPr>
          <w:rFonts w:ascii="Aptos" w:hAnsi="Aptos"/>
          <w:b/>
          <w:color w:val="377A78"/>
        </w:rPr>
        <w:t xml:space="preserve">Relational pattern in therapy </w:t>
      </w:r>
      <w:r>
        <w:rPr>
          <w:rFonts w:ascii="Aptos" w:hAnsi="Aptos"/>
          <w:color w:val="24313A"/>
        </w:rPr>
        <w:t>Priya seeks the correct answer from the therapist and may treat collaboration as another evaluation. Progress includes disagreeing and choosing experiments herself.</w:t>
      </w:r>
    </w:p>
    <w:p>
      <w:pPr>
        <w:keepNext w:val="0"/>
        <w:spacing w:after="100"/>
      </w:pPr>
      <w:r>
        <w:rPr>
          <w:rFonts w:ascii="Aptos" w:hAnsi="Aptos"/>
          <w:b/>
          <w:color w:val="377A78"/>
        </w:rPr>
        <w:t xml:space="preserve">Therapeutic stance </w:t>
      </w:r>
      <w:r>
        <w:rPr>
          <w:rFonts w:ascii="Aptos" w:hAnsi="Aptos"/>
          <w:color w:val="24313A"/>
        </w:rPr>
        <w:t>Psychoeducation presented tentatively, collaborative exposure planning, attention to sleep and pacing, and repeated separation of performance from identity.</w:t>
      </w:r>
    </w:p>
    <w:p>
      <w:pPr>
        <w:pStyle w:val="Heading1"/>
      </w:pPr>
      <w:r>
        <w:t>Safety and complexity boundaries</w:t>
      </w:r>
    </w:p>
    <w:p>
      <w:pPr>
        <w:pStyle w:val="ListBullet"/>
        <w:spacing w:after="50"/>
      </w:pPr>
      <w:r>
        <w:rPr>
          <w:rFonts w:ascii="Aptos" w:hAnsi="Aptos"/>
          <w:color w:val="24313A"/>
          <w:sz w:val="20"/>
        </w:rPr>
        <w:t>Panic-like symptoms are narrative material, not a diagnosis; scripts should preserve medical-rule-out uncertainty.</w:t>
      </w:r>
    </w:p>
    <w:p>
      <w:pPr>
        <w:pStyle w:val="ListBullet"/>
        <w:spacing w:after="50"/>
      </w:pPr>
      <w:r>
        <w:rPr>
          <w:rFonts w:ascii="Aptos" w:hAnsi="Aptos"/>
          <w:color w:val="24313A"/>
          <w:sz w:val="20"/>
        </w:rPr>
        <w:t>Avoid caricaturing family or culture as the cause of distress.</w:t>
      </w:r>
    </w:p>
    <w:p>
      <w:pPr>
        <w:pStyle w:val="ListBullet"/>
        <w:spacing w:after="50"/>
      </w:pPr>
      <w:r>
        <w:rPr>
          <w:rFonts w:ascii="Aptos" w:hAnsi="Aptos"/>
          <w:color w:val="24313A"/>
          <w:sz w:val="20"/>
        </w:rPr>
        <w:t>Exposure steps remain graded, consensual, and reviewable rather than dramatic tests of courage.</w:t>
      </w:r>
    </w:p>
    <w:p>
      <w:pPr>
        <w:pStyle w:val="Heading1"/>
      </w:pPr>
      <w:r>
        <w:t>Overarching trajectory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792"/>
            <w:shd w:fill="377A78"/>
            <w:tcMar>
              <w:top w:w="90" w:type="dxa"/>
              <w:start w:w="110" w:type="dxa"/>
              <w:bottom w:w="90" w:type="dxa"/>
              <w:end w:w="110" w:type="dxa"/>
            </w:tcMar>
          </w:tcPr>
          <w:p>
            <w:r>
              <w:rPr>
                <w:rFonts w:ascii="Aptos" w:hAnsi="Aptos"/>
                <w:b/>
                <w:color w:val="FFFFFF"/>
                <w:sz w:val="17"/>
              </w:rPr>
              <w:t>Phase</w:t>
            </w:r>
          </w:p>
        </w:tc>
        <w:tc>
          <w:tcPr>
            <w:tcW w:type="dxa" w:w="1224"/>
            <w:shd w:fill="377A78"/>
            <w:tcMar>
              <w:top w:w="90" w:type="dxa"/>
              <w:start w:w="110" w:type="dxa"/>
              <w:bottom w:w="90" w:type="dxa"/>
              <w:end w:w="110" w:type="dxa"/>
            </w:tcMar>
          </w:tcPr>
          <w:p>
            <w:r>
              <w:rPr>
                <w:rFonts w:ascii="Aptos" w:hAnsi="Aptos"/>
                <w:b/>
                <w:color w:val="FFFFFF"/>
                <w:sz w:val="17"/>
              </w:rPr>
              <w:t>Sessions</w:t>
            </w:r>
          </w:p>
        </w:tc>
        <w:tc>
          <w:tcPr>
            <w:tcW w:type="dxa" w:w="4320"/>
            <w:shd w:fill="377A78"/>
            <w:tcMar>
              <w:top w:w="90" w:type="dxa"/>
              <w:start w:w="110" w:type="dxa"/>
              <w:bottom w:w="90" w:type="dxa"/>
              <w:end w:w="110" w:type="dxa"/>
            </w:tcMar>
          </w:tcPr>
          <w:p>
            <w:r>
              <w:rPr>
                <w:rFonts w:ascii="Aptos" w:hAnsi="Aptos"/>
                <w:b/>
                <w:color w:val="FFFFFF"/>
                <w:sz w:val="17"/>
              </w:rPr>
              <w:t>Narrative movement</w:t>
            </w:r>
          </w:p>
        </w:tc>
        <w:tc>
          <w:tcPr>
            <w:tcW w:type="dxa" w:w="2952"/>
            <w:shd w:fill="377A78"/>
            <w:tcMar>
              <w:top w:w="90" w:type="dxa"/>
              <w:start w:w="110" w:type="dxa"/>
              <w:bottom w:w="90" w:type="dxa"/>
              <w:end w:w="110" w:type="dxa"/>
            </w:tcMar>
          </w:tcPr>
          <w:p>
            <w:r>
              <w:rPr>
                <w:rFonts w:ascii="Aptos" w:hAnsi="Aptos"/>
                <w:b/>
                <w:color w:val="FFFFFF"/>
                <w:sz w:val="17"/>
              </w:rPr>
              <w:t>Observable shift</w:t>
            </w:r>
          </w:p>
        </w:tc>
      </w:tr>
      <w:tr>
        <w:tc>
          <w:tcPr>
            <w:tcW w:type="dxa" w:w="792"/>
            <w:vAlign w:val="center"/>
            <w:tcMar>
              <w:top w:w="90" w:type="dxa"/>
              <w:start w:w="110" w:type="dxa"/>
              <w:bottom w:w="90" w:type="dxa"/>
              <w:end w:w="110" w:type="dxa"/>
            </w:tcMar>
          </w:tcPr>
          <w:p>
            <w:pPr>
              <w:spacing w:after="0"/>
            </w:pPr>
            <w:r>
              <w:rPr>
                <w:rFonts w:ascii="Aptos" w:hAnsi="Aptos"/>
                <w:b/>
                <w:color w:val="24313A"/>
                <w:sz w:val="17"/>
              </w:rPr>
              <w:t>1</w:t>
            </w:r>
          </w:p>
        </w:tc>
        <w:tc>
          <w:tcPr>
            <w:tcW w:type="dxa" w:w="1224"/>
            <w:vAlign w:val="center"/>
            <w:tcMar>
              <w:top w:w="90" w:type="dxa"/>
              <w:start w:w="110" w:type="dxa"/>
              <w:bottom w:w="90" w:type="dxa"/>
              <w:end w:w="110" w:type="dxa"/>
            </w:tcMar>
          </w:tcPr>
          <w:p>
            <w:pPr>
              <w:spacing w:after="0"/>
            </w:pPr>
            <w:r>
              <w:rPr>
                <w:rFonts w:ascii="Aptos" w:hAnsi="Aptos"/>
                <w:b w:val="0"/>
                <w:color w:val="24313A"/>
                <w:sz w:val="17"/>
              </w:rPr>
              <w:t>1-2</w:t>
            </w:r>
          </w:p>
        </w:tc>
        <w:tc>
          <w:tcPr>
            <w:tcW w:type="dxa" w:w="4320"/>
            <w:vAlign w:val="center"/>
            <w:tcMar>
              <w:top w:w="90" w:type="dxa"/>
              <w:start w:w="110" w:type="dxa"/>
              <w:bottom w:w="90" w:type="dxa"/>
              <w:end w:w="110" w:type="dxa"/>
            </w:tcMar>
          </w:tcPr>
          <w:p>
            <w:pPr>
              <w:spacing w:after="0"/>
            </w:pPr>
            <w:r>
              <w:rPr>
                <w:rFonts w:ascii="Aptos" w:hAnsi="Aptos"/>
                <w:b w:val="0"/>
                <w:color w:val="24313A"/>
                <w:sz w:val="17"/>
              </w:rPr>
              <w:t>Map panic, avoidance, and study rules while reducing shame.</w:t>
            </w:r>
          </w:p>
        </w:tc>
        <w:tc>
          <w:tcPr>
            <w:tcW w:type="dxa" w:w="2952"/>
            <w:vAlign w:val="center"/>
            <w:tcMar>
              <w:top w:w="90" w:type="dxa"/>
              <w:start w:w="110" w:type="dxa"/>
              <w:bottom w:w="90" w:type="dxa"/>
              <w:end w:w="110" w:type="dxa"/>
            </w:tcMar>
          </w:tcPr>
          <w:p>
            <w:pPr>
              <w:spacing w:after="0"/>
            </w:pPr>
            <w:r>
              <w:rPr>
                <w:rFonts w:ascii="Aptos" w:hAnsi="Aptos"/>
                <w:b w:val="0"/>
                <w:color w:val="24313A"/>
                <w:sz w:val="17"/>
              </w:rPr>
              <w:t>Priya recognizes that more preparation is not always more learning.</w:t>
            </w:r>
          </w:p>
        </w:tc>
      </w:tr>
      <w:tr>
        <w:tc>
          <w:tcPr>
            <w:tcW w:type="dxa" w:w="792"/>
            <w:vAlign w:val="center"/>
            <w:tcMar>
              <w:top w:w="90" w:type="dxa"/>
              <w:start w:w="110" w:type="dxa"/>
              <w:bottom w:w="90" w:type="dxa"/>
              <w:end w:w="110" w:type="dxa"/>
            </w:tcMar>
            <w:shd w:fill="EAF3F2"/>
          </w:tcPr>
          <w:p>
            <w:pPr>
              <w:spacing w:after="0"/>
            </w:pPr>
            <w:r>
              <w:rPr>
                <w:rFonts w:ascii="Aptos" w:hAnsi="Aptos"/>
                <w:b/>
                <w:color w:val="24313A"/>
                <w:sz w:val="17"/>
              </w:rPr>
              <w:t>2</w:t>
            </w:r>
          </w:p>
        </w:tc>
        <w:tc>
          <w:tcPr>
            <w:tcW w:type="dxa" w:w="1224"/>
            <w:vAlign w:val="center"/>
            <w:tcMar>
              <w:top w:w="90" w:type="dxa"/>
              <w:start w:w="110" w:type="dxa"/>
              <w:bottom w:w="90" w:type="dxa"/>
              <w:end w:w="110" w:type="dxa"/>
            </w:tcMar>
            <w:shd w:fill="EAF3F2"/>
          </w:tcPr>
          <w:p>
            <w:pPr>
              <w:spacing w:after="0"/>
            </w:pPr>
            <w:r>
              <w:rPr>
                <w:rFonts w:ascii="Aptos" w:hAnsi="Aptos"/>
                <w:b w:val="0"/>
                <w:color w:val="24313A"/>
                <w:sz w:val="17"/>
              </w:rPr>
              <w:t>3-5</w:t>
            </w:r>
          </w:p>
        </w:tc>
        <w:tc>
          <w:tcPr>
            <w:tcW w:type="dxa" w:w="4320"/>
            <w:vAlign w:val="center"/>
            <w:tcMar>
              <w:top w:w="90" w:type="dxa"/>
              <w:start w:w="110" w:type="dxa"/>
              <w:bottom w:w="90" w:type="dxa"/>
              <w:end w:w="110" w:type="dxa"/>
            </w:tcMar>
            <w:shd w:fill="EAF3F2"/>
          </w:tcPr>
          <w:p>
            <w:pPr>
              <w:spacing w:after="0"/>
            </w:pPr>
            <w:r>
              <w:rPr>
                <w:rFonts w:ascii="Aptos" w:hAnsi="Aptos"/>
                <w:b w:val="0"/>
                <w:color w:val="24313A"/>
                <w:sz w:val="17"/>
              </w:rPr>
              <w:t>Practice tolerating bodily arousal, uncertainty, and imperfect work.</w:t>
            </w:r>
          </w:p>
        </w:tc>
        <w:tc>
          <w:tcPr>
            <w:tcW w:type="dxa" w:w="2952"/>
            <w:vAlign w:val="center"/>
            <w:tcMar>
              <w:top w:w="90" w:type="dxa"/>
              <w:start w:w="110" w:type="dxa"/>
              <w:bottom w:w="90" w:type="dxa"/>
              <w:end w:w="110" w:type="dxa"/>
            </w:tcMar>
            <w:shd w:fill="EAF3F2"/>
          </w:tcPr>
          <w:p>
            <w:pPr>
              <w:spacing w:after="0"/>
            </w:pPr>
            <w:r>
              <w:rPr>
                <w:rFonts w:ascii="Aptos" w:hAnsi="Aptos"/>
                <w:b w:val="0"/>
                <w:color w:val="24313A"/>
                <w:sz w:val="17"/>
              </w:rPr>
              <w:t>She completes short study blocks and shares the failed result with one trusted person.</w:t>
            </w:r>
          </w:p>
        </w:tc>
      </w:tr>
      <w:tr>
        <w:tc>
          <w:tcPr>
            <w:tcW w:type="dxa" w:w="792"/>
            <w:vAlign w:val="center"/>
            <w:tcMar>
              <w:top w:w="90" w:type="dxa"/>
              <w:start w:w="110" w:type="dxa"/>
              <w:bottom w:w="90" w:type="dxa"/>
              <w:end w:w="110" w:type="dxa"/>
            </w:tcMar>
          </w:tcPr>
          <w:p>
            <w:pPr>
              <w:spacing w:after="0"/>
            </w:pPr>
            <w:r>
              <w:rPr>
                <w:rFonts w:ascii="Aptos" w:hAnsi="Aptos"/>
                <w:b/>
                <w:color w:val="24313A"/>
                <w:sz w:val="17"/>
              </w:rPr>
              <w:t>3</w:t>
            </w:r>
          </w:p>
        </w:tc>
        <w:tc>
          <w:tcPr>
            <w:tcW w:type="dxa" w:w="1224"/>
            <w:vAlign w:val="center"/>
            <w:tcMar>
              <w:top w:w="90" w:type="dxa"/>
              <w:start w:w="110" w:type="dxa"/>
              <w:bottom w:w="90" w:type="dxa"/>
              <w:end w:w="110" w:type="dxa"/>
            </w:tcMar>
          </w:tcPr>
          <w:p>
            <w:pPr>
              <w:spacing w:after="0"/>
            </w:pPr>
            <w:r>
              <w:rPr>
                <w:rFonts w:ascii="Aptos" w:hAnsi="Aptos"/>
                <w:b w:val="0"/>
                <w:color w:val="24313A"/>
                <w:sz w:val="17"/>
              </w:rPr>
              <w:t>6-8</w:t>
            </w:r>
          </w:p>
        </w:tc>
        <w:tc>
          <w:tcPr>
            <w:tcW w:type="dxa" w:w="4320"/>
            <w:vAlign w:val="center"/>
            <w:tcMar>
              <w:top w:w="90" w:type="dxa"/>
              <w:start w:w="110" w:type="dxa"/>
              <w:bottom w:w="90" w:type="dxa"/>
              <w:end w:w="110" w:type="dxa"/>
            </w:tcMar>
          </w:tcPr>
          <w:p>
            <w:pPr>
              <w:spacing w:after="0"/>
            </w:pPr>
            <w:r>
              <w:rPr>
                <w:rFonts w:ascii="Aptos" w:hAnsi="Aptos"/>
                <w:b w:val="0"/>
                <w:color w:val="24313A"/>
                <w:sz w:val="17"/>
              </w:rPr>
              <w:t>Apply flexibility under exam pressure and prepare for either outcome.</w:t>
            </w:r>
          </w:p>
        </w:tc>
        <w:tc>
          <w:tcPr>
            <w:tcW w:type="dxa" w:w="2952"/>
            <w:vAlign w:val="center"/>
            <w:tcMar>
              <w:top w:w="90" w:type="dxa"/>
              <w:start w:w="110" w:type="dxa"/>
              <w:bottom w:w="90" w:type="dxa"/>
              <w:end w:w="110" w:type="dxa"/>
            </w:tcMar>
          </w:tcPr>
          <w:p>
            <w:pPr>
              <w:spacing w:after="0"/>
            </w:pPr>
            <w:r>
              <w:rPr>
                <w:rFonts w:ascii="Aptos" w:hAnsi="Aptos"/>
                <w:b w:val="0"/>
                <w:color w:val="24313A"/>
                <w:sz w:val="17"/>
              </w:rPr>
              <w:t>Priya approaches the exam with a recovery plan rather than a demand for certainty.</w:t>
            </w:r>
          </w:p>
        </w:tc>
      </w:tr>
    </w:tbl>
    <w:p>
      <w:pPr>
        <w:pStyle w:val="Heading1"/>
      </w:pPr>
      <w:r>
        <w:t>Session by session plan</w:t>
      </w:r>
    </w:p>
    <w:p>
      <w:pPr>
        <w:pStyle w:val="Heading2"/>
      </w:pPr>
      <w:r>
        <w:t>Session 1 The result she did not send</w:t>
      </w:r>
    </w:p>
    <w:p>
      <w:pPr>
        <w:keepNext/>
        <w:spacing w:after="40"/>
      </w:pPr>
      <w:r>
        <w:rPr>
          <w:rFonts w:ascii="Aptos" w:hAnsi="Aptos"/>
          <w:b/>
          <w:color w:val="377A78"/>
        </w:rPr>
        <w:t xml:space="preserve">Focus </w:t>
      </w:r>
      <w:r>
        <w:rPr>
          <w:rFonts w:ascii="Aptos" w:hAnsi="Aptos"/>
          <w:color w:val="24313A"/>
        </w:rPr>
        <w:t>Priya describes the failed exam and delayed disclosure.</w:t>
      </w:r>
    </w:p>
    <w:p>
      <w:pPr>
        <w:keepNext/>
        <w:spacing w:after="40"/>
      </w:pPr>
      <w:r>
        <w:rPr>
          <w:rFonts w:ascii="Aptos" w:hAnsi="Aptos"/>
          <w:b/>
          <w:color w:val="377A78"/>
        </w:rPr>
        <w:t xml:space="preserve">Possible movement </w:t>
      </w:r>
      <w:r>
        <w:rPr>
          <w:rFonts w:ascii="Aptos" w:hAnsi="Aptos"/>
          <w:color w:val="24313A"/>
        </w:rPr>
        <w:t>She notices that secrecy increased the meaning of the result.</w:t>
      </w:r>
    </w:p>
    <w:p>
      <w:pPr>
        <w:keepNext w:val="0"/>
        <w:spacing w:after="100"/>
      </w:pPr>
      <w:r>
        <w:rPr>
          <w:rFonts w:ascii="Aptos" w:hAnsi="Aptos"/>
          <w:b/>
          <w:color w:val="377A78"/>
        </w:rPr>
        <w:t xml:space="preserve">Carry forward </w:t>
      </w:r>
      <w:r>
        <w:rPr>
          <w:rFonts w:ascii="Aptos" w:hAnsi="Aptos"/>
          <w:color w:val="24313A"/>
        </w:rPr>
        <w:t>Choose one safe person to consider telling.</w:t>
      </w:r>
    </w:p>
    <w:p>
      <w:pPr>
        <w:pStyle w:val="Heading2"/>
      </w:pPr>
      <w:r>
        <w:t>Session 2 When the body becomes evidence</w:t>
      </w:r>
    </w:p>
    <w:p>
      <w:pPr>
        <w:keepNext/>
        <w:spacing w:after="40"/>
      </w:pPr>
      <w:r>
        <w:rPr>
          <w:rFonts w:ascii="Aptos" w:hAnsi="Aptos"/>
          <w:b/>
          <w:color w:val="377A78"/>
        </w:rPr>
        <w:t xml:space="preserve">Focus </w:t>
      </w:r>
      <w:r>
        <w:rPr>
          <w:rFonts w:ascii="Aptos" w:hAnsi="Aptos"/>
          <w:color w:val="24313A"/>
        </w:rPr>
        <w:t>They reconstruct a panic-like episode and the conclusions attached to each sensation.</w:t>
      </w:r>
    </w:p>
    <w:p>
      <w:pPr>
        <w:keepNext/>
        <w:spacing w:after="40"/>
      </w:pPr>
      <w:r>
        <w:rPr>
          <w:rFonts w:ascii="Aptos" w:hAnsi="Aptos"/>
          <w:b/>
          <w:color w:val="377A78"/>
        </w:rPr>
        <w:t xml:space="preserve">Possible movement </w:t>
      </w:r>
      <w:r>
        <w:rPr>
          <w:rFonts w:ascii="Aptos" w:hAnsi="Aptos"/>
          <w:color w:val="24313A"/>
        </w:rPr>
        <w:t>Priya distinguishes a sensation from a prediction while retaining uncertainty.</w:t>
      </w:r>
    </w:p>
    <w:p>
      <w:pPr>
        <w:keepNext w:val="0"/>
        <w:spacing w:after="100"/>
      </w:pPr>
      <w:r>
        <w:rPr>
          <w:rFonts w:ascii="Aptos" w:hAnsi="Aptos"/>
          <w:b/>
          <w:color w:val="377A78"/>
        </w:rPr>
        <w:t xml:space="preserve">Carry forward </w:t>
      </w:r>
      <w:r>
        <w:rPr>
          <w:rFonts w:ascii="Aptos" w:hAnsi="Aptos"/>
          <w:color w:val="24313A"/>
        </w:rPr>
        <w:t>Track sensations and interpretations.</w:t>
      </w:r>
    </w:p>
    <w:p>
      <w:pPr>
        <w:pStyle w:val="Heading2"/>
      </w:pPr>
      <w:r>
        <w:t>Session 3 The perfect study day</w:t>
      </w:r>
    </w:p>
    <w:p>
      <w:pPr>
        <w:keepNext/>
        <w:spacing w:after="40"/>
      </w:pPr>
      <w:r>
        <w:rPr>
          <w:rFonts w:ascii="Aptos" w:hAnsi="Aptos"/>
          <w:b/>
          <w:color w:val="377A78"/>
        </w:rPr>
        <w:t xml:space="preserve">Focus </w:t>
      </w:r>
      <w:r>
        <w:rPr>
          <w:rFonts w:ascii="Aptos" w:hAnsi="Aptos"/>
          <w:color w:val="24313A"/>
        </w:rPr>
        <w:t>Her elaborate plan repeatedly collapses before noon.</w:t>
      </w:r>
    </w:p>
    <w:p>
      <w:pPr>
        <w:keepNext/>
        <w:spacing w:after="40"/>
      </w:pPr>
      <w:r>
        <w:rPr>
          <w:rFonts w:ascii="Aptos" w:hAnsi="Aptos"/>
          <w:b/>
          <w:color w:val="377A78"/>
        </w:rPr>
        <w:t xml:space="preserve">Possible movement </w:t>
      </w:r>
      <w:r>
        <w:rPr>
          <w:rFonts w:ascii="Aptos" w:hAnsi="Aptos"/>
          <w:color w:val="24313A"/>
        </w:rPr>
        <w:t>They design a deliberately modest twenty-minute study experiment.</w:t>
      </w:r>
    </w:p>
    <w:p>
      <w:pPr>
        <w:keepNext w:val="0"/>
        <w:spacing w:after="100"/>
      </w:pPr>
      <w:r>
        <w:rPr>
          <w:rFonts w:ascii="Aptos" w:hAnsi="Aptos"/>
          <w:b/>
          <w:color w:val="377A78"/>
        </w:rPr>
        <w:t xml:space="preserve">Carry forward </w:t>
      </w:r>
      <w:r>
        <w:rPr>
          <w:rFonts w:ascii="Aptos" w:hAnsi="Aptos"/>
          <w:color w:val="24313A"/>
        </w:rPr>
        <w:t>Complete three short blocks, not a marathon.</w:t>
      </w:r>
    </w:p>
    <w:p>
      <w:pPr>
        <w:pStyle w:val="Heading2"/>
      </w:pPr>
      <w:r>
        <w:t>Session 4 An imperfect drawing</w:t>
      </w:r>
    </w:p>
    <w:p>
      <w:pPr>
        <w:keepNext/>
        <w:spacing w:after="40"/>
      </w:pPr>
      <w:r>
        <w:rPr>
          <w:rFonts w:ascii="Aptos" w:hAnsi="Aptos"/>
          <w:b/>
          <w:color w:val="377A78"/>
        </w:rPr>
        <w:t xml:space="preserve">Focus </w:t>
      </w:r>
      <w:r>
        <w:rPr>
          <w:rFonts w:ascii="Aptos" w:hAnsi="Aptos"/>
          <w:color w:val="24313A"/>
        </w:rPr>
        <w:t>Priya brings a rough design exercise she would normally hide.</w:t>
      </w:r>
    </w:p>
    <w:p>
      <w:pPr>
        <w:keepNext/>
        <w:spacing w:after="40"/>
      </w:pPr>
      <w:r>
        <w:rPr>
          <w:rFonts w:ascii="Aptos" w:hAnsi="Aptos"/>
          <w:b/>
          <w:color w:val="377A78"/>
        </w:rPr>
        <w:t xml:space="preserve">Possible movement </w:t>
      </w:r>
      <w:r>
        <w:rPr>
          <w:rFonts w:ascii="Aptos" w:hAnsi="Aptos"/>
          <w:color w:val="24313A"/>
        </w:rPr>
        <w:t>She allows it to remain unfinished while discussing what she learned.</w:t>
      </w:r>
    </w:p>
    <w:p>
      <w:pPr>
        <w:keepNext w:val="0"/>
        <w:spacing w:after="100"/>
      </w:pPr>
      <w:r>
        <w:rPr>
          <w:rFonts w:ascii="Aptos" w:hAnsi="Aptos"/>
          <w:b/>
          <w:color w:val="377A78"/>
        </w:rPr>
        <w:t xml:space="preserve">Carry forward </w:t>
      </w:r>
      <w:r>
        <w:rPr>
          <w:rFonts w:ascii="Aptos" w:hAnsi="Aptos"/>
          <w:color w:val="24313A"/>
        </w:rPr>
        <w:t>Share one draft with a trusted colleague.</w:t>
      </w:r>
    </w:p>
    <w:p>
      <w:pPr>
        <w:pStyle w:val="Heading2"/>
      </w:pPr>
      <w:r>
        <w:t>Session 5 Telling her cousin</w:t>
      </w:r>
    </w:p>
    <w:p>
      <w:pPr>
        <w:keepNext/>
        <w:spacing w:after="40"/>
      </w:pPr>
      <w:r>
        <w:rPr>
          <w:rFonts w:ascii="Aptos" w:hAnsi="Aptos"/>
          <w:b/>
          <w:color w:val="377A78"/>
        </w:rPr>
        <w:t xml:space="preserve">Focus </w:t>
      </w:r>
      <w:r>
        <w:rPr>
          <w:rFonts w:ascii="Aptos" w:hAnsi="Aptos"/>
          <w:color w:val="24313A"/>
        </w:rPr>
        <w:t>Disclosure brings warmth and an unwanted suggestion to 'just relax.'</w:t>
      </w:r>
    </w:p>
    <w:p>
      <w:pPr>
        <w:keepNext/>
        <w:spacing w:after="40"/>
      </w:pPr>
      <w:r>
        <w:rPr>
          <w:rFonts w:ascii="Aptos" w:hAnsi="Aptos"/>
          <w:b/>
          <w:color w:val="377A78"/>
        </w:rPr>
        <w:t xml:space="preserve">Possible movement </w:t>
      </w:r>
      <w:r>
        <w:rPr>
          <w:rFonts w:ascii="Aptos" w:hAnsi="Aptos"/>
          <w:color w:val="24313A"/>
        </w:rPr>
        <w:t>Priya practices asking for listening rather than advice.</w:t>
      </w:r>
    </w:p>
    <w:p>
      <w:pPr>
        <w:keepNext w:val="0"/>
        <w:spacing w:after="100"/>
      </w:pPr>
      <w:r>
        <w:rPr>
          <w:rFonts w:ascii="Aptos" w:hAnsi="Aptos"/>
          <w:b/>
          <w:color w:val="377A78"/>
        </w:rPr>
        <w:t xml:space="preserve">Carry forward </w:t>
      </w:r>
      <w:r>
        <w:rPr>
          <w:rFonts w:ascii="Aptos" w:hAnsi="Aptos"/>
          <w:color w:val="24313A"/>
        </w:rPr>
        <w:t>Clarify the support she wants.</w:t>
      </w:r>
    </w:p>
    <w:p>
      <w:pPr>
        <w:pStyle w:val="Heading2"/>
      </w:pPr>
      <w:r>
        <w:t>Session 6 The practice test spike</w:t>
      </w:r>
    </w:p>
    <w:p>
      <w:pPr>
        <w:keepNext/>
        <w:spacing w:after="40"/>
      </w:pPr>
      <w:r>
        <w:rPr>
          <w:rFonts w:ascii="Aptos" w:hAnsi="Aptos"/>
          <w:b/>
          <w:color w:val="377A78"/>
        </w:rPr>
        <w:t xml:space="preserve">Focus </w:t>
      </w:r>
      <w:r>
        <w:rPr>
          <w:rFonts w:ascii="Aptos" w:hAnsi="Aptos"/>
          <w:color w:val="24313A"/>
        </w:rPr>
        <w:t>A low score triggers racing thoughts and a canceled weekend.</w:t>
      </w:r>
    </w:p>
    <w:p>
      <w:pPr>
        <w:keepNext/>
        <w:spacing w:after="40"/>
      </w:pPr>
      <w:r>
        <w:rPr>
          <w:rFonts w:ascii="Aptos" w:hAnsi="Aptos"/>
          <w:b/>
          <w:color w:val="377A78"/>
        </w:rPr>
        <w:t xml:space="preserve">Possible movement </w:t>
      </w:r>
      <w:r>
        <w:rPr>
          <w:rFonts w:ascii="Aptos" w:hAnsi="Aptos"/>
          <w:color w:val="24313A"/>
        </w:rPr>
        <w:t>She returns to the plan the next day without compensatory overwork.</w:t>
      </w:r>
    </w:p>
    <w:p>
      <w:pPr>
        <w:keepNext w:val="0"/>
        <w:spacing w:after="100"/>
      </w:pPr>
      <w:r>
        <w:rPr>
          <w:rFonts w:ascii="Aptos" w:hAnsi="Aptos"/>
          <w:b/>
          <w:color w:val="377A78"/>
        </w:rPr>
        <w:t xml:space="preserve">Carry forward </w:t>
      </w:r>
      <w:r>
        <w:rPr>
          <w:rFonts w:ascii="Aptos" w:hAnsi="Aptos"/>
          <w:color w:val="24313A"/>
        </w:rPr>
        <w:t>Use the recovery sequence once.</w:t>
      </w:r>
    </w:p>
    <w:p>
      <w:pPr>
        <w:pStyle w:val="Heading2"/>
      </w:pPr>
      <w:r>
        <w:t>Session 7 Exam week without guarantees</w:t>
      </w:r>
    </w:p>
    <w:p>
      <w:pPr>
        <w:keepNext/>
        <w:spacing w:after="40"/>
      </w:pPr>
      <w:r>
        <w:rPr>
          <w:rFonts w:ascii="Aptos" w:hAnsi="Aptos"/>
          <w:b/>
          <w:color w:val="377A78"/>
        </w:rPr>
        <w:t xml:space="preserve">Focus </w:t>
      </w:r>
      <w:r>
        <w:rPr>
          <w:rFonts w:ascii="Aptos" w:hAnsi="Aptos"/>
          <w:color w:val="24313A"/>
        </w:rPr>
        <w:t>They identify sleep, food, travel, and coping plans that do not depend on feeling calm.</w:t>
      </w:r>
    </w:p>
    <w:p>
      <w:pPr>
        <w:keepNext/>
        <w:spacing w:after="40"/>
      </w:pPr>
      <w:r>
        <w:rPr>
          <w:rFonts w:ascii="Aptos" w:hAnsi="Aptos"/>
          <w:b/>
          <w:color w:val="377A78"/>
        </w:rPr>
        <w:t xml:space="preserve">Possible movement </w:t>
      </w:r>
      <w:r>
        <w:rPr>
          <w:rFonts w:ascii="Aptos" w:hAnsi="Aptos"/>
          <w:color w:val="24313A"/>
        </w:rPr>
        <w:t>Priya accepts that anxiety can accompany competent action.</w:t>
      </w:r>
    </w:p>
    <w:p>
      <w:pPr>
        <w:keepNext w:val="0"/>
        <w:spacing w:after="100"/>
      </w:pPr>
      <w:r>
        <w:rPr>
          <w:rFonts w:ascii="Aptos" w:hAnsi="Aptos"/>
          <w:b/>
          <w:color w:val="377A78"/>
        </w:rPr>
        <w:t xml:space="preserve">Carry forward </w:t>
      </w:r>
      <w:r>
        <w:rPr>
          <w:rFonts w:ascii="Aptos" w:hAnsi="Aptos"/>
          <w:color w:val="24313A"/>
        </w:rPr>
        <w:t>Follow the flexible exam-week plan.</w:t>
      </w:r>
    </w:p>
    <w:p>
      <w:pPr>
        <w:pStyle w:val="Heading2"/>
      </w:pPr>
      <w:r>
        <w:t>Session 8 After the attempt</w:t>
      </w:r>
    </w:p>
    <w:p>
      <w:pPr>
        <w:keepNext/>
        <w:spacing w:after="40"/>
      </w:pPr>
      <w:r>
        <w:rPr>
          <w:rFonts w:ascii="Aptos" w:hAnsi="Aptos"/>
          <w:b/>
          <w:color w:val="377A78"/>
        </w:rPr>
        <w:t xml:space="preserve">Focus </w:t>
      </w:r>
      <w:r>
        <w:rPr>
          <w:rFonts w:ascii="Aptos" w:hAnsi="Aptos"/>
          <w:color w:val="24313A"/>
        </w:rPr>
        <w:t>The final session processes the exam experience without requiring the result.</w:t>
      </w:r>
    </w:p>
    <w:p>
      <w:pPr>
        <w:keepNext/>
        <w:spacing w:after="40"/>
      </w:pPr>
      <w:r>
        <w:rPr>
          <w:rFonts w:ascii="Aptos" w:hAnsi="Aptos"/>
          <w:b/>
          <w:color w:val="377A78"/>
        </w:rPr>
        <w:t xml:space="preserve">Possible movement </w:t>
      </w:r>
      <w:r>
        <w:rPr>
          <w:rFonts w:ascii="Aptos" w:hAnsi="Aptos"/>
          <w:color w:val="24313A"/>
        </w:rPr>
        <w:t>Priya defines progress by how she responded before, during, and after uncertainty.</w:t>
      </w:r>
    </w:p>
    <w:p>
      <w:pPr>
        <w:keepNext w:val="0"/>
        <w:spacing w:after="100"/>
      </w:pPr>
      <w:r>
        <w:rPr>
          <w:rFonts w:ascii="Aptos" w:hAnsi="Aptos"/>
          <w:b/>
          <w:color w:val="377A78"/>
        </w:rPr>
        <w:t xml:space="preserve">Carry forward </w:t>
      </w:r>
      <w:r>
        <w:rPr>
          <w:rFonts w:ascii="Aptos" w:hAnsi="Aptos"/>
          <w:color w:val="24313A"/>
        </w:rPr>
        <w:t>Continue care based on need, not outcome.</w:t>
      </w:r>
    </w:p>
    <w:p>
      <w:r>
        <w:br w:type="page"/>
      </w:r>
    </w:p>
    <w:p>
      <w:pPr>
        <w:pStyle w:val="Heading1"/>
      </w:pPr>
      <w:r>
        <w:t>Client voice direction</w:t>
      </w:r>
    </w:p>
    <w:p>
      <w:pPr>
        <w:keepNext w:val="0"/>
        <w:spacing w:after="100"/>
      </w:pPr>
      <w:r>
        <w:rPr>
          <w:rFonts w:ascii="Aptos" w:hAnsi="Aptos"/>
          <w:b/>
          <w:color w:val="377A78"/>
        </w:rPr>
        <w:t xml:space="preserve">Performance </w:t>
      </w:r>
      <w:r>
        <w:rPr>
          <w:rFonts w:ascii="Aptos" w:hAnsi="Aptos"/>
          <w:color w:val="24313A"/>
        </w:rPr>
        <w:t>Precise, bright voice; controlled rhythm; quickens during self-criticism; occasional dry understatement.</w:t>
      </w:r>
    </w:p>
    <w:p>
      <w:pPr>
        <w:keepNext w:val="0"/>
        <w:spacing w:after="100"/>
      </w:pPr>
      <w:r>
        <w:rPr>
          <w:rFonts w:ascii="Aptos" w:hAnsi="Aptos"/>
          <w:b/>
          <w:color w:val="377A78"/>
        </w:rPr>
        <w:t xml:space="preserve">Assignment </w:t>
      </w:r>
      <w:r>
        <w:rPr>
          <w:rFonts w:ascii="Aptos" w:hAnsi="Aptos"/>
          <w:color w:val="24313A"/>
        </w:rPr>
        <w:t>Use Google Gemini TTS voice Kore for the client speaker alias PRIYA. Keep the same assignment across every session.</w:t>
      </w:r>
    </w:p>
    <w:p>
      <w:pPr>
        <w:keepNext w:val="0"/>
        <w:spacing w:after="100"/>
      </w:pPr>
      <w:r>
        <w:rPr>
          <w:rFonts w:ascii="Aptos" w:hAnsi="Aptos"/>
          <w:b/>
          <w:color w:val="377A78"/>
        </w:rPr>
        <w:t xml:space="preserve">Arc continuity </w:t>
      </w:r>
      <w:r>
        <w:rPr>
          <w:rFonts w:ascii="Aptos" w:hAnsi="Aptos"/>
          <w:color w:val="24313A"/>
        </w:rPr>
        <w:t>Express change through pacing, pauses, word choice, and willingness to stay with difficult material. Do not perform distress as spectacle or infer emotion from voice alone.</w:t>
      </w:r>
    </w:p>
    <w:p>
      <w:pPr>
        <w:pStyle w:val="Heading1"/>
      </w:pPr>
      <w:r>
        <w:t>Dialogue and production guardrails</w:t>
      </w:r>
    </w:p>
    <w:p>
      <w:pPr>
        <w:pStyle w:val="ListBullet"/>
        <w:spacing w:after="50"/>
      </w:pPr>
      <w:r>
        <w:rPr>
          <w:rFonts w:ascii="Aptos" w:hAnsi="Aptos"/>
          <w:color w:val="24313A"/>
          <w:sz w:val="20"/>
        </w:rPr>
        <w:t>Use exactly two spoken labels: THERAPIST and the client alias shown above. Therapist identity and voice configuration live outside this client record.</w:t>
      </w:r>
    </w:p>
    <w:p>
      <w:pPr>
        <w:pStyle w:val="ListBullet"/>
        <w:spacing w:after="50"/>
      </w:pPr>
      <w:r>
        <w:rPr>
          <w:rFonts w:ascii="Aptos" w:hAnsi="Aptos"/>
          <w:color w:val="24313A"/>
          <w:sz w:val="20"/>
        </w:rPr>
        <w:t>Write one continuous session in six parts of roughly five minutes each; do not repeat greetings or summaries at part boundaries.</w:t>
      </w:r>
    </w:p>
    <w:p>
      <w:pPr>
        <w:pStyle w:val="ListBullet"/>
        <w:spacing w:after="50"/>
      </w:pPr>
      <w:r>
        <w:rPr>
          <w:rFonts w:ascii="Aptos" w:hAnsi="Aptos"/>
          <w:color w:val="24313A"/>
          <w:sz w:val="20"/>
        </w:rPr>
        <w:t>Preserve false starts, corrections, ordinary logistics, and silence. Not every exchange should produce insight.</w:t>
      </w:r>
    </w:p>
    <w:p>
      <w:pPr>
        <w:pStyle w:val="ListBullet"/>
        <w:spacing w:after="50"/>
      </w:pPr>
      <w:r>
        <w:rPr>
          <w:rFonts w:ascii="Aptos" w:hAnsi="Aptos"/>
          <w:color w:val="24313A"/>
          <w:sz w:val="20"/>
        </w:rPr>
        <w:t>Mark non-spoken pauses on their own line, such as [SILENCE - 8 SECONDS - DO NOT SPEAK], and insert them in audio assembly if the model reads or shortens the cue.</w:t>
      </w:r>
    </w:p>
    <w:p>
      <w:pPr>
        <w:pStyle w:val="ListBullet"/>
        <w:spacing w:after="50"/>
      </w:pPr>
      <w:r>
        <w:rPr>
          <w:rFonts w:ascii="Aptos" w:hAnsi="Aptos"/>
          <w:color w:val="24313A"/>
          <w:sz w:val="20"/>
        </w:rPr>
        <w:t>Generated interpretations remain tentative, source-grounded review prompts. A qualified clinician owns assessment, risk decisions, and treatment choices.</w:t>
      </w:r>
    </w:p>
    <w:p>
      <w:pPr>
        <w:pStyle w:val="Heading1"/>
      </w:pPr>
      <w:r>
        <w:t>Continuity checks</w:t>
      </w:r>
    </w:p>
    <w:p>
      <w:pPr>
        <w:pStyle w:val="ListBullet"/>
        <w:spacing w:after="50"/>
      </w:pPr>
      <w:r>
        <w:rPr>
          <w:rFonts w:ascii="Aptos" w:hAnsi="Aptos"/>
          <w:color w:val="24313A"/>
          <w:sz w:val="20"/>
        </w:rPr>
        <w:t>Carry forward concrete facts, prior commitments, unresolved questions, and changes in the client's language.</w:t>
      </w:r>
    </w:p>
    <w:p>
      <w:pPr>
        <w:pStyle w:val="ListBullet"/>
        <w:spacing w:after="50"/>
      </w:pPr>
      <w:r>
        <w:rPr>
          <w:rFonts w:ascii="Aptos" w:hAnsi="Aptos"/>
          <w:color w:val="24313A"/>
          <w:sz w:val="20"/>
        </w:rPr>
        <w:t>Allow setbacks without resetting the character or treating recurrence as failure.</w:t>
      </w:r>
    </w:p>
    <w:p>
      <w:pPr>
        <w:pStyle w:val="ListBullet"/>
        <w:spacing w:after="50"/>
      </w:pPr>
      <w:r>
        <w:rPr>
          <w:rFonts w:ascii="Aptos" w:hAnsi="Aptos"/>
          <w:color w:val="24313A"/>
          <w:sz w:val="20"/>
        </w:rPr>
        <w:t>Keep strengths, humor, relationships, work, and ordinary life visible alongside distress.</w:t>
      </w:r>
    </w:p>
    <w:p>
      <w:pPr>
        <w:pStyle w:val="ListBullet"/>
        <w:spacing w:after="50"/>
      </w:pPr>
      <w:r>
        <w:rPr>
          <w:rFonts w:ascii="Aptos" w:hAnsi="Aptos"/>
          <w:color w:val="24313A"/>
          <w:sz w:val="20"/>
        </w:rPr>
        <w:t>Do not invent a trauma reveal, diagnosis, medication change, or safety event merely to increase drama.</w:t>
      </w:r>
    </w:p>
    <w:p>
      <w:pPr>
        <w:pStyle w:val="ListBullet"/>
        <w:spacing w:after="50"/>
      </w:pPr>
      <w:r>
        <w:rPr>
          <w:rFonts w:ascii="Aptos" w:hAnsi="Aptos"/>
          <w:color w:val="24313A"/>
          <w:sz w:val="20"/>
        </w:rPr>
        <w:t>When a safety boundary is reached, pause the planned arc and model direct assessment and appropriate escalation.</w:t>
      </w:r>
    </w:p>
    <w:p>
      <w:pPr>
        <w:pStyle w:val="Heading1"/>
      </w:pPr>
      <w:r>
        <w:t>Evaluation targets</w:t>
      </w:r>
    </w:p>
    <w:p>
      <w:pPr>
        <w:pStyle w:val="ListBullet"/>
        <w:spacing w:after="50"/>
      </w:pPr>
      <w:r>
        <w:rPr>
          <w:rFonts w:ascii="Aptos" w:hAnsi="Aptos"/>
          <w:color w:val="24313A"/>
          <w:sz w:val="20"/>
        </w:rPr>
        <w:t>Speaker consistency, timestamp alignment, pauses, interruptions, and correction of speaker labels.</w:t>
      </w:r>
    </w:p>
    <w:p>
      <w:pPr>
        <w:pStyle w:val="ListBullet"/>
        <w:spacing w:after="50"/>
      </w:pPr>
      <w:r>
        <w:rPr>
          <w:rFonts w:ascii="Aptos" w:hAnsi="Aptos"/>
          <w:color w:val="24313A"/>
          <w:sz w:val="20"/>
        </w:rPr>
        <w:t>Faithful session summaries that distinguish statements from inferences.</w:t>
      </w:r>
    </w:p>
    <w:p>
      <w:pPr>
        <w:pStyle w:val="ListBullet"/>
        <w:spacing w:after="50"/>
      </w:pPr>
      <w:r>
        <w:rPr>
          <w:rFonts w:ascii="Aptos" w:hAnsi="Aptos"/>
          <w:color w:val="24313A"/>
          <w:sz w:val="20"/>
        </w:rPr>
        <w:t>Longitudinal retrieval of recurring themes only after evidence appears across multiple sessions.</w:t>
      </w:r>
    </w:p>
    <w:p>
      <w:pPr>
        <w:pStyle w:val="ListBullet"/>
        <w:spacing w:after="50"/>
      </w:pPr>
      <w:r>
        <w:rPr>
          <w:rFonts w:ascii="Aptos" w:hAnsi="Aptos"/>
          <w:color w:val="24313A"/>
          <w:sz w:val="20"/>
        </w:rPr>
        <w:t>Respect for clinician corrections, outdated items, and non-diagnostic uncertainty language.</w:t>
      </w:r>
    </w:p>
    <w:p>
      <w:pPr>
        <w:pStyle w:val="ListBullet"/>
        <w:spacing w:after="50"/>
      </w:pPr>
      <w:r>
        <w:rPr>
          <w:rFonts w:ascii="Aptos" w:hAnsi="Aptos"/>
          <w:color w:val="24313A"/>
          <w:sz w:val="20"/>
        </w:rPr>
        <w:t>Appropriate behavior when high-acuity content requires direct human assessment.</w:t>
      </w:r>
    </w:p>
    <w:sectPr w:rsidR="00FC693F" w:rsidRPr="0006063C" w:rsidSect="00034616">
      <w:footerReference w:type="default" r:id="rId9"/>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5737D"/>
        <w:sz w:val="15"/>
      </w:rPr>
      <w:t>Fictional demonstration material - clinician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4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24313A"/>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431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ptos Display" w:hAnsi="Aptos Display"/>
      <w:b/>
      <w:color w:val="2431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ptos" w:hAnsi="Aptos"/>
      <w:b w:val="0"/>
      <w:i/>
      <w:iCs/>
      <w:color w:val="65737D"/>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Priya Nair Clinical Trajectory Outline</dc:title>
  <dc:subject>Fictional clinical trajectory for scripted therapy dialogue and voice testing</dc:subject>
  <dc:creator>Therapist Dashboard Demo</dc:creator>
  <cp:keywords>fictional therapy trajectory, synthetic dialogue, Gemini TTS</cp:keywords>
  <dc:description>generated by python-docx</dc:description>
  <cp:lastModifiedBy>Therapist Dashboard Demo</cp:lastModifiedBy>
  <cp:revision>1</cp:revision>
  <dcterms:created xsi:type="dcterms:W3CDTF">2013-12-23T23:15:00Z</dcterms:created>
  <dcterms:modified xsi:type="dcterms:W3CDTF">2013-12-23T23:15:00Z</dcterms:modified>
  <cp:category/>
</cp:coreProperties>
</file>