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0D6E71"/>
          <w:sz w:val="18"/>
        </w:rPr>
        <w:t>THERAPIST SIDEKICK</w:t>
      </w:r>
    </w:p>
    <w:p>
      <w:pPr>
        <w:spacing w:after="160"/>
      </w:pPr>
      <w:r>
        <w:rPr>
          <w:rFonts w:ascii="Aptos Display" w:hAnsi="Aptos Display"/>
          <w:b/>
          <w:color w:val="18344C"/>
          <w:sz w:val="46"/>
        </w:rPr>
        <w:t>Year-end outlook: what an accelerated AI timeline can realistically deliver</w:t>
      </w:r>
    </w:p>
    <w:p>
      <w:pPr>
        <w:spacing w:after="320"/>
      </w:pPr>
      <w:r>
        <w:rPr>
          <w:color w:val="5B6672"/>
          <w:sz w:val="21"/>
        </w:rPr>
        <w:t>Stakeholder discussion draft | 8 September 2026 | Horizon: 31 December 2026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994"/>
            <w:shd w:fill="E7F3F1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</w:pPr>
            <w:r>
              <w:rPr>
                <w:b/>
                <w:color w:val="18344C"/>
                <w:sz w:val="21"/>
              </w:rPr>
              <w:t>Bottom line</w:t>
            </w:r>
          </w:p>
          <w:p>
            <w:pPr>
              <w:spacing w:after="0"/>
            </w:pPr>
            <w:r>
              <w:rPr>
                <w:color w:val="232B35"/>
                <w:sz w:val="20"/>
              </w:rPr>
              <w:t>With a focused, accelerated effort, the credible year-end outcome is a secure, consented design-partner pilot of the therapist session-review workflow - not a general-purpose production practice-management platform or autonomous clinical AI. The value to prove is that a therapist can move from recorded session to reviewable transcript, source-linked draft synthesis, and useful session context with materially less administrative burden.</w:t>
            </w:r>
          </w:p>
        </w:tc>
      </w:tr>
    </w:tbl>
    <w:p>
      <w:pPr>
        <w:spacing w:after="20"/>
      </w:pPr>
    </w:p>
    <w:p>
      <w:pPr>
        <w:spacing w:before="320" w:after="120"/>
      </w:pPr>
      <w:r>
        <w:rPr>
          <w:rFonts w:ascii="Aptos Display" w:hAnsi="Aptos Display"/>
          <w:b/>
          <w:color w:val="18344C"/>
          <w:sz w:val="32"/>
        </w:rPr>
        <w:t>What exists today</w:t>
      </w:r>
    </w:p>
    <w:p>
      <w:pPr>
        <w:spacing w:after="140" w:line="269" w:lineRule="auto"/>
      </w:pPr>
      <w:r>
        <w:rPr>
          <w:rFonts w:ascii="Aptos" w:hAnsi="Aptos"/>
          <w:color w:val="232B35"/>
          <w:sz w:val="21"/>
        </w:rPr>
        <w:t>The repository contains a working local prototype: browser microphone capture, asynchronous Amazon HealthScribe processing, timestamped and speaker-labeled transcript segments, synchronized audio playback, editable speaker labels, draft clinical-note display, and encrypted AWS storage infrastructure. The web portal is an early single-workspace experience.</w:t>
      </w:r>
    </w:p>
    <w:p>
      <w:pPr>
        <w:spacing w:after="140" w:line="269" w:lineRule="auto"/>
      </w:pPr>
      <w:r>
        <w:rPr>
          <w:rFonts w:ascii="Aptos" w:hAnsi="Aptos"/>
          <w:color w:val="232B35"/>
          <w:sz w:val="21"/>
        </w:rPr>
        <w:t>The gap to a real pilot is not principally model capability. It is product hardening: identity and role-based access, consent and retention controls, organization/client data boundaries, auditability, failure handling, usability research, clinical policy, and operating discipline.</w:t>
      </w:r>
    </w:p>
    <w:p>
      <w:pPr>
        <w:spacing w:before="320" w:after="120"/>
      </w:pPr>
      <w:r>
        <w:rPr>
          <w:rFonts w:ascii="Aptos Display" w:hAnsi="Aptos Display"/>
          <w:b/>
          <w:color w:val="18344C"/>
          <w:sz w:val="32"/>
        </w:rPr>
        <w:t>Recommended December commitment</w:t>
      </w:r>
    </w:p>
    <w:p>
      <w:pPr>
        <w:spacing w:after="140" w:line="269" w:lineRule="auto"/>
      </w:pPr>
      <w:r>
        <w:rPr>
          <w:rFonts w:ascii="Aptos" w:hAnsi="Aptos"/>
          <w:color w:val="232B35"/>
          <w:sz w:val="21"/>
        </w:rPr>
        <w:t>Deliver a tightly scoped 'Therapist Session Review Pilot' for a small number of design partners in a controlled environment. It should validate the first and highest-priority product loop: capture, review, correct, synthesize, and learn from a therapy session while keeping clinical judgment with the therapist.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3240"/>
            <w:shd w:fill="18344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Included in the pilot</w:t>
            </w:r>
          </w:p>
        </w:tc>
        <w:tc>
          <w:tcPr>
            <w:tcW w:type="dxa" w:w="6408"/>
            <w:shd w:fill="18344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Evidence of completion</w:t>
            </w:r>
          </w:p>
        </w:tc>
      </w:tr>
      <w:tr>
        <w:tc>
          <w:tcPr>
            <w:tcW w:type="dxa" w:w="3240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Secure therapist access and tenant separation</w:t>
            </w:r>
          </w:p>
        </w:tc>
        <w:tc>
          <w:tcPr>
            <w:tcW w:type="dxa" w:w="6408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Named pilot users can sign in; access is limited to their authorized data; key access and operational events are auditable.</w:t>
            </w:r>
          </w:p>
        </w:tc>
      </w:tr>
      <w:tr>
        <w:tc>
          <w:tcPr>
            <w:tcW w:type="dxa" w:w="3240"/>
            <w:shd w:fill="F5F8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Consent-aware session workflow</w:t>
            </w:r>
          </w:p>
        </w:tc>
        <w:tc>
          <w:tcPr>
            <w:tcW w:type="dxa" w:w="6408"/>
            <w:shd w:fill="F5F8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Recording and processing occur only after an explicit, recorded consent step; retention and deletion rules are visible and testable.</w:t>
            </w:r>
          </w:p>
        </w:tc>
      </w:tr>
      <w:tr>
        <w:tc>
          <w:tcPr>
            <w:tcW w:type="dxa" w:w="3240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Reliable capture-to-review path</w:t>
            </w:r>
          </w:p>
        </w:tc>
        <w:tc>
          <w:tcPr>
            <w:tcW w:type="dxa" w:w="6408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A therapist can upload or record a session, follow processing status, play synchronized audio, inspect timestamps, and correct speaker labels/transcript content.</w:t>
            </w:r>
          </w:p>
        </w:tc>
      </w:tr>
      <w:tr>
        <w:tc>
          <w:tcPr>
            <w:tcW w:type="dxa" w:w="3240"/>
            <w:shd w:fill="F5F8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Reviewable AI draft synthesis</w:t>
            </w:r>
          </w:p>
        </w:tc>
        <w:tc>
          <w:tcPr>
            <w:tcW w:type="dxa" w:w="6408"/>
            <w:shd w:fill="F5F8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A therapist receives a clearly labeled draft summary/key-points view, can edit or reject it, and can trace material points back to source transcript passages.</w:t>
            </w:r>
          </w:p>
        </w:tc>
      </w:tr>
      <w:tr>
        <w:tc>
          <w:tcPr>
            <w:tcW w:type="dxa" w:w="3240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Therapist-controlled client/session organization</w:t>
            </w:r>
          </w:p>
        </w:tc>
        <w:tc>
          <w:tcPr>
            <w:tcW w:type="dxa" w:w="6408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Pilot users can find the right client and session, attach reviewed artifacts, and return to them without relying on local folders or opaque IDs.</w:t>
            </w:r>
          </w:p>
        </w:tc>
      </w:tr>
      <w:tr>
        <w:tc>
          <w:tcPr>
            <w:tcW w:type="dxa" w:w="3240"/>
            <w:shd w:fill="F5F8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Pilot learning and quality loop</w:t>
            </w:r>
          </w:p>
        </w:tc>
        <w:tc>
          <w:tcPr>
            <w:tcW w:type="dxa" w:w="6408"/>
            <w:shd w:fill="F5F8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The team captures structured feedback and a small, governed evaluation set to measure transcript quality, summary faithfulness, review friction, and failures.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rFonts w:ascii="Aptos Display" w:hAnsi="Aptos Display"/>
          <w:b/>
          <w:color w:val="18344C"/>
          <w:sz w:val="32"/>
        </w:rPr>
        <w:t>What should not be promised by year end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3528"/>
            <w:shd w:fill="18344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Do not frame as year-end delivery</w:t>
            </w:r>
          </w:p>
        </w:tc>
        <w:tc>
          <w:tcPr>
            <w:tcW w:type="dxa" w:w="6120"/>
            <w:shd w:fill="18344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Why it should remain later-stage</w:t>
            </w:r>
          </w:p>
        </w:tc>
      </w:tr>
      <w:tr>
        <w:tc>
          <w:tcPr>
            <w:tcW w:type="dxa" w:w="3528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Full practice-management suite</w:t>
            </w:r>
          </w:p>
        </w:tc>
        <w:tc>
          <w:tcPr>
            <w:tcW w:type="dxa" w:w="6120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Scheduling, billing, insurance, multi-provider administration, and client discovery each create separate workflow, compliance, and integration commitments.</w:t>
            </w:r>
          </w:p>
        </w:tc>
      </w:tr>
      <w:tr>
        <w:tc>
          <w:tcPr>
            <w:tcW w:type="dxa" w:w="3528"/>
            <w:shd w:fill="F5F8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Broad client iPhone product</w:t>
            </w:r>
          </w:p>
        </w:tc>
        <w:tc>
          <w:tcPr>
            <w:tcW w:type="dxa" w:w="6120"/>
            <w:shd w:fill="F5F8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A meaningful client experience needs its own permissions model, safety design, content boundaries, and sustained product work.</w:t>
            </w:r>
          </w:p>
        </w:tc>
      </w:tr>
      <w:tr>
        <w:tc>
          <w:tcPr>
            <w:tcW w:type="dxa" w:w="3528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Custom foundation models or replacement of HealthScribe</w:t>
            </w:r>
          </w:p>
        </w:tc>
        <w:tc>
          <w:tcPr>
            <w:tcW w:type="dxa" w:w="6120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A responsible replacement needs governed data, representative evaluation, baselines, monitoring, and proof of material advantage - none should be compressed into a few months.</w:t>
            </w:r>
          </w:p>
        </w:tc>
      </w:tr>
      <w:tr>
        <w:tc>
          <w:tcPr>
            <w:tcW w:type="dxa" w:w="3528"/>
            <w:shd w:fill="F5F8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Automated clinical conclusions, risk detection, or emotion/tone judgments</w:t>
            </w:r>
          </w:p>
        </w:tc>
        <w:tc>
          <w:tcPr>
            <w:tcW w:type="dxa" w:w="6120"/>
            <w:shd w:fill="F5F8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These are explicitly outside the product's near-term safety boundary and require validation that does not fit an accelerated pilot.</w:t>
            </w:r>
          </w:p>
        </w:tc>
      </w:tr>
      <w:tr>
        <w:tc>
          <w:tcPr>
            <w:tcW w:type="dxa" w:w="3528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Large-practice / enterprise rollout</w:t>
            </w:r>
          </w:p>
        </w:tc>
        <w:tc>
          <w:tcPr>
            <w:tcW w:type="dxa" w:w="6120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Organization controls, support, contracting, security review, and operational maturity must follow evidence from the core workflow.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rFonts w:ascii="Aptos Display" w:hAnsi="Aptos Display"/>
          <w:b/>
          <w:color w:val="18344C"/>
          <w:sz w:val="32"/>
        </w:rPr>
        <w:t>Accelerated path from September through December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512"/>
            <w:shd w:fill="18344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3672"/>
            <w:shd w:fill="18344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Primary objective</w:t>
            </w:r>
          </w:p>
        </w:tc>
        <w:tc>
          <w:tcPr>
            <w:tcW w:type="dxa" w:w="4464"/>
            <w:shd w:fill="18344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Decision-quality output</w:t>
            </w:r>
          </w:p>
        </w:tc>
      </w:tr>
      <w:tr>
        <w:tc>
          <w:tcPr>
            <w:tcW w:type="dxa" w:w="1512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September</w:t>
            </w:r>
          </w:p>
        </w:tc>
        <w:tc>
          <w:tcPr>
            <w:tcW w:type="dxa" w:w="3672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Pilot definition and foundation</w:t>
            </w:r>
          </w:p>
        </w:tc>
        <w:tc>
          <w:tcPr>
            <w:tcW w:type="dxa" w:w="4464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Choose 3-5 design partners; define intended use, consent, retention, and non-use boundaries; map the current prototype's gaps; establish quality and safety metrics.</w:t>
            </w:r>
          </w:p>
        </w:tc>
      </w:tr>
      <w:tr>
        <w:tc>
          <w:tcPr>
            <w:tcW w:type="dxa" w:w="1512"/>
            <w:shd w:fill="F5F8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October</w:t>
            </w:r>
          </w:p>
        </w:tc>
        <w:tc>
          <w:tcPr>
            <w:tcW w:type="dxa" w:w="3672"/>
            <w:shd w:fill="F5F8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Pilot-ready core workflow</w:t>
            </w:r>
          </w:p>
        </w:tc>
        <w:tc>
          <w:tcPr>
            <w:tcW w:type="dxa" w:w="4464"/>
            <w:shd w:fill="F5F8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Implement secure identity/data boundaries, consent flow, session/client organization, durable storage and audit events; harden upload, status, retry, and review UX.</w:t>
            </w:r>
          </w:p>
        </w:tc>
      </w:tr>
      <w:tr>
        <w:tc>
          <w:tcPr>
            <w:tcW w:type="dxa" w:w="1512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November</w:t>
            </w:r>
          </w:p>
        </w:tc>
        <w:tc>
          <w:tcPr>
            <w:tcW w:type="dxa" w:w="3672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Clinician-controlled AI and measurement</w:t>
            </w:r>
          </w:p>
        </w:tc>
        <w:tc>
          <w:tcPr>
            <w:tcW w:type="dxa" w:w="4464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Release editable draft synthesis with source references; add transcript correction/finalization; run structured usability and quality reviews against the HealthScribe baseline.</w:t>
            </w:r>
          </w:p>
        </w:tc>
      </w:tr>
      <w:tr>
        <w:tc>
          <w:tcPr>
            <w:tcW w:type="dxa" w:w="1512"/>
            <w:shd w:fill="F5F8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December</w:t>
            </w:r>
          </w:p>
        </w:tc>
        <w:tc>
          <w:tcPr>
            <w:tcW w:type="dxa" w:w="3672"/>
            <w:shd w:fill="F5F8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Controlled design-partner pilot</w:t>
            </w:r>
          </w:p>
        </w:tc>
        <w:tc>
          <w:tcPr>
            <w:tcW w:type="dxa" w:w="4464"/>
            <w:shd w:fill="F5F8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Operate the workflow with a deliberately limited cohort; triage issues rapidly; deliver a year-end evidence pack and a go/no-go recommendation for broader beta.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rFonts w:ascii="Aptos Display" w:hAnsi="Aptos Display"/>
          <w:b/>
          <w:color w:val="18344C"/>
          <w:sz w:val="32"/>
        </w:rPr>
        <w:t>What 'accelerated AI' changes - and what it does not</w:t>
      </w:r>
    </w:p>
    <w:p>
      <w:pPr>
        <w:spacing w:after="140" w:line="269" w:lineRule="auto"/>
      </w:pPr>
      <w:r>
        <w:rPr>
          <w:rFonts w:ascii="Aptos" w:hAnsi="Aptos"/>
          <w:color w:val="232B35"/>
          <w:sz w:val="21"/>
        </w:rPr>
        <w:t>AI coding tools can substantially compress interface construction, integration work, test generation, transcript normalization, retrieval prototypes, and internal evaluation tooling. They can also let the team iterate faster on therapist-facing summary formats. That makes the pilot scope above plausible with a small, capable team.</w:t>
      </w:r>
    </w:p>
    <w:p>
      <w:pPr>
        <w:spacing w:after="140" w:line="269" w:lineRule="auto"/>
      </w:pPr>
      <w:r>
        <w:rPr>
          <w:rFonts w:ascii="Aptos" w:hAnsi="Aptos"/>
          <w:color w:val="232B35"/>
          <w:sz w:val="21"/>
        </w:rPr>
        <w:t>AI does not eliminate the parts that make this domain difficult: consent, privacy, security, clinical policy, safe interaction design, representative evaluation, and clinician trust. Those are product gates, not implementation backlog. The fastest path is therefore narrower and more measured, not broader.</w:t>
      </w:r>
    </w:p>
    <w:p>
      <w:pPr>
        <w:spacing w:before="320" w:after="120"/>
      </w:pPr>
      <w:r>
        <w:rPr>
          <w:rFonts w:ascii="Aptos Display" w:hAnsi="Aptos Display"/>
          <w:b/>
          <w:color w:val="18344C"/>
          <w:sz w:val="32"/>
        </w:rPr>
        <w:t>Conditions required for this outcome</w:t>
      </w:r>
    </w:p>
    <w:p>
      <w:pPr>
        <w:pStyle w:val="ListBullet"/>
        <w:spacing w:after="80"/>
        <w:ind w:left="317" w:hanging="202"/>
      </w:pPr>
      <w:r>
        <w:rPr>
          <w:color w:val="232B35"/>
          <w:sz w:val="21"/>
        </w:rPr>
        <w:t>A dedicated delivery team of roughly 3-5 full-time product/engineering contributors, with accountable product leadership and rapid decision-making.</w:t>
      </w:r>
    </w:p>
    <w:p>
      <w:pPr>
        <w:pStyle w:val="ListBullet"/>
        <w:spacing w:after="80"/>
        <w:ind w:left="317" w:hanging="202"/>
      </w:pPr>
      <w:r>
        <w:rPr>
          <w:color w:val="232B35"/>
          <w:sz w:val="21"/>
        </w:rPr>
        <w:t>A named clinical lead plus privacy/security/legal support empowered to set intended-use, consent, retention, and review policies before real session data is processed.</w:t>
      </w:r>
    </w:p>
    <w:p>
      <w:pPr>
        <w:pStyle w:val="ListBullet"/>
        <w:spacing w:after="80"/>
        <w:ind w:left="317" w:hanging="202"/>
      </w:pPr>
      <w:r>
        <w:rPr>
          <w:color w:val="232B35"/>
          <w:sz w:val="21"/>
        </w:rPr>
        <w:t>Three to five committed design partners who can provide recurring feedback and use only the approved pilot workflow.</w:t>
      </w:r>
    </w:p>
    <w:p>
      <w:pPr>
        <w:pStyle w:val="ListBullet"/>
        <w:spacing w:after="80"/>
        <w:ind w:left="317" w:hanging="202"/>
      </w:pPr>
      <w:r>
        <w:rPr>
          <w:color w:val="232B35"/>
          <w:sz w:val="21"/>
        </w:rPr>
        <w:t>A deliberate choice to use HealthScribe as the early baseline and to avoid a model-replacement program until quality evidence justifies it.</w:t>
      </w:r>
    </w:p>
    <w:p>
      <w:pPr>
        <w:pStyle w:val="ListBullet"/>
        <w:spacing w:after="80"/>
        <w:ind w:left="317" w:hanging="202"/>
      </w:pPr>
      <w:r>
        <w:rPr>
          <w:color w:val="232B35"/>
          <w:sz w:val="21"/>
        </w:rPr>
        <w:t>A controlled pilot environment, not an implied HIPAA/enterprise-ready commercial launch, unless the required compliance evidence is separately established.</w:t>
      </w:r>
    </w:p>
    <w:p>
      <w:pPr>
        <w:spacing w:before="320" w:after="120"/>
      </w:pPr>
      <w:r>
        <w:rPr>
          <w:rFonts w:ascii="Aptos Display" w:hAnsi="Aptos Display"/>
          <w:b/>
          <w:color w:val="18344C"/>
          <w:sz w:val="32"/>
        </w:rPr>
        <w:t>Year-end success measures</w:t>
      </w:r>
    </w:p>
    <w:p>
      <w:pPr>
        <w:spacing w:after="140" w:line="269" w:lineRule="auto"/>
      </w:pPr>
      <w:r>
        <w:rPr>
          <w:rFonts w:ascii="Aptos" w:hAnsi="Aptos"/>
          <w:color w:val="232B35"/>
          <w:sz w:val="21"/>
        </w:rPr>
        <w:t>Set exact targets before the pilot starts. The measures below are the right decision frame; they should be reported with sample size, cohort, and known limitations rather than treated as marketing claims.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448"/>
            <w:shd w:fill="18344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Dimension</w:t>
            </w:r>
          </w:p>
        </w:tc>
        <w:tc>
          <w:tcPr>
            <w:tcW w:type="dxa" w:w="7200"/>
            <w:shd w:fill="18344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Evidence to collect</w:t>
            </w:r>
          </w:p>
        </w:tc>
      </w:tr>
      <w:tr>
        <w:tc>
          <w:tcPr>
            <w:tcW w:type="dxa" w:w="2448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Safety and control</w:t>
            </w:r>
          </w:p>
        </w:tc>
        <w:tc>
          <w:tcPr>
            <w:tcW w:type="dxa" w:w="7200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Consent coverage; authorization/audit checks; retention/deletion test results; count and resolution of privacy or access incidents.</w:t>
            </w:r>
          </w:p>
        </w:tc>
      </w:tr>
      <w:tr>
        <w:tc>
          <w:tcPr>
            <w:tcW w:type="dxa" w:w="2448"/>
            <w:shd w:fill="F5F8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Workflow reliability</w:t>
            </w:r>
          </w:p>
        </w:tc>
        <w:tc>
          <w:tcPr>
            <w:tcW w:type="dxa" w:w="7200"/>
            <w:shd w:fill="F5F8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Sessions started, completed, failed, and recovered; processing latency; uptime/defect trends; success through the complete review path.</w:t>
            </w:r>
          </w:p>
        </w:tc>
      </w:tr>
      <w:tr>
        <w:tc>
          <w:tcPr>
            <w:tcW w:type="dxa" w:w="2448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Transcript usefulness</w:t>
            </w:r>
          </w:p>
        </w:tc>
        <w:tc>
          <w:tcPr>
            <w:tcW w:type="dxa" w:w="7200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Therapist review time; correction patterns; speaker-label quality; timestamp-to-audio alignment; representative error taxonomy.</w:t>
            </w:r>
          </w:p>
        </w:tc>
      </w:tr>
      <w:tr>
        <w:tc>
          <w:tcPr>
            <w:tcW w:type="dxa" w:w="2448"/>
            <w:shd w:fill="F5F8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Synthesis trust</w:t>
            </w:r>
          </w:p>
        </w:tc>
        <w:tc>
          <w:tcPr>
            <w:tcW w:type="dxa" w:w="7200"/>
            <w:shd w:fill="F5F8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Therapist accept/edit/reject behavior; source-traceability coverage; faithfulness review; qualitative reasons the draft was or was not useful.</w:t>
            </w:r>
          </w:p>
        </w:tc>
      </w:tr>
      <w:tr>
        <w:tc>
          <w:tcPr>
            <w:tcW w:type="dxa" w:w="2448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User value</w:t>
            </w:r>
          </w:p>
        </w:tc>
        <w:tc>
          <w:tcPr>
            <w:tcW w:type="dxa" w:w="7200"/>
            <w:shd w:fill="FFFFFF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32B35"/>
                <w:sz w:val="18"/>
              </w:rPr>
              <w:t>Design-partner willingness to continue; reported administrative burden reduction; repeat use; high-priority workflow improvements for the next phase.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rFonts w:ascii="Aptos Display" w:hAnsi="Aptos Display"/>
          <w:b/>
          <w:color w:val="18344C"/>
          <w:sz w:val="32"/>
        </w:rPr>
        <w:t>Stakeholder decisions needed now</w:t>
      </w:r>
    </w:p>
    <w:p>
      <w:pPr>
        <w:pStyle w:val="ListBullet"/>
        <w:spacing w:after="80"/>
        <w:ind w:left="317" w:hanging="202"/>
      </w:pPr>
      <w:r>
        <w:rPr>
          <w:color w:val="232B35"/>
          <w:sz w:val="21"/>
        </w:rPr>
        <w:t>Approve the narrow year-end pilot outcome as the top company objective, and explicitly defer full practice operations, broad client features, and custom-model claims.</w:t>
      </w:r>
    </w:p>
    <w:p>
      <w:pPr>
        <w:pStyle w:val="ListBullet"/>
        <w:spacing w:after="80"/>
        <w:ind w:left="317" w:hanging="202"/>
      </w:pPr>
      <w:r>
        <w:rPr>
          <w:color w:val="232B35"/>
          <w:sz w:val="21"/>
        </w:rPr>
        <w:t>Fund or assign the delivery, clinical, security, and design-partner capacity required by the conditions above.</w:t>
      </w:r>
    </w:p>
    <w:p>
      <w:pPr>
        <w:pStyle w:val="ListBullet"/>
        <w:spacing w:after="80"/>
        <w:ind w:left="317" w:hanging="202"/>
      </w:pPr>
      <w:r>
        <w:rPr>
          <w:color w:val="232B35"/>
          <w:sz w:val="21"/>
        </w:rPr>
        <w:t>Authorize a pilot governance package: intended use, consent language/process, data retention/deletion policy, access model, incident process, and feedback protocol.</w:t>
      </w:r>
    </w:p>
    <w:p>
      <w:pPr>
        <w:pStyle w:val="ListBullet"/>
        <w:spacing w:after="80"/>
        <w:ind w:left="317" w:hanging="202"/>
      </w:pPr>
      <w:r>
        <w:rPr>
          <w:color w:val="232B35"/>
          <w:sz w:val="21"/>
        </w:rPr>
        <w:t>Agree that December's decision is evidence-based: continue into a broader beta only if clinician value, operational reliability, and safety controls meet the agreed thresholds.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994"/>
            <w:shd w:fill="FFF4DB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</w:pPr>
            <w:r>
              <w:rPr>
                <w:b/>
                <w:color w:val="18344C"/>
                <w:sz w:val="21"/>
              </w:rPr>
              <w:t>Suggested stakeholder message</w:t>
            </w:r>
          </w:p>
          <w:p>
            <w:pPr>
              <w:spacing w:after="0"/>
            </w:pPr>
            <w:r>
              <w:rPr>
                <w:color w:val="232B35"/>
                <w:sz w:val="20"/>
              </w:rPr>
              <w:t>By year end, we can credibly demonstrate a therapist-controlled, AI-assisted session-review workflow with selected design partners. Our aim is not to claim that AI can safely automate therapy or that we have finished a practice platform. Our aim is to establish the trustworthy core, measure whether it reduces therapist burden, and use that evidence to choose the next investment.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B6672"/>
        <w:sz w:val="16"/>
      </w:rPr>
      <w:t>Therapist Sidekick | Stakeholder discussion draft | 8 September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Therapist Sidekick Year-End Outlook</dc:title>
  <dc:subject>Accelerated AI delivery outlook for stakeholders</dc:subject>
  <dc:creator>Therapist Sidekick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