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Bank Street Quarters</w:t>
      </w:r>
    </w:p>
    <w:p>
      <w:pPr>
        <w:pStyle w:val="Heading2"/>
        <w:pStyle w:val="MdHeading2"/>
      </w:pPr>
      <w:r>
        <w:t xml:space="preserve">Executive Style and Font Guide</w:t>
      </w:r>
    </w:p>
    <w:p>
      <w:pPr>
        <w:pStyle w:val="MdParagraph"/>
      </w:pPr>
      <w:r>
        <w:rPr>
          <w:rStyle w:val="MdStrong"/>
          <w:b/>
          <w:bCs/>
        </w:rPr>
        <w:t xml:space="preserve">Prepared for:</w:t>
      </w:r>
      <w:r>
        <w:t xml:space="preserve"> CEO, Chief Design Officer, and Head of Web Design</w:t>
      </w:r>
      <w:r>
        <w:rPr>
          <w:rStyle w:val="MdBr"/>
        </w:rPr>
        <w:br/>
        <w:t xml:space="preserve"/>
      </w:r>
      <w:r>
        <w:rPr>
          <w:rStyle w:val="MdStrong"/>
          <w:b/>
          <w:bCs/>
        </w:rPr>
        <w:t xml:space="preserve">Prepared by:</w:t>
      </w:r>
      <w:r>
        <w:t xml:space="preserve"> Manus AI</w:t>
      </w:r>
      <w:r>
        <w:rPr>
          <w:rStyle w:val="MdBr"/>
        </w:rPr>
        <w:br/>
        <w:t xml:space="preserve"/>
      </w:r>
      <w:r>
        <w:rPr>
          <w:rStyle w:val="MdStrong"/>
          <w:b/>
          <w:bCs/>
        </w:rPr>
        <w:t xml:space="preserve">Basis of review:</w:t>
      </w:r>
      <w:r>
        <w:t xml:space="preserve"> Provided visual identity composition and background treatment</w:t>
      </w:r>
      <w:r>
        <w:rPr>
          <w:rStyle w:val="MdBr"/>
        </w:rPr>
        <w:br/>
        <w:t xml:space="preserve"/>
      </w:r>
      <w:r>
        <w:rPr>
          <w:rStyle w:val="MdStrong"/>
          <w:b/>
          <w:bCs/>
        </w:rPr>
        <w:t xml:space="preserve">Document purpose:</w:t>
      </w:r>
      <w:r>
        <w:t xml:space="preserve"> To define the visual language, typographic strategy, and practical digital application standards for the current Bank Street Quarters brand direction.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Executive Summary</w:t>
      </w:r>
    </w:p>
    <w:p>
      <w:pPr>
        <w:pStyle w:val="MdParagraph"/>
      </w:pPr>
      <w:r>
        <w:t xml:space="preserve">The Bank Street Quarters identity presents itself as a </w:t>
      </w:r>
      <w:r>
        <w:rPr>
          <w:rStyle w:val="MdStrong"/>
          <w:b/>
          <w:bCs/>
        </w:rPr>
        <w:t xml:space="preserve">premium heritage-luxury brand</w:t>
      </w:r>
      <w:r>
        <w:t xml:space="preserve"> positioned at the intersection of </w:t>
      </w:r>
      <w:r>
        <w:rPr>
          <w:rStyle w:val="MdStrong"/>
          <w:b/>
          <w:bCs/>
        </w:rPr>
        <w:t xml:space="preserve">historic character, hospitality polish, and contemporary residential refinement</w:t>
      </w:r>
      <w:r>
        <w:t xml:space="preserve">. The visual system communicates an atmosphere that is both </w:t>
      </w:r>
      <w:r>
        <w:rPr>
          <w:rStyle w:val="MdStrong"/>
          <w:b/>
          <w:bCs/>
        </w:rPr>
        <w:t xml:space="preserve">architectural</w:t>
      </w:r>
      <w:r>
        <w:t xml:space="preserve"> and </w:t>
      </w:r>
      <w:r>
        <w:rPr>
          <w:rStyle w:val="MdStrong"/>
          <w:b/>
          <w:bCs/>
        </w:rPr>
        <w:t xml:space="preserve">editorial</w:t>
      </w:r>
      <w:r>
        <w:t xml:space="preserve">. It draws on the language of historic district signage, boutique hotel branding, engraved emblems, and classic American main-street ornament, while maintaining enough restraint to feel current rather than nostalgic.</w:t>
      </w:r>
    </w:p>
    <w:p>
      <w:pPr>
        <w:pStyle w:val="MdSpace"/>
        <w:spacing w:before="0" w:after="60"/>
      </w:pPr>
    </w:p>
    <w:p>
      <w:pPr>
        <w:pStyle w:val="MdParagraph"/>
      </w:pPr>
      <w:r>
        <w:t xml:space="preserve">The most distinctive strength of the identity is its ability to combine </w:t>
      </w:r>
      <w:r>
        <w:rPr>
          <w:rStyle w:val="MdStrong"/>
          <w:b/>
          <w:bCs/>
        </w:rPr>
        <w:t xml:space="preserve">ornamental richness</w:t>
      </w:r>
      <w:r>
        <w:t xml:space="preserve"> with </w:t>
      </w:r>
      <w:r>
        <w:rPr>
          <w:rStyle w:val="MdStrong"/>
          <w:b/>
          <w:bCs/>
        </w:rPr>
        <w:t xml:space="preserve">dark-field sophistication</w:t>
      </w:r>
      <w:r>
        <w:t xml:space="preserve">. The deep navy atmospheric backdrop gives the brand emotional depth and versatility, while the gold typography and olive-accented badges introduce warmth, status, and place-based character. The system is not minimal; however, it remains disciplined when the hierarchy is properly managed. For executive purposes, the core recommendation is to preserve this balance: the brand should feel </w:t>
      </w:r>
      <w:r>
        <w:rPr>
          <w:rStyle w:val="MdStrong"/>
          <w:b/>
          <w:bCs/>
        </w:rPr>
        <w:t xml:space="preserve">elevated and storied</w:t>
      </w:r>
      <w:r>
        <w:t xml:space="preserve">, but never crowded, gimmicky, or theme-park historic.</w:t>
      </w:r>
    </w:p>
    <w:p>
      <w:pPr>
        <w:pStyle w:val="MdSpace"/>
        <w:spacing w:before="0" w:after="60"/>
      </w:pPr>
    </w:p>
    <w:p>
      <w:pPr>
        <w:pStyle w:val="MdParagraph"/>
      </w:pPr>
      <w:r>
        <w:t xml:space="preserve">From a design-governance standpoint, the identity should be treated as a </w:t>
      </w:r>
      <w:r>
        <w:rPr>
          <w:rStyle w:val="MdStrong"/>
          <w:b/>
          <w:bCs/>
        </w:rPr>
        <w:t xml:space="preserve">controlled premium system</w:t>
      </w:r>
      <w:r>
        <w:t xml:space="preserve">, not as an open decorative toolkit. Its power lies in selective deployment. Typography, ornamental devices, contrast levels, and badge treatments should all be managed with strong hierarchy so that the brand feels intentional across web, print, signage, leasing, hospitality, and investor-facing communications.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Brand Style Positioning</w:t>
      </w:r>
    </w:p>
    <w:p>
      <w:pPr>
        <w:pStyle w:val="MdParagraph"/>
      </w:pPr>
      <w:r>
        <w:t xml:space="preserve">The visual language suggests a brand that belongs to a revitalized downtown environment with a strong sense of place. It signals </w:t>
      </w:r>
      <w:r>
        <w:rPr>
          <w:rStyle w:val="MdStrong"/>
          <w:b/>
          <w:bCs/>
        </w:rPr>
        <w:t xml:space="preserve">historic charm</w:t>
      </w:r>
      <w:r>
        <w:t xml:space="preserve">, </w:t>
      </w:r>
      <w:r>
        <w:rPr>
          <w:rStyle w:val="MdStrong"/>
          <w:b/>
          <w:bCs/>
        </w:rPr>
        <w:t xml:space="preserve">luxury living</w:t>
      </w:r>
      <w:r>
        <w:t xml:space="preserve">, and </w:t>
      </w:r>
      <w:r>
        <w:rPr>
          <w:rStyle w:val="MdStrong"/>
          <w:b/>
          <w:bCs/>
        </w:rPr>
        <w:t xml:space="preserve">destination-oriented urban experience</w:t>
      </w:r>
      <w:r>
        <w:t xml:space="preserve">. The identity is especially effective because it does not rely on sterile luxury cues. Instead, it frames luxury through </w:t>
      </w:r>
      <w:r>
        <w:rPr>
          <w:rStyle w:val="MdStrong"/>
          <w:b/>
          <w:bCs/>
        </w:rPr>
        <w:t xml:space="preserve">craft, permanence, warmth, and heritage detail</w:t>
      </w:r>
      <w:r>
        <w:t xml:space="preserv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Dimension</w:t>
            </w:r>
          </w:p>
        </w:tc>
        <w:tc>
          <w:tcPr>
            <w:tcMar>
              <w:top w:type="dxa" w:w="100"/>
              <w:left w:type="dxa" w:w="120"/>
              <w:bottom w:type="dxa" w:w="100"/>
              <w:right w:type="dxa" w:w="120"/>
            </w:tcMar>
            <w:vAlign w:val="center"/>
          </w:tcPr>
          <w:p>
            <w:pPr>
              <w:pStyle w:val="MdTableHeader"/>
            </w:pPr>
            <w:r>
              <w:t xml:space="preserve">Brand Expression</w:t>
            </w:r>
          </w:p>
        </w:tc>
        <w:tc>
          <w:tcPr>
            <w:tcBorders>
              <w:right w:val="none"/>
            </w:tcBorders>
            <w:tcMar>
              <w:top w:type="dxa" w:w="100"/>
              <w:left w:type="dxa" w:w="120"/>
              <w:bottom w:type="dxa" w:w="100"/>
              <w:right w:type="dxa" w:w="120"/>
            </w:tcMar>
            <w:vAlign w:val="center"/>
          </w:tcPr>
          <w:p>
            <w:pPr>
              <w:pStyle w:val="MdTableHeader"/>
            </w:pPr>
            <w:r>
              <w:t xml:space="preserve">Strategic Interpretation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Market posture</w:t>
            </w:r>
          </w:p>
        </w:tc>
        <w:tc>
          <w:tcPr>
            <w:tcMar>
              <w:top w:type="dxa" w:w="80"/>
              <w:left w:type="dxa" w:w="120"/>
              <w:bottom w:type="dxa" w:w="80"/>
              <w:right w:type="dxa" w:w="120"/>
            </w:tcMar>
            <w:vAlign w:val="center"/>
          </w:tcPr>
          <w:p>
            <w:pPr>
              <w:pStyle w:val="MdTableCell"/>
            </w:pPr>
            <w:r>
              <w:t xml:space="preserve">Premium, boutique, place-led</w:t>
            </w:r>
          </w:p>
        </w:tc>
        <w:tc>
          <w:tcPr>
            <w:tcBorders>
              <w:right w:val="none"/>
            </w:tcBorders>
            <w:tcMar>
              <w:top w:type="dxa" w:w="80"/>
              <w:left w:type="dxa" w:w="120"/>
              <w:bottom w:type="dxa" w:w="80"/>
              <w:right w:type="dxa" w:w="120"/>
            </w:tcMar>
            <w:vAlign w:val="center"/>
          </w:tcPr>
          <w:p>
            <w:pPr>
              <w:pStyle w:val="MdTableCell"/>
            </w:pPr>
            <w:r>
              <w:t xml:space="preserve">Suitable for luxury apartments, mixed-use branding, destination leasing, and hospitality-adjacent positioning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Emotional tone</w:t>
            </w:r>
          </w:p>
        </w:tc>
        <w:tc>
          <w:tcPr>
            <w:tcMar>
              <w:top w:type="dxa" w:w="80"/>
              <w:left w:type="dxa" w:w="120"/>
              <w:bottom w:type="dxa" w:w="80"/>
              <w:right w:type="dxa" w:w="120"/>
            </w:tcMar>
            <w:vAlign w:val="center"/>
          </w:tcPr>
          <w:p>
            <w:pPr>
              <w:pStyle w:val="MdTableCell"/>
            </w:pPr>
            <w:r>
              <w:t xml:space="preserve">Warm, elegant, storied, confident</w:t>
            </w:r>
          </w:p>
        </w:tc>
        <w:tc>
          <w:tcPr>
            <w:tcBorders>
              <w:right w:val="none"/>
            </w:tcBorders>
            <w:tcMar>
              <w:top w:type="dxa" w:w="80"/>
              <w:left w:type="dxa" w:w="120"/>
              <w:bottom w:type="dxa" w:w="80"/>
              <w:right w:type="dxa" w:w="120"/>
            </w:tcMar>
            <w:vAlign w:val="center"/>
          </w:tcPr>
          <w:p>
            <w:pPr>
              <w:pStyle w:val="MdTableCell"/>
            </w:pPr>
            <w:r>
              <w:t xml:space="preserve">Conveys trust, quality, and a curated sense of living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Cultural reference</w:t>
            </w:r>
          </w:p>
        </w:tc>
        <w:tc>
          <w:tcPr>
            <w:tcMar>
              <w:top w:type="dxa" w:w="80"/>
              <w:left w:type="dxa" w:w="120"/>
              <w:bottom w:type="dxa" w:w="80"/>
              <w:right w:type="dxa" w:w="120"/>
            </w:tcMar>
            <w:vAlign w:val="center"/>
          </w:tcPr>
          <w:p>
            <w:pPr>
              <w:pStyle w:val="MdTableCell"/>
            </w:pPr>
            <w:r>
              <w:t xml:space="preserve">Historic signage, engraved marks, old-world monograms, downtown commerce</w:t>
            </w:r>
          </w:p>
        </w:tc>
        <w:tc>
          <w:tcPr>
            <w:tcBorders>
              <w:right w:val="none"/>
            </w:tcBorders>
            <w:tcMar>
              <w:top w:type="dxa" w:w="80"/>
              <w:left w:type="dxa" w:w="120"/>
              <w:bottom w:type="dxa" w:w="80"/>
              <w:right w:type="dxa" w:w="120"/>
            </w:tcMar>
            <w:vAlign w:val="center"/>
          </w:tcPr>
          <w:p>
            <w:pPr>
              <w:pStyle w:val="MdTableCell"/>
            </w:pPr>
            <w:r>
              <w:t xml:space="preserve">Reinforces local character and enduring 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Modernity level</w:t>
            </w:r>
          </w:p>
        </w:tc>
        <w:tc>
          <w:tcPr>
            <w:tcMar>
              <w:top w:type="dxa" w:w="80"/>
              <w:left w:type="dxa" w:w="120"/>
              <w:bottom w:type="dxa" w:w="80"/>
              <w:right w:type="dxa" w:w="120"/>
            </w:tcMar>
            <w:vAlign w:val="center"/>
          </w:tcPr>
          <w:p>
            <w:pPr>
              <w:pStyle w:val="MdTableCell"/>
            </w:pPr>
            <w:r>
              <w:t xml:space="preserve">Contemporary restraint over historic base</w:t>
            </w:r>
          </w:p>
        </w:tc>
        <w:tc>
          <w:tcPr>
            <w:tcBorders>
              <w:right w:val="none"/>
            </w:tcBorders>
            <w:tcMar>
              <w:top w:type="dxa" w:w="80"/>
              <w:left w:type="dxa" w:w="120"/>
              <w:bottom w:type="dxa" w:w="80"/>
              <w:right w:type="dxa" w:w="120"/>
            </w:tcMar>
            <w:vAlign w:val="center"/>
          </w:tcPr>
          <w:p>
            <w:pPr>
              <w:pStyle w:val="MdTableCell"/>
            </w:pPr>
            <w:r>
              <w:t xml:space="preserve">Prevents the brand from reading as costume or nostalgia-only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Audience signal</w:t>
            </w:r>
          </w:p>
        </w:tc>
        <w:tc>
          <w:tcPr>
            <w:tcBorders>
              <w:bottom w:val="single" w:color="E1E4E8" w:sz="4"/>
            </w:tcBorders>
            <w:tcMar>
              <w:top w:type="dxa" w:w="80"/>
              <w:left w:type="dxa" w:w="120"/>
              <w:bottom w:type="dxa" w:w="80"/>
              <w:right w:type="dxa" w:w="120"/>
            </w:tcMar>
            <w:vAlign w:val="center"/>
          </w:tcPr>
          <w:p>
            <w:pPr>
              <w:pStyle w:val="MdTableCell"/>
            </w:pPr>
            <w:r>
              <w:t xml:space="preserve">Affluent residents, culturally aware visitors, civic stakeholders, investors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Broad enough for public-facing use, premium enough for executive and development audiences</w:t>
            </w:r>
          </w:p>
        </w:tc>
      </w:tr>
    </w:tbl>
    <w:p>
      <w:pPr>
        <w:pStyle w:val="MdParagraph"/>
      </w:pPr>
      <w:r>
        <w:t xml:space="preserve">In language terms, the brand should consistently feel like </w:t>
      </w:r>
      <w:r>
        <w:rPr>
          <w:rStyle w:val="MdStrong"/>
          <w:b/>
          <w:bCs/>
        </w:rPr>
        <w:t xml:space="preserve">a district with legacy</w:t>
      </w:r>
      <w:r>
        <w:t xml:space="preserve">, </w:t>
      </w:r>
      <w:r>
        <w:rPr>
          <w:rStyle w:val="MdStrong"/>
          <w:b/>
          <w:bCs/>
        </w:rPr>
        <w:t xml:space="preserve">a residence with distinction</w:t>
      </w:r>
      <w:r>
        <w:t xml:space="preserve">, and </w:t>
      </w:r>
      <w:r>
        <w:rPr>
          <w:rStyle w:val="MdStrong"/>
          <w:b/>
          <w:bCs/>
        </w:rPr>
        <w:t xml:space="preserve">an experience with polish</w:t>
      </w:r>
      <w:r>
        <w:t xml:space="preserve">. That framing should guide all future web design, naming architecture, photography, typography, and environmental graphics.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Core Visual DNA</w:t>
      </w:r>
    </w:p>
    <w:p>
      <w:pPr>
        <w:pStyle w:val="MdParagraph"/>
      </w:pPr>
      <w:r>
        <w:t xml:space="preserve">The current visual direction is built on five highly recognizable design behaviors.</w:t>
      </w:r>
    </w:p>
    <w:p>
      <w:pPr>
        <w:pStyle w:val="MdSpace"/>
        <w:spacing w:before="0" w:after="60"/>
      </w:pPr>
    </w:p>
    <w:p>
      <w:pPr>
        <w:pStyle w:val="MdParagraph"/>
      </w:pPr>
      <w:r>
        <w:t xml:space="preserve">First, it uses a </w:t>
      </w:r>
      <w:r>
        <w:rPr>
          <w:rStyle w:val="MdStrong"/>
          <w:b/>
          <w:bCs/>
        </w:rPr>
        <w:t xml:space="preserve">dark atmospheric field</w:t>
      </w:r>
      <w:r>
        <w:t xml:space="preserve"> rather than a flat solid background. This introduces depth and softness, making the system feel more cinematic and luxurious.</w:t>
      </w:r>
    </w:p>
    <w:p>
      <w:pPr>
        <w:pStyle w:val="MdSpace"/>
        <w:spacing w:before="0" w:after="60"/>
      </w:pPr>
    </w:p>
    <w:p>
      <w:pPr>
        <w:pStyle w:val="MdParagraph"/>
      </w:pPr>
      <w:r>
        <w:t xml:space="preserve">Second, it relies on </w:t>
      </w:r>
      <w:r>
        <w:rPr>
          <w:rStyle w:val="MdStrong"/>
          <w:b/>
          <w:bCs/>
        </w:rPr>
        <w:t xml:space="preserve">gold-forward typography and detailing</w:t>
      </w:r>
      <w:r>
        <w:t xml:space="preserve">. Gold is used not as a metallic effect for its own sake, but as a signal of quality, permanence, and formality.</w:t>
      </w:r>
    </w:p>
    <w:p>
      <w:pPr>
        <w:pStyle w:val="MdSpace"/>
        <w:spacing w:before="0" w:after="60"/>
      </w:pPr>
    </w:p>
    <w:p>
      <w:pPr>
        <w:pStyle w:val="MdParagraph"/>
      </w:pPr>
      <w:r>
        <w:t xml:space="preserve">Third, the identity employs </w:t>
      </w:r>
      <w:r>
        <w:rPr>
          <w:rStyle w:val="MdStrong"/>
          <w:b/>
          <w:bCs/>
        </w:rPr>
        <w:t xml:space="preserve">multiple mark constructions</w:t>
      </w:r>
      <w:r>
        <w:t xml:space="preserve"> rather than a single rigid lockup. This suggests a brand family or district system rather than a one-logo-only approach. That is a strength, provided each version has a clearly defined role.</w:t>
      </w:r>
    </w:p>
    <w:p>
      <w:pPr>
        <w:pStyle w:val="MdSpace"/>
        <w:spacing w:before="0" w:after="60"/>
      </w:pPr>
    </w:p>
    <w:p>
      <w:pPr>
        <w:pStyle w:val="MdParagraph"/>
      </w:pPr>
      <w:r>
        <w:t xml:space="preserve">Fourth, the system incorporates </w:t>
      </w:r>
      <w:r>
        <w:rPr>
          <w:rStyle w:val="MdStrong"/>
          <w:b/>
          <w:bCs/>
        </w:rPr>
        <w:t xml:space="preserve">heritage ornamental framing</w:t>
      </w:r>
      <w:r>
        <w:t xml:space="preserve">, including medallions, plaques, border motifs, line flourishes, and monogram structures. These are appropriate when used with discipline.</w:t>
      </w:r>
    </w:p>
    <w:p>
      <w:pPr>
        <w:pStyle w:val="MdSpace"/>
        <w:spacing w:before="0" w:after="60"/>
      </w:pPr>
    </w:p>
    <w:p>
      <w:pPr>
        <w:pStyle w:val="MdParagraph"/>
      </w:pPr>
      <w:r>
        <w:t xml:space="preserve">Fifth, the typographic mix creates tension between </w:t>
      </w:r>
      <w:r>
        <w:rPr>
          <w:rStyle w:val="MdStrong"/>
          <w:b/>
          <w:bCs/>
        </w:rPr>
        <w:t xml:space="preserve">expressive display forms</w:t>
      </w:r>
      <w:r>
        <w:t xml:space="preserve"> and </w:t>
      </w:r>
      <w:r>
        <w:rPr>
          <w:rStyle w:val="MdStrong"/>
          <w:b/>
          <w:bCs/>
        </w:rPr>
        <w:t xml:space="preserve">more restrained supporting text</w:t>
      </w:r>
      <w:r>
        <w:t xml:space="preserve">. That contrast is central to the brand’s character and should be maintained.</w:t>
      </w:r>
    </w:p>
    <w:p>
      <w:pPr>
        <w:pStyle w:val="MdSpace"/>
        <w:spacing w:before="0" w:after="60"/>
      </w:pPr>
    </w:p>
    <w:p>
      <w:pPr>
        <w:pStyle w:val="MdBlockquote"/>
      </w:pPr>
      <w:r>
        <w:t xml:space="preserve">The design does not communicate luxury through emptiness. It communicates luxury through </w:t>
      </w:r>
      <w:r>
        <w:rPr>
          <w:rStyle w:val="MdStrong"/>
          <w:b/>
          <w:bCs/>
        </w:rPr>
        <w:t xml:space="preserve">craft, detail, and curation</w:t>
      </w:r>
      <w: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Color Strategy</w:t>
      </w:r>
    </w:p>
    <w:p>
      <w:pPr>
        <w:pStyle w:val="MdParagraph"/>
      </w:pPr>
      <w:r>
        <w:t xml:space="preserve">The visual identity is anchored by a dark, moody palette that supports contrast-rich typography and ornamental marks. The palette should be formalized into primary and secondary tiers so the web team, marketing team, and any outside agency can build consistently.</w:t>
      </w:r>
    </w:p>
    <w:p>
      <w:pPr>
        <w:pStyle w:val="MdSpace"/>
        <w:spacing w:before="0" w:after="60"/>
      </w:pPr>
    </w:p>
    <w:p>
      <w:pPr>
        <w:pStyle w:val="Heading3"/>
        <w:pStyle w:val="MdHeading3"/>
      </w:pPr>
      <w:r>
        <w:t xml:space="preserve">4.1 Recommended Core Palette</w:t>
      </w:r>
    </w:p>
    <w:p>
      <w:pPr>
        <w:pStyle w:val="MdParagraph"/>
      </w:pPr>
      <w:r>
        <w:t xml:space="preserve">The following palette is an executive-level approximation based on the approved visual direction and should be refined into production values during final brand-system implementation.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Role</w:t>
            </w:r>
          </w:p>
        </w:tc>
        <w:tc>
          <w:tcPr>
            <w:tcMar>
              <w:top w:type="dxa" w:w="100"/>
              <w:left w:type="dxa" w:w="120"/>
              <w:bottom w:type="dxa" w:w="100"/>
              <w:right w:type="dxa" w:w="120"/>
            </w:tcMar>
            <w:vAlign w:val="center"/>
          </w:tcPr>
          <w:p>
            <w:pPr>
              <w:pStyle w:val="MdTableHeader"/>
            </w:pPr>
            <w:r>
              <w:t xml:space="preserve">Suggested Color Name</w:t>
            </w:r>
          </w:p>
        </w:tc>
        <w:tc>
          <w:tcPr>
            <w:tcMar>
              <w:top w:type="dxa" w:w="100"/>
              <w:left w:type="dxa" w:w="120"/>
              <w:bottom w:type="dxa" w:w="100"/>
              <w:right w:type="dxa" w:w="120"/>
            </w:tcMar>
            <w:vAlign w:val="center"/>
          </w:tcPr>
          <w:p>
            <w:pPr>
              <w:pStyle w:val="MdTableHeader"/>
              <w:jc w:val="right"/>
            </w:pPr>
            <w:r>
              <w:t xml:space="preserve">Approx. Hex</w:t>
            </w:r>
          </w:p>
        </w:tc>
        <w:tc>
          <w:tcPr>
            <w:tcBorders>
              <w:right w:val="none"/>
            </w:tcBorders>
            <w:tcMar>
              <w:top w:type="dxa" w:w="100"/>
              <w:left w:type="dxa" w:w="120"/>
              <w:bottom w:type="dxa" w:w="100"/>
              <w:right w:type="dxa" w:w="120"/>
            </w:tcMar>
            <w:vAlign w:val="center"/>
          </w:tcPr>
          <w:p>
            <w:pPr>
              <w:pStyle w:val="MdTableHeader"/>
            </w:pPr>
            <w:r>
              <w:t xml:space="preserve">Intended 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Primary background</w:t>
            </w:r>
          </w:p>
        </w:tc>
        <w:tc>
          <w:tcPr>
            <w:tcMar>
              <w:top w:type="dxa" w:w="80"/>
              <w:left w:type="dxa" w:w="120"/>
              <w:bottom w:type="dxa" w:w="80"/>
              <w:right w:type="dxa" w:w="120"/>
            </w:tcMar>
            <w:vAlign w:val="center"/>
          </w:tcPr>
          <w:p>
            <w:pPr>
              <w:pStyle w:val="MdTableCell"/>
            </w:pPr>
            <w:r>
              <w:t xml:space="preserve">Midnight Navy</w:t>
            </w:r>
          </w:p>
        </w:tc>
        <w:tc>
          <w:tcPr>
            <w:tcMar>
              <w:top w:type="dxa" w:w="80"/>
              <w:left w:type="dxa" w:w="120"/>
              <w:bottom w:type="dxa" w:w="80"/>
              <w:right w:type="dxa" w:w="120"/>
            </w:tcMar>
            <w:vAlign w:val="center"/>
          </w:tcPr>
          <w:p>
            <w:pPr>
              <w:pStyle w:val="MdTableCell"/>
              <w:jc w:val="right"/>
            </w:pPr>
            <w:r>
              <w:rPr>
                <w:rStyle w:val="MdCode"/>
                <w:u w:val="single"/>
              </w:rPr>
              <w:t xml:space="preserve">#1E2233</w:t>
            </w:r>
          </w:p>
        </w:tc>
        <w:tc>
          <w:tcPr>
            <w:tcBorders>
              <w:right w:val="none"/>
            </w:tcBorders>
            <w:tcMar>
              <w:top w:type="dxa" w:w="80"/>
              <w:left w:type="dxa" w:w="120"/>
              <w:bottom w:type="dxa" w:w="80"/>
              <w:right w:type="dxa" w:w="120"/>
            </w:tcMar>
            <w:vAlign w:val="center"/>
          </w:tcPr>
          <w:p>
            <w:pPr>
              <w:pStyle w:val="MdTableCell"/>
            </w:pPr>
            <w:r>
              <w:t xml:space="preserve">Page backgrounds, hero panels, dark brand fields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Secondary background</w:t>
            </w:r>
          </w:p>
        </w:tc>
        <w:tc>
          <w:tcPr>
            <w:tcMar>
              <w:top w:type="dxa" w:w="80"/>
              <w:left w:type="dxa" w:w="120"/>
              <w:bottom w:type="dxa" w:w="80"/>
              <w:right w:type="dxa" w:w="120"/>
            </w:tcMar>
            <w:vAlign w:val="center"/>
          </w:tcPr>
          <w:p>
            <w:pPr>
              <w:pStyle w:val="MdTableCell"/>
            </w:pPr>
            <w:r>
              <w:t xml:space="preserve">Slate Navy</w:t>
            </w:r>
          </w:p>
        </w:tc>
        <w:tc>
          <w:tcPr>
            <w:tcMar>
              <w:top w:type="dxa" w:w="80"/>
              <w:left w:type="dxa" w:w="120"/>
              <w:bottom w:type="dxa" w:w="80"/>
              <w:right w:type="dxa" w:w="120"/>
            </w:tcMar>
            <w:vAlign w:val="center"/>
          </w:tcPr>
          <w:p>
            <w:pPr>
              <w:pStyle w:val="MdTableCell"/>
              <w:jc w:val="right"/>
            </w:pPr>
            <w:r>
              <w:rPr>
                <w:rStyle w:val="MdCode"/>
                <w:u w:val="single"/>
              </w:rPr>
              <w:t xml:space="preserve">#2A3045</w:t>
            </w:r>
          </w:p>
        </w:tc>
        <w:tc>
          <w:tcPr>
            <w:tcBorders>
              <w:right w:val="none"/>
            </w:tcBorders>
            <w:tcMar>
              <w:top w:type="dxa" w:w="80"/>
              <w:left w:type="dxa" w:w="120"/>
              <w:bottom w:type="dxa" w:w="80"/>
              <w:right w:type="dxa" w:w="120"/>
            </w:tcMar>
            <w:vAlign w:val="center"/>
          </w:tcPr>
          <w:p>
            <w:pPr>
              <w:pStyle w:val="MdTableCell"/>
            </w:pPr>
            <w:r>
              <w:t xml:space="preserve">Depth shifts, cards, section breaks, overlays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Accent shadow tone</w:t>
            </w:r>
          </w:p>
        </w:tc>
        <w:tc>
          <w:tcPr>
            <w:tcMar>
              <w:top w:type="dxa" w:w="80"/>
              <w:left w:type="dxa" w:w="120"/>
              <w:bottom w:type="dxa" w:w="80"/>
              <w:right w:type="dxa" w:w="120"/>
            </w:tcMar>
            <w:vAlign w:val="center"/>
          </w:tcPr>
          <w:p>
            <w:pPr>
              <w:pStyle w:val="MdTableCell"/>
            </w:pPr>
            <w:r>
              <w:t xml:space="preserve">Deep Ink</w:t>
            </w:r>
          </w:p>
        </w:tc>
        <w:tc>
          <w:tcPr>
            <w:tcMar>
              <w:top w:type="dxa" w:w="80"/>
              <w:left w:type="dxa" w:w="120"/>
              <w:bottom w:type="dxa" w:w="80"/>
              <w:right w:type="dxa" w:w="120"/>
            </w:tcMar>
            <w:vAlign w:val="center"/>
          </w:tcPr>
          <w:p>
            <w:pPr>
              <w:pStyle w:val="MdTableCell"/>
              <w:jc w:val="right"/>
            </w:pPr>
            <w:r>
              <w:rPr>
                <w:rStyle w:val="MdCode"/>
                <w:u w:val="single"/>
              </w:rPr>
              <w:t xml:space="preserve">#151826</w:t>
            </w:r>
          </w:p>
        </w:tc>
        <w:tc>
          <w:tcPr>
            <w:tcBorders>
              <w:right w:val="none"/>
            </w:tcBorders>
            <w:tcMar>
              <w:top w:type="dxa" w:w="80"/>
              <w:left w:type="dxa" w:w="120"/>
              <w:bottom w:type="dxa" w:w="80"/>
              <w:right w:type="dxa" w:w="120"/>
            </w:tcMar>
            <w:vAlign w:val="center"/>
          </w:tcPr>
          <w:p>
            <w:pPr>
              <w:pStyle w:val="MdTableCell"/>
            </w:pPr>
            <w:r>
              <w:t xml:space="preserve">High-contrast text, footer depth, dark UI framing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Primary metallic accent</w:t>
            </w:r>
          </w:p>
        </w:tc>
        <w:tc>
          <w:tcPr>
            <w:tcMar>
              <w:top w:type="dxa" w:w="80"/>
              <w:left w:type="dxa" w:w="120"/>
              <w:bottom w:type="dxa" w:w="80"/>
              <w:right w:type="dxa" w:w="120"/>
            </w:tcMar>
            <w:vAlign w:val="center"/>
          </w:tcPr>
          <w:p>
            <w:pPr>
              <w:pStyle w:val="MdTableCell"/>
            </w:pPr>
            <w:r>
              <w:t xml:space="preserve">Heritage Gold</w:t>
            </w:r>
          </w:p>
        </w:tc>
        <w:tc>
          <w:tcPr>
            <w:tcMar>
              <w:top w:type="dxa" w:w="80"/>
              <w:left w:type="dxa" w:w="120"/>
              <w:bottom w:type="dxa" w:w="80"/>
              <w:right w:type="dxa" w:w="120"/>
            </w:tcMar>
            <w:vAlign w:val="center"/>
          </w:tcPr>
          <w:p>
            <w:pPr>
              <w:pStyle w:val="MdTableCell"/>
              <w:jc w:val="right"/>
            </w:pPr>
            <w:r>
              <w:rPr>
                <w:rStyle w:val="MdCode"/>
                <w:u w:val="single"/>
              </w:rPr>
              <w:t xml:space="preserve">#B48743</w:t>
            </w:r>
          </w:p>
        </w:tc>
        <w:tc>
          <w:tcPr>
            <w:tcBorders>
              <w:right w:val="none"/>
            </w:tcBorders>
            <w:tcMar>
              <w:top w:type="dxa" w:w="80"/>
              <w:left w:type="dxa" w:w="120"/>
              <w:bottom w:type="dxa" w:w="80"/>
              <w:right w:type="dxa" w:w="120"/>
            </w:tcMar>
            <w:vAlign w:val="center"/>
          </w:tcPr>
          <w:p>
            <w:pPr>
              <w:pStyle w:val="MdTableCell"/>
            </w:pPr>
            <w:r>
              <w:t xml:space="preserve">Primary logo applications, headlines, icon lines, premium accents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Secondary metallic accent</w:t>
            </w:r>
          </w:p>
        </w:tc>
        <w:tc>
          <w:tcPr>
            <w:tcMar>
              <w:top w:type="dxa" w:w="80"/>
              <w:left w:type="dxa" w:w="120"/>
              <w:bottom w:type="dxa" w:w="80"/>
              <w:right w:type="dxa" w:w="120"/>
            </w:tcMar>
            <w:vAlign w:val="center"/>
          </w:tcPr>
          <w:p>
            <w:pPr>
              <w:pStyle w:val="MdTableCell"/>
            </w:pPr>
            <w:r>
              <w:t xml:space="preserve">Antique Brass</w:t>
            </w:r>
          </w:p>
        </w:tc>
        <w:tc>
          <w:tcPr>
            <w:tcMar>
              <w:top w:type="dxa" w:w="80"/>
              <w:left w:type="dxa" w:w="120"/>
              <w:bottom w:type="dxa" w:w="80"/>
              <w:right w:type="dxa" w:w="120"/>
            </w:tcMar>
            <w:vAlign w:val="center"/>
          </w:tcPr>
          <w:p>
            <w:pPr>
              <w:pStyle w:val="MdTableCell"/>
              <w:jc w:val="right"/>
            </w:pPr>
            <w:r>
              <w:rPr>
                <w:rStyle w:val="MdCode"/>
                <w:u w:val="single"/>
              </w:rPr>
              <w:t xml:space="preserve">#8E6A39</w:t>
            </w:r>
          </w:p>
        </w:tc>
        <w:tc>
          <w:tcPr>
            <w:tcBorders>
              <w:right w:val="none"/>
            </w:tcBorders>
            <w:tcMar>
              <w:top w:type="dxa" w:w="80"/>
              <w:left w:type="dxa" w:w="120"/>
              <w:bottom w:type="dxa" w:w="80"/>
              <w:right w:type="dxa" w:w="120"/>
            </w:tcMar>
            <w:vAlign w:val="center"/>
          </w:tcPr>
          <w:p>
            <w:pPr>
              <w:pStyle w:val="MdTableCell"/>
            </w:pPr>
            <w:r>
              <w:t xml:space="preserve">Borders, dividers, subtle embellishments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Botanical accent</w:t>
            </w:r>
          </w:p>
        </w:tc>
        <w:tc>
          <w:tcPr>
            <w:tcMar>
              <w:top w:type="dxa" w:w="80"/>
              <w:left w:type="dxa" w:w="120"/>
              <w:bottom w:type="dxa" w:w="80"/>
              <w:right w:type="dxa" w:w="120"/>
            </w:tcMar>
            <w:vAlign w:val="center"/>
          </w:tcPr>
          <w:p>
            <w:pPr>
              <w:pStyle w:val="MdTableCell"/>
            </w:pPr>
            <w:r>
              <w:t xml:space="preserve">Muted Olive</w:t>
            </w:r>
          </w:p>
        </w:tc>
        <w:tc>
          <w:tcPr>
            <w:tcMar>
              <w:top w:type="dxa" w:w="80"/>
              <w:left w:type="dxa" w:w="120"/>
              <w:bottom w:type="dxa" w:w="80"/>
              <w:right w:type="dxa" w:w="120"/>
            </w:tcMar>
            <w:vAlign w:val="center"/>
          </w:tcPr>
          <w:p>
            <w:pPr>
              <w:pStyle w:val="MdTableCell"/>
              <w:jc w:val="right"/>
            </w:pPr>
            <w:r>
              <w:rPr>
                <w:rStyle w:val="MdCode"/>
                <w:u w:val="single"/>
              </w:rPr>
              <w:t xml:space="preserve">#66704A</w:t>
            </w:r>
          </w:p>
        </w:tc>
        <w:tc>
          <w:tcPr>
            <w:tcBorders>
              <w:right w:val="none"/>
            </w:tcBorders>
            <w:tcMar>
              <w:top w:type="dxa" w:w="80"/>
              <w:left w:type="dxa" w:w="120"/>
              <w:bottom w:type="dxa" w:w="80"/>
              <w:right w:type="dxa" w:w="120"/>
            </w:tcMar>
            <w:vAlign w:val="center"/>
          </w:tcPr>
          <w:p>
            <w:pPr>
              <w:pStyle w:val="MdTableCell"/>
            </w:pPr>
            <w:r>
              <w:t xml:space="preserve">Badge fills, plaques, secondary decorative assets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Soft highlight</w:t>
            </w:r>
          </w:p>
        </w:tc>
        <w:tc>
          <w:tcPr>
            <w:tcMar>
              <w:top w:type="dxa" w:w="80"/>
              <w:left w:type="dxa" w:w="120"/>
              <w:bottom w:type="dxa" w:w="80"/>
              <w:right w:type="dxa" w:w="120"/>
            </w:tcMar>
            <w:vAlign w:val="center"/>
          </w:tcPr>
          <w:p>
            <w:pPr>
              <w:pStyle w:val="MdTableCell"/>
            </w:pPr>
            <w:r>
              <w:t xml:space="preserve">Warm Sand Gold</w:t>
            </w:r>
          </w:p>
        </w:tc>
        <w:tc>
          <w:tcPr>
            <w:tcMar>
              <w:top w:type="dxa" w:w="80"/>
              <w:left w:type="dxa" w:w="120"/>
              <w:bottom w:type="dxa" w:w="80"/>
              <w:right w:type="dxa" w:w="120"/>
            </w:tcMar>
            <w:vAlign w:val="center"/>
          </w:tcPr>
          <w:p>
            <w:pPr>
              <w:pStyle w:val="MdTableCell"/>
              <w:jc w:val="right"/>
            </w:pPr>
            <w:r>
              <w:rPr>
                <w:rStyle w:val="MdCode"/>
                <w:u w:val="single"/>
              </w:rPr>
              <w:t xml:space="preserve">#D2B073</w:t>
            </w:r>
          </w:p>
        </w:tc>
        <w:tc>
          <w:tcPr>
            <w:tcBorders>
              <w:right w:val="none"/>
            </w:tcBorders>
            <w:tcMar>
              <w:top w:type="dxa" w:w="80"/>
              <w:left w:type="dxa" w:w="120"/>
              <w:bottom w:type="dxa" w:w="80"/>
              <w:right w:type="dxa" w:w="120"/>
            </w:tcMar>
            <w:vAlign w:val="center"/>
          </w:tcPr>
          <w:p>
            <w:pPr>
              <w:pStyle w:val="MdTableCell"/>
            </w:pPr>
            <w:r>
              <w:t xml:space="preserve">Hover states, edge lighting, elevated text accents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Neutral support</w:t>
            </w:r>
          </w:p>
        </w:tc>
        <w:tc>
          <w:tcPr>
            <w:tcBorders>
              <w:bottom w:val="single" w:color="E1E4E8" w:sz="4"/>
            </w:tcBorders>
            <w:tcMar>
              <w:top w:type="dxa" w:w="80"/>
              <w:left w:type="dxa" w:w="120"/>
              <w:bottom w:type="dxa" w:w="80"/>
              <w:right w:type="dxa" w:w="120"/>
            </w:tcMar>
            <w:vAlign w:val="center"/>
          </w:tcPr>
          <w:p>
            <w:pPr>
              <w:pStyle w:val="MdTableCell"/>
            </w:pPr>
            <w:r>
              <w:t xml:space="preserve">Aged Stone</w:t>
            </w:r>
          </w:p>
        </w:tc>
        <w:tc>
          <w:tcPr>
            <w:tcBorders>
              <w:bottom w:val="single" w:color="E1E4E8" w:sz="4"/>
            </w:tcBorders>
            <w:tcMar>
              <w:top w:type="dxa" w:w="80"/>
              <w:left w:type="dxa" w:w="120"/>
              <w:bottom w:type="dxa" w:w="80"/>
              <w:right w:type="dxa" w:w="120"/>
            </w:tcMar>
            <w:vAlign w:val="center"/>
          </w:tcPr>
          <w:p>
            <w:pPr>
              <w:pStyle w:val="MdTableCell"/>
              <w:jc w:val="right"/>
            </w:pPr>
            <w:r>
              <w:rPr>
                <w:rStyle w:val="MdCode"/>
                <w:u w:val="single"/>
              </w:rPr>
              <w:t xml:space="preserve">#C7BDA8</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Secondary editorial text on dark fields when gold is too ornamental</w:t>
            </w:r>
          </w:p>
        </w:tc>
      </w:tr>
    </w:tbl>
    <w:p>
      <w:pPr>
        <w:pStyle w:val="MdParagraph"/>
      </w:pPr>
      <w:r>
        <w:t xml:space="preserve">The color system should be treated as </w:t>
      </w:r>
      <w:r>
        <w:rPr>
          <w:rStyle w:val="MdStrong"/>
          <w:b/>
          <w:bCs/>
        </w:rPr>
        <w:t xml:space="preserve">low-saturation luxury</w:t>
      </w:r>
      <w:r>
        <w:t xml:space="preserve">, not bright prestige branding. Gold should feel aged and architectural rather than glossy or jewelry-like. The olive tones work because they add distinction without pushing the system into a predictable black-and-gold luxury cliché.</w:t>
      </w:r>
    </w:p>
    <w:p>
      <w:pPr>
        <w:pStyle w:val="MdSpace"/>
        <w:spacing w:before="0" w:after="60"/>
      </w:pPr>
    </w:p>
    <w:p>
      <w:pPr>
        <w:pStyle w:val="Heading3"/>
        <w:pStyle w:val="MdHeading3"/>
      </w:pPr>
      <w:r>
        <w:t xml:space="preserve">4.2 Color Usage Guidance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Use case</w:t>
            </w:r>
          </w:p>
        </w:tc>
        <w:tc>
          <w:tcPr>
            <w:tcMar>
              <w:top w:type="dxa" w:w="100"/>
              <w:left w:type="dxa" w:w="120"/>
              <w:bottom w:type="dxa" w:w="100"/>
              <w:right w:type="dxa" w:w="120"/>
            </w:tcMar>
            <w:vAlign w:val="center"/>
          </w:tcPr>
          <w:p>
            <w:pPr>
              <w:pStyle w:val="MdTableHeader"/>
            </w:pPr>
            <w:r>
              <w:t xml:space="preserve">Recommended approach</w:t>
            </w:r>
          </w:p>
        </w:tc>
        <w:tc>
          <w:tcPr>
            <w:tcBorders>
              <w:right w:val="none"/>
            </w:tcBorders>
            <w:tcMar>
              <w:top w:type="dxa" w:w="100"/>
              <w:left w:type="dxa" w:w="120"/>
              <w:bottom w:type="dxa" w:w="100"/>
              <w:right w:type="dxa" w:w="120"/>
            </w:tcMar>
            <w:vAlign w:val="center"/>
          </w:tcPr>
          <w:p>
            <w:pPr>
              <w:pStyle w:val="MdTableHeader"/>
            </w:pPr>
            <w:r>
              <w:t xml:space="preserve">Avoid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Hero backgrounds</w:t>
            </w:r>
          </w:p>
        </w:tc>
        <w:tc>
          <w:tcPr>
            <w:tcMar>
              <w:top w:type="dxa" w:w="80"/>
              <w:left w:type="dxa" w:w="120"/>
              <w:bottom w:type="dxa" w:w="80"/>
              <w:right w:type="dxa" w:w="120"/>
            </w:tcMar>
            <w:vAlign w:val="center"/>
          </w:tcPr>
          <w:p>
            <w:pPr>
              <w:pStyle w:val="MdTableCell"/>
            </w:pPr>
            <w:r>
              <w:t xml:space="preserve">Deep navy gradients with soft atmospheric variation</w:t>
            </w:r>
          </w:p>
        </w:tc>
        <w:tc>
          <w:tcPr>
            <w:tcBorders>
              <w:right w:val="none"/>
            </w:tcBorders>
            <w:tcMar>
              <w:top w:type="dxa" w:w="80"/>
              <w:left w:type="dxa" w:w="120"/>
              <w:bottom w:type="dxa" w:w="80"/>
              <w:right w:type="dxa" w:w="120"/>
            </w:tcMar>
            <w:vAlign w:val="center"/>
          </w:tcPr>
          <w:p>
            <w:pPr>
              <w:pStyle w:val="MdTableCell"/>
            </w:pPr>
            <w:r>
              <w:t xml:space="preserve">Bright gradients, visible banding, cyan-heavy blue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Logo applications</w:t>
            </w:r>
          </w:p>
        </w:tc>
        <w:tc>
          <w:tcPr>
            <w:tcMar>
              <w:top w:type="dxa" w:w="80"/>
              <w:left w:type="dxa" w:w="120"/>
              <w:bottom w:type="dxa" w:w="80"/>
              <w:right w:type="dxa" w:w="120"/>
            </w:tcMar>
            <w:vAlign w:val="center"/>
          </w:tcPr>
          <w:p>
            <w:pPr>
              <w:pStyle w:val="MdTableCell"/>
            </w:pPr>
            <w:r>
              <w:t xml:space="preserve">Gold on dark, or dark mark on muted warm light background</w:t>
            </w:r>
          </w:p>
        </w:tc>
        <w:tc>
          <w:tcPr>
            <w:tcBorders>
              <w:right w:val="none"/>
            </w:tcBorders>
            <w:tcMar>
              <w:top w:type="dxa" w:w="80"/>
              <w:left w:type="dxa" w:w="120"/>
              <w:bottom w:type="dxa" w:w="80"/>
              <w:right w:type="dxa" w:w="120"/>
            </w:tcMar>
            <w:vAlign w:val="center"/>
          </w:tcPr>
          <w:p>
            <w:pPr>
              <w:pStyle w:val="MdTableCell"/>
            </w:pPr>
            <w:r>
              <w:t xml:space="preserve">Overly shiny metallic simulations or bevel-heavy effects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UI accents</w:t>
            </w:r>
          </w:p>
        </w:tc>
        <w:tc>
          <w:tcPr>
            <w:tcMar>
              <w:top w:type="dxa" w:w="80"/>
              <w:left w:type="dxa" w:w="120"/>
              <w:bottom w:type="dxa" w:w="80"/>
              <w:right w:type="dxa" w:w="120"/>
            </w:tcMar>
            <w:vAlign w:val="center"/>
          </w:tcPr>
          <w:p>
            <w:pPr>
              <w:pStyle w:val="MdTableCell"/>
            </w:pPr>
            <w:r>
              <w:t xml:space="preserve">Restrained gold for links, buttons, dividers, and hover emphasis</w:t>
            </w:r>
          </w:p>
        </w:tc>
        <w:tc>
          <w:tcPr>
            <w:tcBorders>
              <w:right w:val="none"/>
            </w:tcBorders>
            <w:tcMar>
              <w:top w:type="dxa" w:w="80"/>
              <w:left w:type="dxa" w:w="120"/>
              <w:bottom w:type="dxa" w:w="80"/>
              <w:right w:type="dxa" w:w="120"/>
            </w:tcMar>
            <w:vAlign w:val="center"/>
          </w:tcPr>
          <w:p>
            <w:pPr>
              <w:pStyle w:val="MdTableCell"/>
            </w:pPr>
            <w:r>
              <w:t xml:space="preserve">Gold everywhere, which weakens premium perception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Secondary brand panels</w:t>
            </w:r>
          </w:p>
        </w:tc>
        <w:tc>
          <w:tcPr>
            <w:tcMar>
              <w:top w:type="dxa" w:w="80"/>
              <w:left w:type="dxa" w:w="120"/>
              <w:bottom w:type="dxa" w:w="80"/>
              <w:right w:type="dxa" w:w="120"/>
            </w:tcMar>
            <w:vAlign w:val="center"/>
          </w:tcPr>
          <w:p>
            <w:pPr>
              <w:pStyle w:val="MdTableCell"/>
            </w:pPr>
            <w:r>
              <w:t xml:space="preserve">Olive plaques or muted framed shapes in limited use</w:t>
            </w:r>
          </w:p>
        </w:tc>
        <w:tc>
          <w:tcPr>
            <w:tcBorders>
              <w:right w:val="none"/>
            </w:tcBorders>
            <w:tcMar>
              <w:top w:type="dxa" w:w="80"/>
              <w:left w:type="dxa" w:w="120"/>
              <w:bottom w:type="dxa" w:w="80"/>
              <w:right w:type="dxa" w:w="120"/>
            </w:tcMar>
            <w:vAlign w:val="center"/>
          </w:tcPr>
          <w:p>
            <w:pPr>
              <w:pStyle w:val="MdTableCell"/>
            </w:pPr>
            <w:r>
              <w:t xml:space="preserve">Large olive fields dominating page composition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Typography on digital</w:t>
            </w:r>
          </w:p>
        </w:tc>
        <w:tc>
          <w:tcPr>
            <w:tcBorders>
              <w:bottom w:val="single" w:color="E1E4E8" w:sz="4"/>
            </w:tcBorders>
            <w:tcMar>
              <w:top w:type="dxa" w:w="80"/>
              <w:left w:type="dxa" w:w="120"/>
              <w:bottom w:type="dxa" w:w="80"/>
              <w:right w:type="dxa" w:w="120"/>
            </w:tcMar>
            <w:vAlign w:val="center"/>
          </w:tcPr>
          <w:p>
            <w:pPr>
              <w:pStyle w:val="MdTableCell"/>
            </w:pPr>
            <w:r>
              <w:t xml:space="preserve">Off-white or warm neutral body copy, gold reserved for emphasis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Long-form body copy in gold</w:t>
            </w:r>
          </w:p>
        </w:tc>
      </w:tr>
    </w:tbl>
    <w:p>
      <w:pPr>
        <w:pStyle w:val="MdParagraph"/>
      </w:pPr>
      <w:r>
        <w:t xml:space="preserve">For accessibility and modern usability, digital interfaces should introduce a more neutral reading layer than the branding artwork itself. The brand can remain luxurious while still using highly legible text contrast.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Typography Overview</w:t>
      </w:r>
    </w:p>
    <w:p>
      <w:pPr>
        <w:pStyle w:val="MdParagraph"/>
      </w:pPr>
      <w:r>
        <w:t xml:space="preserve">Typography is the defining structural feature of this identity. The brand language appears to rely on a </w:t>
      </w:r>
      <w:r>
        <w:rPr>
          <w:rStyle w:val="MdStrong"/>
          <w:b/>
          <w:bCs/>
        </w:rPr>
        <w:t xml:space="preserve">three-tier typographic architecture</w:t>
      </w:r>
      <w:r>
        <w:t xml:space="preserve">: a signature display serif for the primary brand wordmark, a supporting all-caps or engraved-style serif/sans hybrid for sub-brand descriptors, and an elegant script or italic calligraphic accent for emotional messaging.</w:t>
      </w:r>
    </w:p>
    <w:p>
      <w:pPr>
        <w:pStyle w:val="MdSpace"/>
        <w:spacing w:before="0" w:after="60"/>
      </w:pPr>
    </w:p>
    <w:p>
      <w:pPr>
        <w:pStyle w:val="MdParagraph"/>
      </w:pPr>
      <w:r>
        <w:t xml:space="preserve">This is an appropriate structure for a premium heritage brand, but only if the usage rules are explicit. Without discipline, the system can quickly become visually noisy.</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Typographic tier</w:t>
            </w:r>
          </w:p>
        </w:tc>
        <w:tc>
          <w:tcPr>
            <w:tcMar>
              <w:top w:type="dxa" w:w="100"/>
              <w:left w:type="dxa" w:w="120"/>
              <w:bottom w:type="dxa" w:w="100"/>
              <w:right w:type="dxa" w:w="120"/>
            </w:tcMar>
            <w:vAlign w:val="center"/>
          </w:tcPr>
          <w:p>
            <w:pPr>
              <w:pStyle w:val="MdTableHeader"/>
            </w:pPr>
            <w:r>
              <w:t xml:space="preserve">Function</w:t>
            </w:r>
          </w:p>
        </w:tc>
        <w:tc>
          <w:tcPr>
            <w:tcMar>
              <w:top w:type="dxa" w:w="100"/>
              <w:left w:type="dxa" w:w="120"/>
              <w:bottom w:type="dxa" w:w="100"/>
              <w:right w:type="dxa" w:w="120"/>
            </w:tcMar>
            <w:vAlign w:val="center"/>
          </w:tcPr>
          <w:p>
            <w:pPr>
              <w:pStyle w:val="MdTableHeader"/>
            </w:pPr>
            <w:r>
              <w:t xml:space="preserve">Visual character</w:t>
            </w:r>
          </w:p>
        </w:tc>
        <w:tc>
          <w:tcPr>
            <w:tcBorders>
              <w:right w:val="none"/>
            </w:tcBorders>
            <w:tcMar>
              <w:top w:type="dxa" w:w="100"/>
              <w:left w:type="dxa" w:w="120"/>
              <w:bottom w:type="dxa" w:w="100"/>
              <w:right w:type="dxa" w:w="120"/>
            </w:tcMar>
            <w:vAlign w:val="center"/>
          </w:tcPr>
          <w:p>
            <w:pPr>
              <w:pStyle w:val="MdTableHeader"/>
            </w:pPr>
            <w:r>
              <w:t xml:space="preserve">Recommended governance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Tier 1: Signature display</w:t>
            </w:r>
          </w:p>
        </w:tc>
        <w:tc>
          <w:tcPr>
            <w:tcMar>
              <w:top w:type="dxa" w:w="80"/>
              <w:left w:type="dxa" w:w="120"/>
              <w:bottom w:type="dxa" w:w="80"/>
              <w:right w:type="dxa" w:w="120"/>
            </w:tcMar>
            <w:vAlign w:val="center"/>
          </w:tcPr>
          <w:p>
            <w:pPr>
              <w:pStyle w:val="MdTableCell"/>
            </w:pPr>
            <w:r>
              <w:t xml:space="preserve">Primary wordmark and hero statements</w:t>
            </w:r>
          </w:p>
        </w:tc>
        <w:tc>
          <w:tcPr>
            <w:tcMar>
              <w:top w:type="dxa" w:w="80"/>
              <w:left w:type="dxa" w:w="120"/>
              <w:bottom w:type="dxa" w:w="80"/>
              <w:right w:type="dxa" w:w="120"/>
            </w:tcMar>
            <w:vAlign w:val="center"/>
          </w:tcPr>
          <w:p>
            <w:pPr>
              <w:pStyle w:val="MdTableCell"/>
            </w:pPr>
            <w:r>
              <w:t xml:space="preserve">High-contrast, ornamental, extended, heritage serif</w:t>
            </w:r>
          </w:p>
        </w:tc>
        <w:tc>
          <w:tcPr>
            <w:tcBorders>
              <w:right w:val="none"/>
            </w:tcBorders>
            <w:tcMar>
              <w:top w:type="dxa" w:w="80"/>
              <w:left w:type="dxa" w:w="120"/>
              <w:bottom w:type="dxa" w:w="80"/>
              <w:right w:type="dxa" w:w="120"/>
            </w:tcMar>
            <w:vAlign w:val="center"/>
          </w:tcPr>
          <w:p>
            <w:pPr>
              <w:pStyle w:val="MdTableCell"/>
            </w:pPr>
            <w:r>
              <w:t xml:space="preserve">Use sparingly and only at headline scale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Tier 2: Structural companion</w:t>
            </w:r>
          </w:p>
        </w:tc>
        <w:tc>
          <w:tcPr>
            <w:tcMar>
              <w:top w:type="dxa" w:w="80"/>
              <w:left w:type="dxa" w:w="120"/>
              <w:bottom w:type="dxa" w:w="80"/>
              <w:right w:type="dxa" w:w="120"/>
            </w:tcMar>
            <w:vAlign w:val="center"/>
          </w:tcPr>
          <w:p>
            <w:pPr>
              <w:pStyle w:val="MdTableCell"/>
            </w:pPr>
            <w:r>
              <w:t xml:space="preserve">Subheads, lockups, section labels, navigation accents</w:t>
            </w:r>
          </w:p>
        </w:tc>
        <w:tc>
          <w:tcPr>
            <w:tcMar>
              <w:top w:type="dxa" w:w="80"/>
              <w:left w:type="dxa" w:w="120"/>
              <w:bottom w:type="dxa" w:w="80"/>
              <w:right w:type="dxa" w:w="120"/>
            </w:tcMar>
            <w:vAlign w:val="center"/>
          </w:tcPr>
          <w:p>
            <w:pPr>
              <w:pStyle w:val="MdTableCell"/>
            </w:pPr>
            <w:r>
              <w:t xml:space="preserve">Uppercase, narrow, engraved, or formal transitional style</w:t>
            </w:r>
          </w:p>
        </w:tc>
        <w:tc>
          <w:tcPr>
            <w:tcBorders>
              <w:right w:val="none"/>
            </w:tcBorders>
            <w:tcMar>
              <w:top w:type="dxa" w:w="80"/>
              <w:left w:type="dxa" w:w="120"/>
              <w:bottom w:type="dxa" w:w="80"/>
              <w:right w:type="dxa" w:w="120"/>
            </w:tcMar>
            <w:vAlign w:val="center"/>
          </w:tcPr>
          <w:p>
            <w:pPr>
              <w:pStyle w:val="MdTableCell"/>
            </w:pPr>
            <w:r>
              <w:t xml:space="preserve">Use for hierarchy and system discipline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Tier 3: Expressive accent</w:t>
            </w:r>
          </w:p>
        </w:tc>
        <w:tc>
          <w:tcPr>
            <w:tcMar>
              <w:top w:type="dxa" w:w="80"/>
              <w:left w:type="dxa" w:w="120"/>
              <w:bottom w:type="dxa" w:w="80"/>
              <w:right w:type="dxa" w:w="120"/>
            </w:tcMar>
            <w:vAlign w:val="center"/>
          </w:tcPr>
          <w:p>
            <w:pPr>
              <w:pStyle w:val="MdTableCell"/>
            </w:pPr>
            <w:r>
              <w:t xml:space="preserve">Historic charm / lifestyle phrases</w:t>
            </w:r>
          </w:p>
        </w:tc>
        <w:tc>
          <w:tcPr>
            <w:tcMar>
              <w:top w:type="dxa" w:w="80"/>
              <w:left w:type="dxa" w:w="120"/>
              <w:bottom w:type="dxa" w:w="80"/>
              <w:right w:type="dxa" w:w="120"/>
            </w:tcMar>
            <w:vAlign w:val="center"/>
          </w:tcPr>
          <w:p>
            <w:pPr>
              <w:pStyle w:val="MdTableCell"/>
            </w:pPr>
            <w:r>
              <w:t xml:space="preserve">Script, calligraphic, editorial</w:t>
            </w:r>
          </w:p>
        </w:tc>
        <w:tc>
          <w:tcPr>
            <w:tcBorders>
              <w:right w:val="none"/>
            </w:tcBorders>
            <w:tcMar>
              <w:top w:type="dxa" w:w="80"/>
              <w:left w:type="dxa" w:w="120"/>
              <w:bottom w:type="dxa" w:w="80"/>
              <w:right w:type="dxa" w:w="120"/>
            </w:tcMar>
            <w:vAlign w:val="center"/>
          </w:tcPr>
          <w:p>
            <w:pPr>
              <w:pStyle w:val="MdTableCell"/>
            </w:pPr>
            <w:r>
              <w:t xml:space="preserve">Use selectively for emotional emphasis only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Tier 4: Functional text</w:t>
            </w:r>
          </w:p>
        </w:tc>
        <w:tc>
          <w:tcPr>
            <w:tcBorders>
              <w:bottom w:val="single" w:color="E1E4E8" w:sz="4"/>
            </w:tcBorders>
            <w:tcMar>
              <w:top w:type="dxa" w:w="80"/>
              <w:left w:type="dxa" w:w="120"/>
              <w:bottom w:type="dxa" w:w="80"/>
              <w:right w:type="dxa" w:w="120"/>
            </w:tcMar>
            <w:vAlign w:val="center"/>
          </w:tcPr>
          <w:p>
            <w:pPr>
              <w:pStyle w:val="MdTableCell"/>
            </w:pPr>
            <w:r>
              <w:t xml:space="preserve">Website body copy, UI, forms, leasing information</w:t>
            </w:r>
          </w:p>
        </w:tc>
        <w:tc>
          <w:tcPr>
            <w:tcBorders>
              <w:bottom w:val="single" w:color="E1E4E8" w:sz="4"/>
            </w:tcBorders>
            <w:tcMar>
              <w:top w:type="dxa" w:w="80"/>
              <w:left w:type="dxa" w:w="120"/>
              <w:bottom w:type="dxa" w:w="80"/>
              <w:right w:type="dxa" w:w="120"/>
            </w:tcMar>
            <w:vAlign w:val="center"/>
          </w:tcPr>
          <w:p>
            <w:pPr>
              <w:pStyle w:val="MdTableCell"/>
            </w:pPr>
            <w:r>
              <w:t xml:space="preserve">Highly legible serif or sans-serif</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Must prioritize readability over style mimicry</w:t>
            </w:r>
          </w:p>
        </w:tc>
      </w:tr>
    </w:tbl>
    <w:p>
      <w:pPr>
        <w:pStyle w:val="MdHr"/>
        <w:pBdr>
          <w:bottom w:val="single" w:color="auto" w:sz="6" w:space="1"/>
        </w:pBdr>
      </w:pPr>
    </w:p>
    <w:p>
      <w:pPr>
        <w:pStyle w:val="MdSpace"/>
        <w:spacing w:before="0" w:after="60"/>
      </w:pPr>
    </w:p>
    <w:p>
      <w:pPr>
        <w:pStyle w:val="Heading2"/>
        <w:pStyle w:val="MdHeading2"/>
      </w:pPr>
      <w:r>
        <w:t xml:space="preserve">6. Primary Display Typography</w:t>
      </w:r>
    </w:p>
    <w:p>
      <w:pPr>
        <w:pStyle w:val="MdParagraph"/>
      </w:pPr>
      <w:r>
        <w:t xml:space="preserve">The dominant display typography in the visual system evokes </w:t>
      </w:r>
      <w:r>
        <w:rPr>
          <w:rStyle w:val="MdStrong"/>
          <w:b/>
          <w:bCs/>
        </w:rPr>
        <w:t xml:space="preserve">late nineteenth-century to early twentieth-century sign painting, engraved titling, and decorative publishing serif forms</w:t>
      </w:r>
      <w:r>
        <w:t xml:space="preserve">. The letterforms are tall, elegant, and theatrical, with clear stroke modulation and ornamental terminals. This is the right typographic voice for the master brand because it differentiates the property from generic luxury apartment branding.</w:t>
      </w:r>
    </w:p>
    <w:p>
      <w:pPr>
        <w:pStyle w:val="MdSpace"/>
        <w:spacing w:before="0" w:after="60"/>
      </w:pPr>
    </w:p>
    <w:p>
      <w:pPr>
        <w:pStyle w:val="MdParagraph"/>
      </w:pPr>
      <w:r>
        <w:t xml:space="preserve">The display face communicates </w:t>
      </w:r>
      <w:r>
        <w:rPr>
          <w:rStyle w:val="MdStrong"/>
          <w:b/>
          <w:bCs/>
        </w:rPr>
        <w:t xml:space="preserve">place, pedigree, and visual ownership</w:t>
      </w:r>
      <w:r>
        <w:t xml:space="preserve">. It should therefore be reserved for the most important verbal moments: the master logotype, major campaign headlines, select environmental graphics, and premium leasing collateral.</w:t>
      </w:r>
    </w:p>
    <w:p>
      <w:pPr>
        <w:pStyle w:val="MdSpace"/>
        <w:spacing w:before="0" w:after="60"/>
      </w:pPr>
    </w:p>
    <w:p>
      <w:pPr>
        <w:pStyle w:val="Heading3"/>
        <w:pStyle w:val="MdHeading3"/>
      </w:pPr>
      <w:r>
        <w:t xml:space="preserve">6.1 Primary Display Characteristics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Attribute</w:t>
            </w:r>
          </w:p>
        </w:tc>
        <w:tc>
          <w:tcPr>
            <w:tcMar>
              <w:top w:type="dxa" w:w="100"/>
              <w:left w:type="dxa" w:w="120"/>
              <w:bottom w:type="dxa" w:w="100"/>
              <w:right w:type="dxa" w:w="120"/>
            </w:tcMar>
            <w:vAlign w:val="center"/>
          </w:tcPr>
          <w:p>
            <w:pPr>
              <w:pStyle w:val="MdTableHeader"/>
            </w:pPr>
            <w:r>
              <w:t xml:space="preserve">Observed direction</w:t>
            </w:r>
          </w:p>
        </w:tc>
        <w:tc>
          <w:tcPr>
            <w:tcBorders>
              <w:right w:val="none"/>
            </w:tcBorders>
            <w:tcMar>
              <w:top w:type="dxa" w:w="100"/>
              <w:left w:type="dxa" w:w="120"/>
              <w:bottom w:type="dxa" w:w="100"/>
              <w:right w:type="dxa" w:w="120"/>
            </w:tcMar>
            <w:vAlign w:val="center"/>
          </w:tcPr>
          <w:p>
            <w:pPr>
              <w:pStyle w:val="MdTableHeader"/>
            </w:pPr>
            <w:r>
              <w:t xml:space="preserve">Strategic 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Contrast</w:t>
            </w:r>
          </w:p>
        </w:tc>
        <w:tc>
          <w:tcPr>
            <w:tcMar>
              <w:top w:type="dxa" w:w="80"/>
              <w:left w:type="dxa" w:w="120"/>
              <w:bottom w:type="dxa" w:w="80"/>
              <w:right w:type="dxa" w:w="120"/>
            </w:tcMar>
            <w:vAlign w:val="center"/>
          </w:tcPr>
          <w:p>
            <w:pPr>
              <w:pStyle w:val="MdTableCell"/>
            </w:pPr>
            <w:r>
              <w:t xml:space="preserve">Moderate to high stroke contrast</w:t>
            </w:r>
          </w:p>
        </w:tc>
        <w:tc>
          <w:tcPr>
            <w:tcBorders>
              <w:right w:val="none"/>
            </w:tcBorders>
            <w:tcMar>
              <w:top w:type="dxa" w:w="80"/>
              <w:left w:type="dxa" w:w="120"/>
              <w:bottom w:type="dxa" w:w="80"/>
              <w:right w:type="dxa" w:w="120"/>
            </w:tcMar>
            <w:vAlign w:val="center"/>
          </w:tcPr>
          <w:p>
            <w:pPr>
              <w:pStyle w:val="MdTableCell"/>
            </w:pPr>
            <w:r>
              <w:t xml:space="preserve">Creates elegance and formality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Width</w:t>
            </w:r>
          </w:p>
        </w:tc>
        <w:tc>
          <w:tcPr>
            <w:tcMar>
              <w:top w:type="dxa" w:w="80"/>
              <w:left w:type="dxa" w:w="120"/>
              <w:bottom w:type="dxa" w:w="80"/>
              <w:right w:type="dxa" w:w="120"/>
            </w:tcMar>
            <w:vAlign w:val="center"/>
          </w:tcPr>
          <w:p>
            <w:pPr>
              <w:pStyle w:val="MdTableCell"/>
            </w:pPr>
            <w:r>
              <w:t xml:space="preserve">Narrow to medium-narrow</w:t>
            </w:r>
          </w:p>
        </w:tc>
        <w:tc>
          <w:tcPr>
            <w:tcBorders>
              <w:right w:val="none"/>
            </w:tcBorders>
            <w:tcMar>
              <w:top w:type="dxa" w:w="80"/>
              <w:left w:type="dxa" w:w="120"/>
              <w:bottom w:type="dxa" w:w="80"/>
              <w:right w:type="dxa" w:w="120"/>
            </w:tcMar>
            <w:vAlign w:val="center"/>
          </w:tcPr>
          <w:p>
            <w:pPr>
              <w:pStyle w:val="MdTableCell"/>
            </w:pPr>
            <w:r>
              <w:t xml:space="preserve">Supports verticality and monumentality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Ornament</w:t>
            </w:r>
          </w:p>
        </w:tc>
        <w:tc>
          <w:tcPr>
            <w:tcMar>
              <w:top w:type="dxa" w:w="80"/>
              <w:left w:type="dxa" w:w="120"/>
              <w:bottom w:type="dxa" w:w="80"/>
              <w:right w:type="dxa" w:w="120"/>
            </w:tcMar>
            <w:vAlign w:val="center"/>
          </w:tcPr>
          <w:p>
            <w:pPr>
              <w:pStyle w:val="MdTableCell"/>
            </w:pPr>
            <w:r>
              <w:t xml:space="preserve">Decorative terminals and flourished intersections</w:t>
            </w:r>
          </w:p>
        </w:tc>
        <w:tc>
          <w:tcPr>
            <w:tcBorders>
              <w:right w:val="none"/>
            </w:tcBorders>
            <w:tcMar>
              <w:top w:type="dxa" w:w="80"/>
              <w:left w:type="dxa" w:w="120"/>
              <w:bottom w:type="dxa" w:w="80"/>
              <w:right w:type="dxa" w:w="120"/>
            </w:tcMar>
            <w:vAlign w:val="center"/>
          </w:tcPr>
          <w:p>
            <w:pPr>
              <w:pStyle w:val="MdTableCell"/>
            </w:pPr>
            <w:r>
              <w:t xml:space="preserve">Signals heritage and craftsmanship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Tone</w:t>
            </w:r>
          </w:p>
        </w:tc>
        <w:tc>
          <w:tcPr>
            <w:tcMar>
              <w:top w:type="dxa" w:w="80"/>
              <w:left w:type="dxa" w:w="120"/>
              <w:bottom w:type="dxa" w:w="80"/>
              <w:right w:type="dxa" w:w="120"/>
            </w:tcMar>
            <w:vAlign w:val="center"/>
          </w:tcPr>
          <w:p>
            <w:pPr>
              <w:pStyle w:val="MdTableCell"/>
            </w:pPr>
            <w:r>
              <w:t xml:space="preserve">Historic, curated, elevated</w:t>
            </w:r>
          </w:p>
        </w:tc>
        <w:tc>
          <w:tcPr>
            <w:tcBorders>
              <w:right w:val="none"/>
            </w:tcBorders>
            <w:tcMar>
              <w:top w:type="dxa" w:w="80"/>
              <w:left w:type="dxa" w:w="120"/>
              <w:bottom w:type="dxa" w:w="80"/>
              <w:right w:type="dxa" w:w="120"/>
            </w:tcMar>
            <w:vAlign w:val="center"/>
          </w:tcPr>
          <w:p>
            <w:pPr>
              <w:pStyle w:val="MdTableCell"/>
            </w:pPr>
            <w:r>
              <w:t xml:space="preserve">Differentiates from modern luxury sameness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Best role</w:t>
            </w:r>
          </w:p>
        </w:tc>
        <w:tc>
          <w:tcPr>
            <w:tcBorders>
              <w:bottom w:val="single" w:color="E1E4E8" w:sz="4"/>
            </w:tcBorders>
            <w:tcMar>
              <w:top w:type="dxa" w:w="80"/>
              <w:left w:type="dxa" w:w="120"/>
              <w:bottom w:type="dxa" w:w="80"/>
              <w:right w:type="dxa" w:w="120"/>
            </w:tcMar>
            <w:vAlign w:val="center"/>
          </w:tcPr>
          <w:p>
            <w:pPr>
              <w:pStyle w:val="MdTableCell"/>
            </w:pPr>
            <w:r>
              <w:t xml:space="preserve">Brand-led headline applications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Maintains distinction and recall</w:t>
            </w:r>
          </w:p>
        </w:tc>
      </w:tr>
    </w:tbl>
    <w:p>
      <w:pPr>
        <w:pStyle w:val="Heading3"/>
        <w:pStyle w:val="MdHeading3"/>
      </w:pPr>
      <w:r>
        <w:t xml:space="preserve">6.2 Recommended Functional Equivalents</w:t>
      </w:r>
    </w:p>
    <w:p>
      <w:pPr>
        <w:pStyle w:val="MdParagraph"/>
      </w:pPr>
      <w:r>
        <w:t xml:space="preserve">Because the artwork itself may have been custom-drawn or artistically modified, the following should be treated as </w:t>
      </w:r>
      <w:r>
        <w:rPr>
          <w:rStyle w:val="MdStrong"/>
          <w:b/>
          <w:bCs/>
        </w:rPr>
        <w:t xml:space="preserve">directional type references</w:t>
      </w:r>
      <w:r>
        <w:t xml:space="preserve">, not definitive font identification.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Type of match</w:t>
            </w:r>
          </w:p>
        </w:tc>
        <w:tc>
          <w:tcPr>
            <w:tcMar>
              <w:top w:type="dxa" w:w="100"/>
              <w:left w:type="dxa" w:w="120"/>
              <w:bottom w:type="dxa" w:w="100"/>
              <w:right w:type="dxa" w:w="120"/>
            </w:tcMar>
            <w:vAlign w:val="center"/>
          </w:tcPr>
          <w:p>
            <w:pPr>
              <w:pStyle w:val="MdTableHeader"/>
            </w:pPr>
            <w:r>
              <w:t xml:space="preserve">Suggested direction</w:t>
            </w:r>
          </w:p>
        </w:tc>
        <w:tc>
          <w:tcPr>
            <w:tcBorders>
              <w:right w:val="none"/>
            </w:tcBorders>
            <w:tcMar>
              <w:top w:type="dxa" w:w="100"/>
              <w:left w:type="dxa" w:w="120"/>
              <w:bottom w:type="dxa" w:w="100"/>
              <w:right w:type="dxa" w:w="120"/>
            </w:tcMar>
            <w:vAlign w:val="center"/>
          </w:tcPr>
          <w:p>
            <w:pPr>
              <w:pStyle w:val="MdTableHeader"/>
            </w:pPr>
            <w:r>
              <w:t xml:space="preserve">Appropriate 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Closest stylistic category</w:t>
            </w:r>
          </w:p>
        </w:tc>
        <w:tc>
          <w:tcPr>
            <w:tcMar>
              <w:top w:type="dxa" w:w="80"/>
              <w:left w:type="dxa" w:w="120"/>
              <w:bottom w:type="dxa" w:w="80"/>
              <w:right w:type="dxa" w:w="120"/>
            </w:tcMar>
            <w:vAlign w:val="center"/>
          </w:tcPr>
          <w:p>
            <w:pPr>
              <w:pStyle w:val="MdTableCell"/>
            </w:pPr>
            <w:r>
              <w:t xml:space="preserve">Decorative high-contrast display serif</w:t>
            </w:r>
          </w:p>
        </w:tc>
        <w:tc>
          <w:tcPr>
            <w:tcBorders>
              <w:right w:val="none"/>
            </w:tcBorders>
            <w:tcMar>
              <w:top w:type="dxa" w:w="80"/>
              <w:left w:type="dxa" w:w="120"/>
              <w:bottom w:type="dxa" w:w="80"/>
              <w:right w:type="dxa" w:w="120"/>
            </w:tcMar>
            <w:vAlign w:val="center"/>
          </w:tcPr>
          <w:p>
            <w:pPr>
              <w:pStyle w:val="MdTableCell"/>
            </w:pPr>
            <w:r>
              <w:t xml:space="preserve">Brand headlines, campaign lockups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Digital-friendly premium substitute</w:t>
            </w:r>
          </w:p>
        </w:tc>
        <w:tc>
          <w:tcPr>
            <w:tcMar>
              <w:top w:type="dxa" w:w="80"/>
              <w:left w:type="dxa" w:w="120"/>
              <w:bottom w:type="dxa" w:w="80"/>
              <w:right w:type="dxa" w:w="120"/>
            </w:tcMar>
            <w:vAlign w:val="center"/>
          </w:tcPr>
          <w:p>
            <w:pPr>
              <w:pStyle w:val="MdTableCell"/>
            </w:pPr>
            <w:r>
              <w:t xml:space="preserve">Canela Display, Noe Display, or similarly elegant modern serif direction</w:t>
            </w:r>
          </w:p>
        </w:tc>
        <w:tc>
          <w:tcPr>
            <w:tcBorders>
              <w:right w:val="none"/>
            </w:tcBorders>
            <w:tcMar>
              <w:top w:type="dxa" w:w="80"/>
              <w:left w:type="dxa" w:w="120"/>
              <w:bottom w:type="dxa" w:w="80"/>
              <w:right w:type="dxa" w:w="120"/>
            </w:tcMar>
            <w:vAlign w:val="center"/>
          </w:tcPr>
          <w:p>
            <w:pPr>
              <w:pStyle w:val="MdTableCell"/>
            </w:pPr>
            <w:r>
              <w:t xml:space="preserve">High-end editorial headlines on web and print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More historic substitute</w:t>
            </w:r>
          </w:p>
        </w:tc>
        <w:tc>
          <w:tcPr>
            <w:tcMar>
              <w:top w:type="dxa" w:w="80"/>
              <w:left w:type="dxa" w:w="120"/>
              <w:bottom w:type="dxa" w:w="80"/>
              <w:right w:type="dxa" w:w="120"/>
            </w:tcMar>
            <w:vAlign w:val="center"/>
          </w:tcPr>
          <w:p>
            <w:pPr>
              <w:pStyle w:val="MdTableCell"/>
            </w:pPr>
            <w:r>
              <w:t xml:space="preserve">Austin, Recoleta Display, or similarly softened heritage serif</w:t>
            </w:r>
          </w:p>
        </w:tc>
        <w:tc>
          <w:tcPr>
            <w:tcBorders>
              <w:right w:val="none"/>
            </w:tcBorders>
            <w:tcMar>
              <w:top w:type="dxa" w:w="80"/>
              <w:left w:type="dxa" w:w="120"/>
              <w:bottom w:type="dxa" w:w="80"/>
              <w:right w:type="dxa" w:w="120"/>
            </w:tcMar>
            <w:vAlign w:val="center"/>
          </w:tcPr>
          <w:p>
            <w:pPr>
              <w:pStyle w:val="MdTableCell"/>
            </w:pPr>
            <w:r>
              <w:t xml:space="preserve">Brand storytelling and leasing collateral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Custom route</w:t>
            </w:r>
          </w:p>
        </w:tc>
        <w:tc>
          <w:tcPr>
            <w:tcBorders>
              <w:bottom w:val="single" w:color="E1E4E8" w:sz="4"/>
            </w:tcBorders>
            <w:tcMar>
              <w:top w:type="dxa" w:w="80"/>
              <w:left w:type="dxa" w:w="120"/>
              <w:bottom w:type="dxa" w:w="80"/>
              <w:right w:type="dxa" w:w="120"/>
            </w:tcMar>
            <w:vAlign w:val="center"/>
          </w:tcPr>
          <w:p>
            <w:pPr>
              <w:pStyle w:val="MdTableCell"/>
            </w:pPr>
            <w:r>
              <w:t xml:space="preserve">Commission a refined proprietary wordmark and companion headline set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Best option for long-term brand exclusivity</w:t>
            </w:r>
          </w:p>
        </w:tc>
      </w:tr>
    </w:tbl>
    <w:p>
      <w:pPr>
        <w:pStyle w:val="MdParagraph"/>
      </w:pPr>
      <w:r>
        <w:t xml:space="preserve">The strongest recommendation for executive review is to </w:t>
      </w:r>
      <w:r>
        <w:rPr>
          <w:rStyle w:val="MdStrong"/>
          <w:b/>
          <w:bCs/>
        </w:rPr>
        <w:t xml:space="preserve">retain a custom or semi-custom master wordmark</w:t>
      </w:r>
      <w:r>
        <w:t xml:space="preserve"> even if the broader typography system is standardized for digital production. The wordmark is one of the identity’s highest-value assets.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Secondary Typography</w:t>
      </w:r>
    </w:p>
    <w:p>
      <w:pPr>
        <w:pStyle w:val="MdParagraph"/>
      </w:pPr>
      <w:r>
        <w:t xml:space="preserve">The secondary typography appears in descriptor lines such as geographic references, category statements, and supporting lockup language. This tier must do the work of order, clarity, and brand governance. While the display face provides character, the secondary face provides </w:t>
      </w:r>
      <w:r>
        <w:rPr>
          <w:rStyle w:val="MdStrong"/>
          <w:b/>
          <w:bCs/>
        </w:rPr>
        <w:t xml:space="preserve">system integrity</w:t>
      </w:r>
      <w:r>
        <w:t xml:space="preserve">.</w:t>
      </w:r>
    </w:p>
    <w:p>
      <w:pPr>
        <w:pStyle w:val="MdSpace"/>
        <w:spacing w:before="0" w:after="60"/>
      </w:pPr>
    </w:p>
    <w:p>
      <w:pPr>
        <w:pStyle w:val="MdParagraph"/>
      </w:pPr>
      <w:r>
        <w:t xml:space="preserve">This companion style should feel formal, narrow, and editorial. It may sit somewhere between an engraved serif, a narrow Roman, and a restrained all-caps utility face. Its purpose is to stabilize the expressive primary logo.</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Requirement</w:t>
            </w:r>
          </w:p>
        </w:tc>
        <w:tc>
          <w:tcPr>
            <w:tcBorders>
              <w:right w:val="none"/>
            </w:tcBorders>
            <w:tcMar>
              <w:top w:type="dxa" w:w="100"/>
              <w:left w:type="dxa" w:w="120"/>
              <w:bottom w:type="dxa" w:w="100"/>
              <w:right w:type="dxa" w:w="120"/>
            </w:tcMar>
            <w:vAlign w:val="center"/>
          </w:tcPr>
          <w:p>
            <w:pPr>
              <w:pStyle w:val="MdTableHeader"/>
            </w:pPr>
            <w:r>
              <w:t xml:space="preserve">Recommendation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Case</w:t>
            </w:r>
          </w:p>
        </w:tc>
        <w:tc>
          <w:tcPr>
            <w:tcBorders>
              <w:right w:val="none"/>
            </w:tcBorders>
            <w:tcMar>
              <w:top w:type="dxa" w:w="80"/>
              <w:left w:type="dxa" w:w="120"/>
              <w:bottom w:type="dxa" w:w="80"/>
              <w:right w:type="dxa" w:w="120"/>
            </w:tcMar>
            <w:vAlign w:val="center"/>
          </w:tcPr>
          <w:p>
            <w:pPr>
              <w:pStyle w:val="MdTableCell"/>
            </w:pPr>
            <w:r>
              <w:t xml:space="preserve">Primarily uppercase or small caps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Spacing</w:t>
            </w:r>
          </w:p>
        </w:tc>
        <w:tc>
          <w:tcPr>
            <w:tcBorders>
              <w:right w:val="none"/>
            </w:tcBorders>
            <w:tcMar>
              <w:top w:type="dxa" w:w="80"/>
              <w:left w:type="dxa" w:w="120"/>
              <w:bottom w:type="dxa" w:w="80"/>
              <w:right w:type="dxa" w:w="120"/>
            </w:tcMar>
            <w:vAlign w:val="center"/>
          </w:tcPr>
          <w:p>
            <w:pPr>
              <w:pStyle w:val="MdTableCell"/>
            </w:pPr>
            <w:r>
              <w:t xml:space="preserve">Generous tracking for premium tone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Weight</w:t>
            </w:r>
          </w:p>
        </w:tc>
        <w:tc>
          <w:tcPr>
            <w:tcBorders>
              <w:right w:val="none"/>
            </w:tcBorders>
            <w:tcMar>
              <w:top w:type="dxa" w:w="80"/>
              <w:left w:type="dxa" w:w="120"/>
              <w:bottom w:type="dxa" w:w="80"/>
              <w:right w:type="dxa" w:w="120"/>
            </w:tcMar>
            <w:vAlign w:val="center"/>
          </w:tcPr>
          <w:p>
            <w:pPr>
              <w:pStyle w:val="MdTableCell"/>
            </w:pPr>
            <w:r>
              <w:t xml:space="preserve">Book to medium; never heavy or blocky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Mood</w:t>
            </w:r>
          </w:p>
        </w:tc>
        <w:tc>
          <w:tcPr>
            <w:tcBorders>
              <w:right w:val="none"/>
            </w:tcBorders>
            <w:tcMar>
              <w:top w:type="dxa" w:w="80"/>
              <w:left w:type="dxa" w:w="120"/>
              <w:bottom w:type="dxa" w:w="80"/>
              <w:right w:type="dxa" w:w="120"/>
            </w:tcMar>
            <w:vAlign w:val="center"/>
          </w:tcPr>
          <w:p>
            <w:pPr>
              <w:pStyle w:val="MdTableCell"/>
            </w:pPr>
            <w:r>
              <w:t xml:space="preserve">Architectural, measured, composed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Best uses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Navigation, section labels, descriptors, tab headers, small brand statements</w:t>
            </w:r>
          </w:p>
        </w:tc>
      </w:tr>
    </w:tbl>
    <w:p>
      <w:pPr>
        <w:pStyle w:val="MdParagraph"/>
      </w:pPr>
      <w:r>
        <w:t xml:space="preserve">For production, the web team should adopt one consistent companion typeface rather than mixing multiple similar narrow faces. This improves consistency across menus, footers, callouts, and page furniture.</w:t>
      </w:r>
    </w:p>
    <w:p>
      <w:pPr>
        <w:pStyle w:val="MdSpace"/>
        <w:spacing w:before="0" w:after="60"/>
      </w:pPr>
    </w:p>
    <w:p>
      <w:pPr>
        <w:pStyle w:val="Heading3"/>
        <w:pStyle w:val="MdHeading3"/>
      </w:pPr>
      <w:r>
        <w:t xml:space="preserve">7.1 Recommended Secondary Directions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Direction</w:t>
            </w:r>
          </w:p>
        </w:tc>
        <w:tc>
          <w:tcPr>
            <w:tcMar>
              <w:top w:type="dxa" w:w="100"/>
              <w:left w:type="dxa" w:w="120"/>
              <w:bottom w:type="dxa" w:w="100"/>
              <w:right w:type="dxa" w:w="120"/>
            </w:tcMar>
            <w:vAlign w:val="center"/>
          </w:tcPr>
          <w:p>
            <w:pPr>
              <w:pStyle w:val="MdTableHeader"/>
            </w:pPr>
            <w:r>
              <w:t xml:space="preserve">Character</w:t>
            </w:r>
          </w:p>
        </w:tc>
        <w:tc>
          <w:tcPr>
            <w:tcBorders>
              <w:right w:val="none"/>
            </w:tcBorders>
            <w:tcMar>
              <w:top w:type="dxa" w:w="100"/>
              <w:left w:type="dxa" w:w="120"/>
              <w:bottom w:type="dxa" w:w="100"/>
              <w:right w:type="dxa" w:w="120"/>
            </w:tcMar>
            <w:vAlign w:val="center"/>
          </w:tcPr>
          <w:p>
            <w:pPr>
              <w:pStyle w:val="MdTableHeader"/>
            </w:pPr>
            <w:r>
              <w:t xml:space="preserve">Best 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Condensed serif</w:t>
            </w:r>
          </w:p>
        </w:tc>
        <w:tc>
          <w:tcPr>
            <w:tcMar>
              <w:top w:type="dxa" w:w="80"/>
              <w:left w:type="dxa" w:w="120"/>
              <w:bottom w:type="dxa" w:w="80"/>
              <w:right w:type="dxa" w:w="120"/>
            </w:tcMar>
            <w:vAlign w:val="center"/>
          </w:tcPr>
          <w:p>
            <w:pPr>
              <w:pStyle w:val="MdTableCell"/>
            </w:pPr>
            <w:r>
              <w:t xml:space="preserve">More heritage, editorial, classic</w:t>
            </w:r>
          </w:p>
        </w:tc>
        <w:tc>
          <w:tcPr>
            <w:tcBorders>
              <w:right w:val="none"/>
            </w:tcBorders>
            <w:tcMar>
              <w:top w:type="dxa" w:w="80"/>
              <w:left w:type="dxa" w:w="120"/>
              <w:bottom w:type="dxa" w:w="80"/>
              <w:right w:type="dxa" w:w="120"/>
            </w:tcMar>
            <w:vAlign w:val="center"/>
          </w:tcPr>
          <w:p>
            <w:pPr>
              <w:pStyle w:val="MdTableCell"/>
            </w:pPr>
            <w:r>
              <w:t xml:space="preserve">Section labels, sub-brand descriptors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Refined all-caps sans</w:t>
            </w:r>
          </w:p>
        </w:tc>
        <w:tc>
          <w:tcPr>
            <w:tcMar>
              <w:top w:type="dxa" w:w="80"/>
              <w:left w:type="dxa" w:w="120"/>
              <w:bottom w:type="dxa" w:w="80"/>
              <w:right w:type="dxa" w:w="120"/>
            </w:tcMar>
            <w:vAlign w:val="center"/>
          </w:tcPr>
          <w:p>
            <w:pPr>
              <w:pStyle w:val="MdTableCell"/>
            </w:pPr>
            <w:r>
              <w:t xml:space="preserve">Cleaner, more modern, more digital</w:t>
            </w:r>
          </w:p>
        </w:tc>
        <w:tc>
          <w:tcPr>
            <w:tcBorders>
              <w:right w:val="none"/>
            </w:tcBorders>
            <w:tcMar>
              <w:top w:type="dxa" w:w="80"/>
              <w:left w:type="dxa" w:w="120"/>
              <w:bottom w:type="dxa" w:w="80"/>
              <w:right w:type="dxa" w:w="120"/>
            </w:tcMar>
            <w:vAlign w:val="center"/>
          </w:tcPr>
          <w:p>
            <w:pPr>
              <w:pStyle w:val="MdTableCell"/>
            </w:pPr>
            <w:r>
              <w:t xml:space="preserve">Navigation, utility labels, UI systems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Small-caps transitional serif</w:t>
            </w:r>
          </w:p>
        </w:tc>
        <w:tc>
          <w:tcPr>
            <w:tcBorders>
              <w:bottom w:val="single" w:color="E1E4E8" w:sz="4"/>
            </w:tcBorders>
            <w:tcMar>
              <w:top w:type="dxa" w:w="80"/>
              <w:left w:type="dxa" w:w="120"/>
              <w:bottom w:type="dxa" w:w="80"/>
              <w:right w:type="dxa" w:w="120"/>
            </w:tcMar>
            <w:vAlign w:val="center"/>
          </w:tcPr>
          <w:p>
            <w:pPr>
              <w:pStyle w:val="MdTableCell"/>
            </w:pPr>
            <w:r>
              <w:t xml:space="preserve">Formal, institutional, polished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Print collateral and executive documents</w:t>
            </w:r>
          </w:p>
        </w:tc>
      </w:tr>
    </w:tbl>
    <w:p>
      <w:pPr>
        <w:pStyle w:val="MdParagraph"/>
      </w:pPr>
      <w:r>
        <w:t xml:space="preserve">For the website in particular, a refined sans-serif companion may outperform a serif companion for utility layers, provided it remains elegant and not corporate-generic.</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Script and Accent Typography</w:t>
      </w:r>
    </w:p>
    <w:p>
      <w:pPr>
        <w:pStyle w:val="MdParagraph"/>
      </w:pPr>
      <w:r>
        <w:t xml:space="preserve">The cursive phrases in the identity provide a softer emotional note. They inject romance, hospitality, and a sense of handwritten refinement into an otherwise highly structured system. This is effective when used with restraint.</w:t>
      </w:r>
    </w:p>
    <w:p>
      <w:pPr>
        <w:pStyle w:val="MdSpace"/>
        <w:spacing w:before="0" w:after="60"/>
      </w:pPr>
    </w:p>
    <w:p>
      <w:pPr>
        <w:pStyle w:val="MdParagraph"/>
      </w:pPr>
      <w:r>
        <w:t xml:space="preserve">The script should never compete with the master brand wordmark. Its role is not to brand; its role is to </w:t>
      </w:r>
      <w:r>
        <w:rPr>
          <w:rStyle w:val="MdStrong"/>
          <w:b/>
          <w:bCs/>
        </w:rPr>
        <w:t xml:space="preserve">humanize</w:t>
      </w:r>
      <w:r>
        <w:t xml:space="preserve">. It works best in messaging such as lifestyle phrases, editorial pull-quotes, invitation language, or selective campaign moments.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Guideline</w:t>
            </w:r>
          </w:p>
        </w:tc>
        <w:tc>
          <w:tcPr>
            <w:tcBorders>
              <w:right w:val="none"/>
            </w:tcBorders>
            <w:tcMar>
              <w:top w:type="dxa" w:w="100"/>
              <w:left w:type="dxa" w:w="120"/>
              <w:bottom w:type="dxa" w:w="100"/>
              <w:right w:type="dxa" w:w="120"/>
            </w:tcMar>
            <w:vAlign w:val="center"/>
          </w:tcPr>
          <w:p>
            <w:pPr>
              <w:pStyle w:val="MdTableHeader"/>
            </w:pPr>
            <w:r>
              <w:t xml:space="preserve">Recommendation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Frequency</w:t>
            </w:r>
          </w:p>
        </w:tc>
        <w:tc>
          <w:tcPr>
            <w:tcBorders>
              <w:right w:val="none"/>
            </w:tcBorders>
            <w:tcMar>
              <w:top w:type="dxa" w:w="80"/>
              <w:left w:type="dxa" w:w="120"/>
              <w:bottom w:type="dxa" w:w="80"/>
              <w:right w:type="dxa" w:w="120"/>
            </w:tcMar>
            <w:vAlign w:val="center"/>
          </w:tcPr>
          <w:p>
            <w:pPr>
              <w:pStyle w:val="MdTableCell"/>
            </w:pPr>
            <w:r>
              <w:t xml:space="preserve">Low usage only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Length</w:t>
            </w:r>
          </w:p>
        </w:tc>
        <w:tc>
          <w:tcPr>
            <w:tcBorders>
              <w:right w:val="none"/>
            </w:tcBorders>
            <w:tcMar>
              <w:top w:type="dxa" w:w="80"/>
              <w:left w:type="dxa" w:w="120"/>
              <w:bottom w:type="dxa" w:w="80"/>
              <w:right w:type="dxa" w:w="120"/>
            </w:tcMar>
            <w:vAlign w:val="center"/>
          </w:tcPr>
          <w:p>
            <w:pPr>
              <w:pStyle w:val="MdTableCell"/>
            </w:pPr>
            <w:r>
              <w:t xml:space="preserve">Short phrases, not long paragraphs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Purpose</w:t>
            </w:r>
          </w:p>
        </w:tc>
        <w:tc>
          <w:tcPr>
            <w:tcBorders>
              <w:right w:val="none"/>
            </w:tcBorders>
            <w:tcMar>
              <w:top w:type="dxa" w:w="80"/>
              <w:left w:type="dxa" w:w="120"/>
              <w:bottom w:type="dxa" w:w="80"/>
              <w:right w:type="dxa" w:w="120"/>
            </w:tcMar>
            <w:vAlign w:val="center"/>
          </w:tcPr>
          <w:p>
            <w:pPr>
              <w:pStyle w:val="MdTableCell"/>
            </w:pPr>
            <w:r>
              <w:t xml:space="preserve">Emotional emphasis, not information delivery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Placement</w:t>
            </w:r>
          </w:p>
        </w:tc>
        <w:tc>
          <w:tcPr>
            <w:tcBorders>
              <w:right w:val="none"/>
            </w:tcBorders>
            <w:tcMar>
              <w:top w:type="dxa" w:w="80"/>
              <w:left w:type="dxa" w:w="120"/>
              <w:bottom w:type="dxa" w:w="80"/>
              <w:right w:type="dxa" w:w="120"/>
            </w:tcMar>
            <w:vAlign w:val="center"/>
          </w:tcPr>
          <w:p>
            <w:pPr>
              <w:pStyle w:val="MdTableCell"/>
            </w:pPr>
            <w:r>
              <w:t xml:space="preserve">Adjacent to rigid typography for contrast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Risk</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Overuse creates visual clutter and reduces luxury feel</w:t>
            </w:r>
          </w:p>
        </w:tc>
      </w:tr>
    </w:tbl>
    <w:p>
      <w:pPr>
        <w:pStyle w:val="MdParagraph"/>
      </w:pPr>
      <w:r>
        <w:t xml:space="preserve">If a production script font is selected, it should feel </w:t>
      </w:r>
      <w:r>
        <w:rPr>
          <w:rStyle w:val="MdStrong"/>
          <w:b/>
          <w:bCs/>
        </w:rPr>
        <w:t xml:space="preserve">elegant and handwritten</w:t>
      </w:r>
      <w:r>
        <w:t xml:space="preserve">, not bridal, whimsical, or overly casual. The right script for this brand is confident and editorial, not decorative for decoration’s sake.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9. Functional Web Typography</w:t>
      </w:r>
    </w:p>
    <w:p>
      <w:pPr>
        <w:pStyle w:val="MdParagraph"/>
      </w:pPr>
      <w:r>
        <w:t xml:space="preserve">The existing artwork is visually rich, but the web platform must translate that richness into a system that is readable, scalable, and conversion-friendly. Executive leadership should distinguish between </w:t>
      </w:r>
      <w:r>
        <w:rPr>
          <w:rStyle w:val="MdStrong"/>
          <w:b/>
          <w:bCs/>
        </w:rPr>
        <w:t xml:space="preserve">brand typography</w:t>
      </w:r>
      <w:r>
        <w:t xml:space="preserve"> and </w:t>
      </w:r>
      <w:r>
        <w:rPr>
          <w:rStyle w:val="MdStrong"/>
          <w:b/>
          <w:bCs/>
        </w:rPr>
        <w:t xml:space="preserve">interface typography</w:t>
      </w:r>
      <w:r>
        <w:t xml:space="preserve">. They are related, but not identical.</w:t>
      </w:r>
    </w:p>
    <w:p>
      <w:pPr>
        <w:pStyle w:val="MdSpace"/>
        <w:spacing w:before="0" w:after="60"/>
      </w:pPr>
    </w:p>
    <w:p>
      <w:pPr>
        <w:pStyle w:val="MdParagraph"/>
      </w:pPr>
      <w:r>
        <w:t xml:space="preserve">For web design, the recommended structure is to preserve the branded display voice in hero headlines and major sectional moments, while using a highly readable text face for body copy, leasing information, FAQs, amenity descriptions, and forms.</w:t>
      </w:r>
    </w:p>
    <w:p>
      <w:pPr>
        <w:pStyle w:val="MdSpace"/>
        <w:spacing w:before="0" w:after="60"/>
      </w:pPr>
    </w:p>
    <w:p>
      <w:pPr>
        <w:pStyle w:val="Heading3"/>
        <w:pStyle w:val="MdHeading3"/>
      </w:pPr>
      <w:r>
        <w:t xml:space="preserve">9.1 Recommended Web Stack Logic</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Layer</w:t>
            </w:r>
          </w:p>
        </w:tc>
        <w:tc>
          <w:tcPr>
            <w:tcMar>
              <w:top w:type="dxa" w:w="100"/>
              <w:left w:type="dxa" w:w="120"/>
              <w:bottom w:type="dxa" w:w="100"/>
              <w:right w:type="dxa" w:w="120"/>
            </w:tcMar>
            <w:vAlign w:val="center"/>
          </w:tcPr>
          <w:p>
            <w:pPr>
              <w:pStyle w:val="MdTableHeader"/>
            </w:pPr>
            <w:r>
              <w:t xml:space="preserve">Recommendation</w:t>
            </w:r>
          </w:p>
        </w:tc>
        <w:tc>
          <w:tcPr>
            <w:tcBorders>
              <w:right w:val="none"/>
            </w:tcBorders>
            <w:tcMar>
              <w:top w:type="dxa" w:w="100"/>
              <w:left w:type="dxa" w:w="120"/>
              <w:bottom w:type="dxa" w:w="100"/>
              <w:right w:type="dxa" w:w="120"/>
            </w:tcMar>
            <w:vAlign w:val="center"/>
          </w:tcPr>
          <w:p>
            <w:pPr>
              <w:pStyle w:val="MdTableHeader"/>
            </w:pPr>
            <w:r>
              <w:t xml:space="preserve">Rationale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Brand headline layer</w:t>
            </w:r>
          </w:p>
        </w:tc>
        <w:tc>
          <w:tcPr>
            <w:tcMar>
              <w:top w:type="dxa" w:w="80"/>
              <w:left w:type="dxa" w:w="120"/>
              <w:bottom w:type="dxa" w:w="80"/>
              <w:right w:type="dxa" w:w="120"/>
            </w:tcMar>
            <w:vAlign w:val="center"/>
          </w:tcPr>
          <w:p>
            <w:pPr>
              <w:pStyle w:val="MdTableCell"/>
            </w:pPr>
            <w:r>
              <w:t xml:space="preserve">Premium serif display</w:t>
            </w:r>
          </w:p>
        </w:tc>
        <w:tc>
          <w:tcPr>
            <w:tcBorders>
              <w:right w:val="none"/>
            </w:tcBorders>
            <w:tcMar>
              <w:top w:type="dxa" w:w="80"/>
              <w:left w:type="dxa" w:w="120"/>
              <w:bottom w:type="dxa" w:w="80"/>
              <w:right w:type="dxa" w:w="120"/>
            </w:tcMar>
            <w:vAlign w:val="center"/>
          </w:tcPr>
          <w:p>
            <w:pPr>
              <w:pStyle w:val="MdTableCell"/>
            </w:pPr>
            <w:r>
              <w:t xml:space="preserve">Maintains distinct brand equity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Section headline layer</w:t>
            </w:r>
          </w:p>
        </w:tc>
        <w:tc>
          <w:tcPr>
            <w:tcMar>
              <w:top w:type="dxa" w:w="80"/>
              <w:left w:type="dxa" w:w="120"/>
              <w:bottom w:type="dxa" w:w="80"/>
              <w:right w:type="dxa" w:w="120"/>
            </w:tcMar>
            <w:vAlign w:val="center"/>
          </w:tcPr>
          <w:p>
            <w:pPr>
              <w:pStyle w:val="MdTableCell"/>
            </w:pPr>
            <w:r>
              <w:t xml:space="preserve">Refined companion serif or sans</w:t>
            </w:r>
          </w:p>
        </w:tc>
        <w:tc>
          <w:tcPr>
            <w:tcBorders>
              <w:right w:val="none"/>
            </w:tcBorders>
            <w:tcMar>
              <w:top w:type="dxa" w:w="80"/>
              <w:left w:type="dxa" w:w="120"/>
              <w:bottom w:type="dxa" w:w="80"/>
              <w:right w:type="dxa" w:w="120"/>
            </w:tcMar>
            <w:vAlign w:val="center"/>
          </w:tcPr>
          <w:p>
            <w:pPr>
              <w:pStyle w:val="MdTableCell"/>
            </w:pPr>
            <w:r>
              <w:t xml:space="preserve">Supports structure without competing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Body copy layer</w:t>
            </w:r>
          </w:p>
        </w:tc>
        <w:tc>
          <w:tcPr>
            <w:tcMar>
              <w:top w:type="dxa" w:w="80"/>
              <w:left w:type="dxa" w:w="120"/>
              <w:bottom w:type="dxa" w:w="80"/>
              <w:right w:type="dxa" w:w="120"/>
            </w:tcMar>
            <w:vAlign w:val="center"/>
          </w:tcPr>
          <w:p>
            <w:pPr>
              <w:pStyle w:val="MdTableCell"/>
            </w:pPr>
            <w:r>
              <w:t xml:space="preserve">Highly legible serif or sans</w:t>
            </w:r>
          </w:p>
        </w:tc>
        <w:tc>
          <w:tcPr>
            <w:tcBorders>
              <w:right w:val="none"/>
            </w:tcBorders>
            <w:tcMar>
              <w:top w:type="dxa" w:w="80"/>
              <w:left w:type="dxa" w:w="120"/>
              <w:bottom w:type="dxa" w:w="80"/>
              <w:right w:type="dxa" w:w="120"/>
            </w:tcMar>
            <w:vAlign w:val="center"/>
          </w:tcPr>
          <w:p>
            <w:pPr>
              <w:pStyle w:val="MdTableCell"/>
            </w:pPr>
            <w:r>
              <w:t xml:space="preserve">Improves comprehension and reading comfort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UI and form layer</w:t>
            </w:r>
          </w:p>
        </w:tc>
        <w:tc>
          <w:tcPr>
            <w:tcBorders>
              <w:bottom w:val="single" w:color="E1E4E8" w:sz="4"/>
            </w:tcBorders>
            <w:tcMar>
              <w:top w:type="dxa" w:w="80"/>
              <w:left w:type="dxa" w:w="120"/>
              <w:bottom w:type="dxa" w:w="80"/>
              <w:right w:type="dxa" w:w="120"/>
            </w:tcMar>
            <w:vAlign w:val="center"/>
          </w:tcPr>
          <w:p>
            <w:pPr>
              <w:pStyle w:val="MdTableCell"/>
            </w:pPr>
            <w:r>
              <w:t xml:space="preserve">Neutral sans-serif</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Ensures clarity, accessibility, and responsiveness</w:t>
            </w:r>
          </w:p>
        </w:tc>
      </w:tr>
    </w:tbl>
    <w:p>
      <w:pPr>
        <w:pStyle w:val="Heading3"/>
        <w:pStyle w:val="MdHeading3"/>
      </w:pPr>
      <w:r>
        <w:t xml:space="preserve">9.2 Suggested Production Approach</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Web function</w:t>
            </w:r>
          </w:p>
        </w:tc>
        <w:tc>
          <w:tcPr>
            <w:tcBorders>
              <w:right w:val="none"/>
            </w:tcBorders>
            <w:tcMar>
              <w:top w:type="dxa" w:w="100"/>
              <w:left w:type="dxa" w:w="120"/>
              <w:bottom w:type="dxa" w:w="100"/>
              <w:right w:type="dxa" w:w="120"/>
            </w:tcMar>
            <w:vAlign w:val="center"/>
          </w:tcPr>
          <w:p>
            <w:pPr>
              <w:pStyle w:val="MdTableHeader"/>
            </w:pPr>
            <w:r>
              <w:t xml:space="preserve">Preferred typographic behavior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Homepage hero</w:t>
            </w:r>
          </w:p>
        </w:tc>
        <w:tc>
          <w:tcPr>
            <w:tcBorders>
              <w:right w:val="none"/>
            </w:tcBorders>
            <w:tcMar>
              <w:top w:type="dxa" w:w="80"/>
              <w:left w:type="dxa" w:w="120"/>
              <w:bottom w:type="dxa" w:w="80"/>
              <w:right w:type="dxa" w:w="120"/>
            </w:tcMar>
            <w:vAlign w:val="center"/>
          </w:tcPr>
          <w:p>
            <w:pPr>
              <w:pStyle w:val="MdTableCell"/>
            </w:pPr>
            <w:r>
              <w:t xml:space="preserve">Branded display serif with short line length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Content modules</w:t>
            </w:r>
          </w:p>
        </w:tc>
        <w:tc>
          <w:tcPr>
            <w:tcBorders>
              <w:right w:val="none"/>
            </w:tcBorders>
            <w:tcMar>
              <w:top w:type="dxa" w:w="80"/>
              <w:left w:type="dxa" w:w="120"/>
              <w:bottom w:type="dxa" w:w="80"/>
              <w:right w:type="dxa" w:w="120"/>
            </w:tcMar>
            <w:vAlign w:val="center"/>
          </w:tcPr>
          <w:p>
            <w:pPr>
              <w:pStyle w:val="MdTableCell"/>
            </w:pPr>
            <w:r>
              <w:t xml:space="preserve">Companion face for headings, neutral readable body copy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Navigation</w:t>
            </w:r>
          </w:p>
        </w:tc>
        <w:tc>
          <w:tcPr>
            <w:tcBorders>
              <w:right w:val="none"/>
            </w:tcBorders>
            <w:tcMar>
              <w:top w:type="dxa" w:w="80"/>
              <w:left w:type="dxa" w:w="120"/>
              <w:bottom w:type="dxa" w:w="80"/>
              <w:right w:type="dxa" w:w="120"/>
            </w:tcMar>
            <w:vAlign w:val="center"/>
          </w:tcPr>
          <w:p>
            <w:pPr>
              <w:pStyle w:val="MdTableCell"/>
            </w:pPr>
            <w:r>
              <w:t xml:space="preserve">Narrow uppercase companion or clean luxury sans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Buttons and CTAs</w:t>
            </w:r>
          </w:p>
        </w:tc>
        <w:tc>
          <w:tcPr>
            <w:tcBorders>
              <w:right w:val="none"/>
            </w:tcBorders>
            <w:tcMar>
              <w:top w:type="dxa" w:w="80"/>
              <w:left w:type="dxa" w:w="120"/>
              <w:bottom w:type="dxa" w:w="80"/>
              <w:right w:type="dxa" w:w="120"/>
            </w:tcMar>
            <w:vAlign w:val="center"/>
          </w:tcPr>
          <w:p>
            <w:pPr>
              <w:pStyle w:val="MdTableCell"/>
            </w:pPr>
            <w:r>
              <w:t xml:space="preserve">Simple, restrained, not stylized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Legal and leasing details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Functional text face only</w:t>
            </w:r>
          </w:p>
        </w:tc>
      </w:tr>
    </w:tbl>
    <w:p>
      <w:pPr>
        <w:pStyle w:val="MdParagraph"/>
      </w:pPr>
      <w:r>
        <w:t xml:space="preserve">The luxury signal should come from </w:t>
      </w:r>
      <w:r>
        <w:rPr>
          <w:rStyle w:val="MdStrong"/>
          <w:b/>
          <w:bCs/>
        </w:rPr>
        <w:t xml:space="preserve">spacing, restraint, contrast, and composition</w:t>
      </w:r>
      <w:r>
        <w:t xml:space="preserve">, not from forcing decorative typography into all areas of the interface.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10. Hierarchy and Composition Rules</w:t>
      </w:r>
    </w:p>
    <w:p>
      <w:pPr>
        <w:pStyle w:val="MdParagraph"/>
      </w:pPr>
      <w:r>
        <w:t xml:space="preserve">The current identity system contains many expressive pieces. That makes hierarchy especially important. The brand will look premium only if every application has a clearly dominant element and sufficient negative space.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Principle</w:t>
            </w:r>
          </w:p>
        </w:tc>
        <w:tc>
          <w:tcPr>
            <w:tcBorders>
              <w:right w:val="none"/>
            </w:tcBorders>
            <w:tcMar>
              <w:top w:type="dxa" w:w="100"/>
              <w:left w:type="dxa" w:w="120"/>
              <w:bottom w:type="dxa" w:w="100"/>
              <w:right w:type="dxa" w:w="120"/>
            </w:tcMar>
            <w:vAlign w:val="center"/>
          </w:tcPr>
          <w:p>
            <w:pPr>
              <w:pStyle w:val="MdTableHeader"/>
            </w:pPr>
            <w:r>
              <w:t xml:space="preserve">Executive rule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One hero voice</w:t>
            </w:r>
          </w:p>
        </w:tc>
        <w:tc>
          <w:tcPr>
            <w:tcBorders>
              <w:right w:val="none"/>
            </w:tcBorders>
            <w:tcMar>
              <w:top w:type="dxa" w:w="80"/>
              <w:left w:type="dxa" w:w="120"/>
              <w:bottom w:type="dxa" w:w="80"/>
              <w:right w:type="dxa" w:w="120"/>
            </w:tcMar>
            <w:vAlign w:val="center"/>
          </w:tcPr>
          <w:p>
            <w:pPr>
              <w:pStyle w:val="MdTableCell"/>
            </w:pPr>
            <w:r>
              <w:t xml:space="preserve">Each composition should have one primary focal mark or headline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Controlled ornament</w:t>
            </w:r>
          </w:p>
        </w:tc>
        <w:tc>
          <w:tcPr>
            <w:tcBorders>
              <w:right w:val="none"/>
            </w:tcBorders>
            <w:tcMar>
              <w:top w:type="dxa" w:w="80"/>
              <w:left w:type="dxa" w:w="120"/>
              <w:bottom w:type="dxa" w:w="80"/>
              <w:right w:type="dxa" w:w="120"/>
            </w:tcMar>
            <w:vAlign w:val="center"/>
          </w:tcPr>
          <w:p>
            <w:pPr>
              <w:pStyle w:val="MdTableCell"/>
            </w:pPr>
            <w:r>
              <w:t xml:space="preserve">Decorative frames and plaques should support, not dominate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Wide spacing</w:t>
            </w:r>
          </w:p>
        </w:tc>
        <w:tc>
          <w:tcPr>
            <w:tcBorders>
              <w:right w:val="none"/>
            </w:tcBorders>
            <w:tcMar>
              <w:top w:type="dxa" w:w="80"/>
              <w:left w:type="dxa" w:w="120"/>
              <w:bottom w:type="dxa" w:w="80"/>
              <w:right w:type="dxa" w:w="120"/>
            </w:tcMar>
            <w:vAlign w:val="center"/>
          </w:tcPr>
          <w:p>
            <w:pPr>
              <w:pStyle w:val="MdTableCell"/>
            </w:pPr>
            <w:r>
              <w:t xml:space="preserve">Generous spacing increases luxury perception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Contrast discipline</w:t>
            </w:r>
          </w:p>
        </w:tc>
        <w:tc>
          <w:tcPr>
            <w:tcBorders>
              <w:right w:val="none"/>
            </w:tcBorders>
            <w:tcMar>
              <w:top w:type="dxa" w:w="80"/>
              <w:left w:type="dxa" w:w="120"/>
              <w:bottom w:type="dxa" w:w="80"/>
              <w:right w:type="dxa" w:w="120"/>
            </w:tcMar>
            <w:vAlign w:val="center"/>
          </w:tcPr>
          <w:p>
            <w:pPr>
              <w:pStyle w:val="MdTableCell"/>
            </w:pPr>
            <w:r>
              <w:t xml:space="preserve">Gold is strongest against deep navy or muted olive, not medium-value fields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Repetition limits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Do not repeat flourishes, scripts, and medallions in the same visual zone</w:t>
            </w:r>
          </w:p>
        </w:tc>
      </w:tr>
    </w:tbl>
    <w:p>
      <w:pPr>
        <w:pStyle w:val="MdParagraph"/>
      </w:pPr>
      <w:r>
        <w:t xml:space="preserve">A useful test is whether the composition still feels premium when reduced by 30 percent. If it becomes busy or hard to scan, hierarchy needs revision.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11. Logo System Governance</w:t>
      </w:r>
    </w:p>
    <w:p>
      <w:pPr>
        <w:pStyle w:val="MdParagraph"/>
      </w:pPr>
      <w:r>
        <w:t xml:space="preserve">The visual language suggests a family of marks rather than a single mark. That is viable, but only if the organization defines a hierarchy between the master mark, monogram, seal, plaque formats, and supporting badges.</w:t>
      </w:r>
    </w:p>
    <w:p>
      <w:pPr>
        <w:pStyle w:val="MdSpace"/>
        <w:spacing w:before="0" w:after="60"/>
      </w:pPr>
    </w:p>
    <w:p>
      <w:pPr>
        <w:pStyle w:val="Heading3"/>
        <w:pStyle w:val="MdHeading3"/>
      </w:pPr>
      <w:r>
        <w:t xml:space="preserve">11.1 Recommended Brand Architecture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Asset type</w:t>
            </w:r>
          </w:p>
        </w:tc>
        <w:tc>
          <w:tcPr>
            <w:tcMar>
              <w:top w:type="dxa" w:w="100"/>
              <w:left w:type="dxa" w:w="120"/>
              <w:bottom w:type="dxa" w:w="100"/>
              <w:right w:type="dxa" w:w="120"/>
            </w:tcMar>
            <w:vAlign w:val="center"/>
          </w:tcPr>
          <w:p>
            <w:pPr>
              <w:pStyle w:val="MdTableHeader"/>
            </w:pPr>
            <w:r>
              <w:t xml:space="preserve">Role</w:t>
            </w:r>
          </w:p>
        </w:tc>
        <w:tc>
          <w:tcPr>
            <w:tcBorders>
              <w:right w:val="none"/>
            </w:tcBorders>
            <w:tcMar>
              <w:top w:type="dxa" w:w="100"/>
              <w:left w:type="dxa" w:w="120"/>
              <w:bottom w:type="dxa" w:w="100"/>
              <w:right w:type="dxa" w:w="120"/>
            </w:tcMar>
            <w:vAlign w:val="center"/>
          </w:tcPr>
          <w:p>
            <w:pPr>
              <w:pStyle w:val="MdTableHeader"/>
            </w:pPr>
            <w:r>
              <w:t xml:space="preserve">Recommended 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Master wordmark</w:t>
            </w:r>
          </w:p>
        </w:tc>
        <w:tc>
          <w:tcPr>
            <w:tcMar>
              <w:top w:type="dxa" w:w="80"/>
              <w:left w:type="dxa" w:w="120"/>
              <w:bottom w:type="dxa" w:w="80"/>
              <w:right w:type="dxa" w:w="120"/>
            </w:tcMar>
            <w:vAlign w:val="center"/>
          </w:tcPr>
          <w:p>
            <w:pPr>
              <w:pStyle w:val="MdTableCell"/>
            </w:pPr>
            <w:r>
              <w:t xml:space="preserve">Primary identity asset</w:t>
            </w:r>
          </w:p>
        </w:tc>
        <w:tc>
          <w:tcPr>
            <w:tcBorders>
              <w:right w:val="none"/>
            </w:tcBorders>
            <w:tcMar>
              <w:top w:type="dxa" w:w="80"/>
              <w:left w:type="dxa" w:w="120"/>
              <w:bottom w:type="dxa" w:w="80"/>
              <w:right w:type="dxa" w:w="120"/>
            </w:tcMar>
            <w:vAlign w:val="center"/>
          </w:tcPr>
          <w:p>
            <w:pPr>
              <w:pStyle w:val="MdTableCell"/>
            </w:pPr>
            <w:r>
              <w:t xml:space="preserve">Website hero, primary signage, investor and leasing materials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Monogram</w:t>
            </w:r>
          </w:p>
        </w:tc>
        <w:tc>
          <w:tcPr>
            <w:tcMar>
              <w:top w:type="dxa" w:w="80"/>
              <w:left w:type="dxa" w:w="120"/>
              <w:bottom w:type="dxa" w:w="80"/>
              <w:right w:type="dxa" w:w="120"/>
            </w:tcMar>
            <w:vAlign w:val="center"/>
          </w:tcPr>
          <w:p>
            <w:pPr>
              <w:pStyle w:val="MdTableCell"/>
            </w:pPr>
            <w:r>
              <w:t xml:space="preserve">Compact premium identifier</w:t>
            </w:r>
          </w:p>
        </w:tc>
        <w:tc>
          <w:tcPr>
            <w:tcBorders>
              <w:right w:val="none"/>
            </w:tcBorders>
            <w:tcMar>
              <w:top w:type="dxa" w:w="80"/>
              <w:left w:type="dxa" w:w="120"/>
              <w:bottom w:type="dxa" w:w="80"/>
              <w:right w:type="dxa" w:w="120"/>
            </w:tcMar>
            <w:vAlign w:val="center"/>
          </w:tcPr>
          <w:p>
            <w:pPr>
              <w:pStyle w:val="MdTableCell"/>
            </w:pPr>
            <w:r>
              <w:t xml:space="preserve">Social avatars, favicon, embossed applications, amenity signage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Seal or medallion</w:t>
            </w:r>
          </w:p>
        </w:tc>
        <w:tc>
          <w:tcPr>
            <w:tcMar>
              <w:top w:type="dxa" w:w="80"/>
              <w:left w:type="dxa" w:w="120"/>
              <w:bottom w:type="dxa" w:w="80"/>
              <w:right w:type="dxa" w:w="120"/>
            </w:tcMar>
            <w:vAlign w:val="center"/>
          </w:tcPr>
          <w:p>
            <w:pPr>
              <w:pStyle w:val="MdTableCell"/>
            </w:pPr>
            <w:r>
              <w:t xml:space="preserve">Heritage certification feel</w:t>
            </w:r>
          </w:p>
        </w:tc>
        <w:tc>
          <w:tcPr>
            <w:tcBorders>
              <w:right w:val="none"/>
            </w:tcBorders>
            <w:tcMar>
              <w:top w:type="dxa" w:w="80"/>
              <w:left w:type="dxa" w:w="120"/>
              <w:bottom w:type="dxa" w:w="80"/>
              <w:right w:type="dxa" w:w="120"/>
            </w:tcMar>
            <w:vAlign w:val="center"/>
          </w:tcPr>
          <w:p>
            <w:pPr>
              <w:pStyle w:val="MdTableCell"/>
            </w:pPr>
            <w:r>
              <w:t xml:space="preserve">Print pieces, special collateral, packaging, wayfinding accents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Plaque format</w:t>
            </w:r>
          </w:p>
        </w:tc>
        <w:tc>
          <w:tcPr>
            <w:tcMar>
              <w:top w:type="dxa" w:w="80"/>
              <w:left w:type="dxa" w:w="120"/>
              <w:bottom w:type="dxa" w:w="80"/>
              <w:right w:type="dxa" w:w="120"/>
            </w:tcMar>
            <w:vAlign w:val="center"/>
          </w:tcPr>
          <w:p>
            <w:pPr>
              <w:pStyle w:val="MdTableCell"/>
            </w:pPr>
            <w:r>
              <w:t xml:space="preserve">Architectural or district signage expression</w:t>
            </w:r>
          </w:p>
        </w:tc>
        <w:tc>
          <w:tcPr>
            <w:tcBorders>
              <w:right w:val="none"/>
            </w:tcBorders>
            <w:tcMar>
              <w:top w:type="dxa" w:w="80"/>
              <w:left w:type="dxa" w:w="120"/>
              <w:bottom w:type="dxa" w:w="80"/>
              <w:right w:type="dxa" w:w="120"/>
            </w:tcMar>
            <w:vAlign w:val="center"/>
          </w:tcPr>
          <w:p>
            <w:pPr>
              <w:pStyle w:val="MdTableCell"/>
            </w:pPr>
            <w:r>
              <w:t xml:space="preserve">Environmental graphics, sectional web moments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Descriptor lockup</w:t>
            </w:r>
          </w:p>
        </w:tc>
        <w:tc>
          <w:tcPr>
            <w:tcBorders>
              <w:bottom w:val="single" w:color="E1E4E8" w:sz="4"/>
            </w:tcBorders>
            <w:tcMar>
              <w:top w:type="dxa" w:w="80"/>
              <w:left w:type="dxa" w:w="120"/>
              <w:bottom w:type="dxa" w:w="80"/>
              <w:right w:type="dxa" w:w="120"/>
            </w:tcMar>
            <w:vAlign w:val="center"/>
          </w:tcPr>
          <w:p>
            <w:pPr>
              <w:pStyle w:val="MdTableCell"/>
            </w:pPr>
            <w:r>
              <w:t xml:space="preserve">Message-led variant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Campaigns and situational messaging</w:t>
            </w:r>
          </w:p>
        </w:tc>
      </w:tr>
    </w:tbl>
    <w:p>
      <w:pPr>
        <w:pStyle w:val="MdParagraph"/>
      </w:pPr>
      <w:r>
        <w:t xml:space="preserve">This structure should be formalized so that internal teams do not improvise logo use across channels.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12. Ornamentation and Graphic Detailing</w:t>
      </w:r>
    </w:p>
    <w:p>
      <w:pPr>
        <w:pStyle w:val="MdParagraph"/>
      </w:pPr>
      <w:r>
        <w:t xml:space="preserve">The identity includes corner flourishes, plaques, medallion borders, engraved rings, and frame devices. These are stylistically coherent with the brand, but they require restraint.</w:t>
      </w:r>
    </w:p>
    <w:p>
      <w:pPr>
        <w:pStyle w:val="MdSpace"/>
        <w:spacing w:before="0" w:after="60"/>
      </w:pPr>
    </w:p>
    <w:p>
      <w:pPr>
        <w:pStyle w:val="MdParagraph"/>
      </w:pPr>
      <w:r>
        <w:t xml:space="preserve">Ornament should function like architectural molding: it is most powerful when it frames premium content rather than saturates the surface. In digital applications, ornament should be used to mark transitions, frame select content blocks, or elevate a hero panel. It should not appear around every card, button, or content tile.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Recommended use</w:t>
            </w:r>
          </w:p>
        </w:tc>
        <w:tc>
          <w:tcPr>
            <w:tcBorders>
              <w:right w:val="none"/>
            </w:tcBorders>
            <w:tcMar>
              <w:top w:type="dxa" w:w="100"/>
              <w:left w:type="dxa" w:w="120"/>
              <w:bottom w:type="dxa" w:w="100"/>
              <w:right w:type="dxa" w:w="120"/>
            </w:tcMar>
            <w:vAlign w:val="center"/>
          </w:tcPr>
          <w:p>
            <w:pPr>
              <w:pStyle w:val="MdTableHeader"/>
            </w:pPr>
            <w:r>
              <w:t xml:space="preserve">Avoid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Section dividers, premium callouts, specialty landing pages</w:t>
            </w:r>
          </w:p>
        </w:tc>
        <w:tc>
          <w:tcPr>
            <w:tcBorders>
              <w:right w:val="none"/>
            </w:tcBorders>
            <w:tcMar>
              <w:top w:type="dxa" w:w="80"/>
              <w:left w:type="dxa" w:w="120"/>
              <w:bottom w:type="dxa" w:w="80"/>
              <w:right w:type="dxa" w:w="120"/>
            </w:tcMar>
            <w:vAlign w:val="center"/>
          </w:tcPr>
          <w:p>
            <w:pPr>
              <w:pStyle w:val="MdTableCell"/>
            </w:pPr>
            <w:r>
              <w:t xml:space="preserve">Decorative lines around standard interface modules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Limited corner motifs in hero or footer zones</w:t>
            </w:r>
          </w:p>
        </w:tc>
        <w:tc>
          <w:tcPr>
            <w:tcBorders>
              <w:right w:val="none"/>
            </w:tcBorders>
            <w:tcMar>
              <w:top w:type="dxa" w:w="80"/>
              <w:left w:type="dxa" w:w="120"/>
              <w:bottom w:type="dxa" w:w="80"/>
              <w:right w:type="dxa" w:w="120"/>
            </w:tcMar>
            <w:vAlign w:val="center"/>
          </w:tcPr>
          <w:p>
            <w:pPr>
              <w:pStyle w:val="MdTableCell"/>
            </w:pPr>
            <w:r>
              <w:t xml:space="preserve">Repeating corner motifs across every page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Badge treatments for curated amenity or district storytelling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Decorative clutter in leasing flows or form pages</w:t>
            </w:r>
          </w:p>
        </w:tc>
      </w:tr>
    </w:tbl>
    <w:p>
      <w:pPr>
        <w:pStyle w:val="MdHr"/>
        <w:pBdr>
          <w:bottom w:val="single" w:color="auto" w:sz="6" w:space="1"/>
        </w:pBdr>
      </w:pPr>
    </w:p>
    <w:p>
      <w:pPr>
        <w:pStyle w:val="MdSpace"/>
        <w:spacing w:before="0" w:after="60"/>
      </w:pPr>
    </w:p>
    <w:p>
      <w:pPr>
        <w:pStyle w:val="Heading2"/>
        <w:pStyle w:val="MdHeading2"/>
      </w:pPr>
      <w:r>
        <w:t xml:space="preserve">13. Photography and Imagery Direction</w:t>
      </w:r>
    </w:p>
    <w:p>
      <w:pPr>
        <w:pStyle w:val="MdParagraph"/>
      </w:pPr>
      <w:r>
        <w:t xml:space="preserve">Although the provided visual is primarily brand artwork, the implied photography direction is clear. Imagery should support the same atmosphere: </w:t>
      </w:r>
      <w:r>
        <w:rPr>
          <w:rStyle w:val="MdStrong"/>
          <w:b/>
          <w:bCs/>
        </w:rPr>
        <w:t xml:space="preserve">warm historic texture, evening sophistication, intimate luxury, architectural authenticity, and lived-in refinement</w:t>
      </w:r>
      <w:r>
        <w:t xml:space="preserve">.</w:t>
      </w:r>
    </w:p>
    <w:p>
      <w:pPr>
        <w:pStyle w:val="MdSpace"/>
        <w:spacing w:before="0" w:after="60"/>
      </w:pPr>
    </w:p>
    <w:p>
      <w:pPr>
        <w:pStyle w:val="MdParagraph"/>
      </w:pPr>
      <w:r>
        <w:t xml:space="preserve">Photography should avoid generic apartment-marketing tropes. The visual system calls for cinematic restraint rather than bright catalog realism.</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Image category</w:t>
            </w:r>
          </w:p>
        </w:tc>
        <w:tc>
          <w:tcPr>
            <w:tcBorders>
              <w:right w:val="none"/>
            </w:tcBorders>
            <w:tcMar>
              <w:top w:type="dxa" w:w="100"/>
              <w:left w:type="dxa" w:w="120"/>
              <w:bottom w:type="dxa" w:w="100"/>
              <w:right w:type="dxa" w:w="120"/>
            </w:tcMar>
            <w:vAlign w:val="center"/>
          </w:tcPr>
          <w:p>
            <w:pPr>
              <w:pStyle w:val="MdTableHeader"/>
            </w:pPr>
            <w:r>
              <w:t xml:space="preserve">Recommended direction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Exterior architecture</w:t>
            </w:r>
          </w:p>
        </w:tc>
        <w:tc>
          <w:tcPr>
            <w:tcBorders>
              <w:right w:val="none"/>
            </w:tcBorders>
            <w:tcMar>
              <w:top w:type="dxa" w:w="80"/>
              <w:left w:type="dxa" w:w="120"/>
              <w:bottom w:type="dxa" w:w="80"/>
              <w:right w:type="dxa" w:w="120"/>
            </w:tcMar>
            <w:vAlign w:val="center"/>
          </w:tcPr>
          <w:p>
            <w:pPr>
              <w:pStyle w:val="MdTableCell"/>
            </w:pPr>
            <w:r>
              <w:t xml:space="preserve">Golden hour, shadow depth, strong facade character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Interiors</w:t>
            </w:r>
          </w:p>
        </w:tc>
        <w:tc>
          <w:tcPr>
            <w:tcBorders>
              <w:right w:val="none"/>
            </w:tcBorders>
            <w:tcMar>
              <w:top w:type="dxa" w:w="80"/>
              <w:left w:type="dxa" w:w="120"/>
              <w:bottom w:type="dxa" w:w="80"/>
              <w:right w:type="dxa" w:w="120"/>
            </w:tcMar>
            <w:vAlign w:val="center"/>
          </w:tcPr>
          <w:p>
            <w:pPr>
              <w:pStyle w:val="MdTableCell"/>
            </w:pPr>
            <w:r>
              <w:t xml:space="preserve">Layered lighting, tactile surfaces, refined composition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Lifestyle</w:t>
            </w:r>
          </w:p>
        </w:tc>
        <w:tc>
          <w:tcPr>
            <w:tcBorders>
              <w:right w:val="none"/>
            </w:tcBorders>
            <w:tcMar>
              <w:top w:type="dxa" w:w="80"/>
              <w:left w:type="dxa" w:w="120"/>
              <w:bottom w:type="dxa" w:w="80"/>
              <w:right w:type="dxa" w:w="120"/>
            </w:tcMar>
            <w:vAlign w:val="center"/>
          </w:tcPr>
          <w:p>
            <w:pPr>
              <w:pStyle w:val="MdTableCell"/>
            </w:pPr>
            <w:r>
              <w:t xml:space="preserve">Curated, understated, adult, urban, culturally literate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Neighborhood</w:t>
            </w:r>
          </w:p>
        </w:tc>
        <w:tc>
          <w:tcPr>
            <w:tcBorders>
              <w:right w:val="none"/>
            </w:tcBorders>
            <w:tcMar>
              <w:top w:type="dxa" w:w="80"/>
              <w:left w:type="dxa" w:w="120"/>
              <w:bottom w:type="dxa" w:w="80"/>
              <w:right w:type="dxa" w:w="120"/>
            </w:tcMar>
            <w:vAlign w:val="center"/>
          </w:tcPr>
          <w:p>
            <w:pPr>
              <w:pStyle w:val="MdTableCell"/>
            </w:pPr>
            <w:r>
              <w:t xml:space="preserve">Texture-rich streetscape, signage, brick, storefront rhythm</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Detail shots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Metals, stone, wood, fixtures, architectural heritage cues</w:t>
            </w:r>
          </w:p>
        </w:tc>
      </w:tr>
    </w:tbl>
    <w:p>
      <w:pPr>
        <w:pStyle w:val="MdHr"/>
        <w:pBdr>
          <w:bottom w:val="single" w:color="auto" w:sz="6" w:space="1"/>
        </w:pBdr>
      </w:pPr>
    </w:p>
    <w:p>
      <w:pPr>
        <w:pStyle w:val="MdSpace"/>
        <w:spacing w:before="0" w:after="60"/>
      </w:pPr>
    </w:p>
    <w:p>
      <w:pPr>
        <w:pStyle w:val="Heading2"/>
        <w:pStyle w:val="MdHeading2"/>
      </w:pPr>
      <w:r>
        <w:t xml:space="preserve">14. Tone Translation for Web Design</w:t>
      </w:r>
    </w:p>
    <w:p>
      <w:pPr>
        <w:pStyle w:val="MdParagraph"/>
      </w:pPr>
      <w:r>
        <w:t xml:space="preserve">For the Head of Web Design, the key challenge is translating a rich identity into a performant and intuitive digital experience. The website should not try to reproduce the full density of the artwork on every page. Instead, it should convert the artwork into a hierarchy of </w:t>
      </w:r>
      <w:r>
        <w:rPr>
          <w:rStyle w:val="MdStrong"/>
          <w:b/>
          <w:bCs/>
        </w:rPr>
        <w:t xml:space="preserve">brand moments</w:t>
      </w:r>
      <w:r>
        <w:t xml:space="preserve">.</w:t>
      </w:r>
    </w:p>
    <w:p>
      <w:pPr>
        <w:pStyle w:val="MdSpace"/>
        <w:spacing w:before="0" w:after="60"/>
      </w:pPr>
    </w:p>
    <w:p>
      <w:pPr>
        <w:pStyle w:val="MdParagraph"/>
      </w:pPr>
      <w:r>
        <w:t xml:space="preserve">A recommended model is to use the full expressive identity in the homepage hero, select campaign panels, and branded sectional intros. Then allow the rest of the site to breathe through clean grids, strong typography, restrained gold accents, and high-end photography.</w:t>
      </w:r>
    </w:p>
    <w:p>
      <w:pPr>
        <w:pStyle w:val="MdSpace"/>
        <w:spacing w:before="0" w:after="60"/>
      </w:pPr>
    </w:p>
    <w:p>
      <w:pPr>
        <w:pStyle w:val="MdBlockquote"/>
      </w:pPr>
      <w:r>
        <w:t xml:space="preserve">The website should feel like entering a refined historic property, not like scrolling through a decorative pattern sheet.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Web area</w:t>
            </w:r>
          </w:p>
        </w:tc>
        <w:tc>
          <w:tcPr>
            <w:tcBorders>
              <w:right w:val="none"/>
            </w:tcBorders>
            <w:tcMar>
              <w:top w:type="dxa" w:w="100"/>
              <w:left w:type="dxa" w:w="120"/>
              <w:bottom w:type="dxa" w:w="100"/>
              <w:right w:type="dxa" w:w="120"/>
            </w:tcMar>
            <w:vAlign w:val="center"/>
          </w:tcPr>
          <w:p>
            <w:pPr>
              <w:pStyle w:val="MdTableHeader"/>
            </w:pPr>
            <w:r>
              <w:t xml:space="preserve">Recommended expression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Homepage hero</w:t>
            </w:r>
          </w:p>
        </w:tc>
        <w:tc>
          <w:tcPr>
            <w:tcBorders>
              <w:right w:val="none"/>
            </w:tcBorders>
            <w:tcMar>
              <w:top w:type="dxa" w:w="80"/>
              <w:left w:type="dxa" w:w="120"/>
              <w:bottom w:type="dxa" w:w="80"/>
              <w:right w:type="dxa" w:w="120"/>
            </w:tcMar>
            <w:vAlign w:val="center"/>
          </w:tcPr>
          <w:p>
            <w:pPr>
              <w:pStyle w:val="MdTableCell"/>
            </w:pPr>
            <w:r>
              <w:t xml:space="preserve">Strong wordmark, atmospheric dark field, selective ornament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Interior pages</w:t>
            </w:r>
          </w:p>
        </w:tc>
        <w:tc>
          <w:tcPr>
            <w:tcBorders>
              <w:right w:val="none"/>
            </w:tcBorders>
            <w:tcMar>
              <w:top w:type="dxa" w:w="80"/>
              <w:left w:type="dxa" w:w="120"/>
              <w:bottom w:type="dxa" w:w="80"/>
              <w:right w:type="dxa" w:w="120"/>
            </w:tcMar>
            <w:vAlign w:val="center"/>
          </w:tcPr>
          <w:p>
            <w:pPr>
              <w:pStyle w:val="MdTableCell"/>
            </w:pPr>
            <w:r>
              <w:t xml:space="preserve">Cleaner layout, more whitespace, limited ornament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Leasing funnels</w:t>
            </w:r>
          </w:p>
        </w:tc>
        <w:tc>
          <w:tcPr>
            <w:tcBorders>
              <w:right w:val="none"/>
            </w:tcBorders>
            <w:tcMar>
              <w:top w:type="dxa" w:w="80"/>
              <w:left w:type="dxa" w:w="120"/>
              <w:bottom w:type="dxa" w:w="80"/>
              <w:right w:type="dxa" w:w="120"/>
            </w:tcMar>
            <w:vAlign w:val="center"/>
          </w:tcPr>
          <w:p>
            <w:pPr>
              <w:pStyle w:val="MdTableCell"/>
            </w:pPr>
            <w:r>
              <w:t xml:space="preserve">Simplified typography and reduced decorative load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Amenity or neighborhood pages</w:t>
            </w:r>
          </w:p>
        </w:tc>
        <w:tc>
          <w:tcPr>
            <w:tcBorders>
              <w:right w:val="none"/>
            </w:tcBorders>
            <w:tcMar>
              <w:top w:type="dxa" w:w="80"/>
              <w:left w:type="dxa" w:w="120"/>
              <w:bottom w:type="dxa" w:w="80"/>
              <w:right w:type="dxa" w:w="120"/>
            </w:tcMar>
            <w:vAlign w:val="center"/>
          </w:tcPr>
          <w:p>
            <w:pPr>
              <w:pStyle w:val="MdTableCell"/>
            </w:pPr>
            <w:r>
              <w:t xml:space="preserve">Editorial storytelling with occasional plaque or seal accents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Mobile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Minimal ornament, maximum hierarchy, clear tap targets</w:t>
            </w:r>
          </w:p>
        </w:tc>
      </w:tr>
    </w:tbl>
    <w:p>
      <w:pPr>
        <w:pStyle w:val="MdHr"/>
        <w:pBdr>
          <w:bottom w:val="single" w:color="auto" w:sz="6" w:space="1"/>
        </w:pBdr>
      </w:pPr>
    </w:p>
    <w:p>
      <w:pPr>
        <w:pStyle w:val="MdSpace"/>
        <w:spacing w:before="0" w:after="60"/>
      </w:pPr>
    </w:p>
    <w:p>
      <w:pPr>
        <w:pStyle w:val="Heading2"/>
        <w:pStyle w:val="MdHeading2"/>
      </w:pPr>
      <w:r>
        <w:t xml:space="preserve">15. Do-Not-Do Guidelines</w:t>
      </w:r>
    </w:p>
    <w:p>
      <w:pPr>
        <w:pStyle w:val="MdParagraph"/>
      </w:pPr>
      <w:r>
        <w:t xml:space="preserve">The sophistication of this brand depends on what is withheld as much as what is shown. The following constraints should be treated as non-negotiable.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Do not</w:t>
            </w:r>
          </w:p>
        </w:tc>
        <w:tc>
          <w:tcPr>
            <w:tcBorders>
              <w:right w:val="none"/>
            </w:tcBorders>
            <w:tcMar>
              <w:top w:type="dxa" w:w="100"/>
              <w:left w:type="dxa" w:w="120"/>
              <w:bottom w:type="dxa" w:w="100"/>
              <w:right w:type="dxa" w:w="120"/>
            </w:tcMar>
            <w:vAlign w:val="center"/>
          </w:tcPr>
          <w:p>
            <w:pPr>
              <w:pStyle w:val="MdTableHeader"/>
            </w:pPr>
            <w:r>
              <w:t xml:space="preserve">Reason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 bright royal blue or teal variants</w:t>
            </w:r>
          </w:p>
        </w:tc>
        <w:tc>
          <w:tcPr>
            <w:tcBorders>
              <w:right w:val="none"/>
            </w:tcBorders>
            <w:tcMar>
              <w:top w:type="dxa" w:w="80"/>
              <w:left w:type="dxa" w:w="120"/>
              <w:bottom w:type="dxa" w:w="80"/>
              <w:right w:type="dxa" w:w="120"/>
            </w:tcMar>
            <w:vAlign w:val="center"/>
          </w:tcPr>
          <w:p>
            <w:pPr>
              <w:pStyle w:val="MdTableCell"/>
            </w:pPr>
            <w:r>
              <w:t xml:space="preserve">Breaks the historic-luxury tone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 shiny metallic gradients with obvious bevel effects</w:t>
            </w:r>
          </w:p>
        </w:tc>
        <w:tc>
          <w:tcPr>
            <w:tcBorders>
              <w:right w:val="none"/>
            </w:tcBorders>
            <w:tcMar>
              <w:top w:type="dxa" w:w="80"/>
              <w:left w:type="dxa" w:w="120"/>
              <w:bottom w:type="dxa" w:w="80"/>
              <w:right w:type="dxa" w:w="120"/>
            </w:tcMar>
            <w:vAlign w:val="center"/>
          </w:tcPr>
          <w:p>
            <w:pPr>
              <w:pStyle w:val="MdTableCell"/>
            </w:pPr>
            <w:r>
              <w:t xml:space="preserve">Cheapens the gold expression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Set long body copy in decorative serif or script</w:t>
            </w:r>
          </w:p>
        </w:tc>
        <w:tc>
          <w:tcPr>
            <w:tcBorders>
              <w:right w:val="none"/>
            </w:tcBorders>
            <w:tcMar>
              <w:top w:type="dxa" w:w="80"/>
              <w:left w:type="dxa" w:w="120"/>
              <w:bottom w:type="dxa" w:w="80"/>
              <w:right w:type="dxa" w:w="120"/>
            </w:tcMar>
            <w:vAlign w:val="center"/>
          </w:tcPr>
          <w:p>
            <w:pPr>
              <w:pStyle w:val="MdTableCell"/>
            </w:pPr>
            <w:r>
              <w:t xml:space="preserve">Reduces readability and credibility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Over-layer multiple marks in a single composition</w:t>
            </w:r>
          </w:p>
        </w:tc>
        <w:tc>
          <w:tcPr>
            <w:tcBorders>
              <w:right w:val="none"/>
            </w:tcBorders>
            <w:tcMar>
              <w:top w:type="dxa" w:w="80"/>
              <w:left w:type="dxa" w:w="120"/>
              <w:bottom w:type="dxa" w:w="80"/>
              <w:right w:type="dxa" w:w="120"/>
            </w:tcMar>
            <w:vAlign w:val="center"/>
          </w:tcPr>
          <w:p>
            <w:pPr>
              <w:pStyle w:val="MdTableCell"/>
            </w:pPr>
            <w:r>
              <w:t xml:space="preserve">Weakens hierarchy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 ornament on routine UI components</w:t>
            </w:r>
          </w:p>
        </w:tc>
        <w:tc>
          <w:tcPr>
            <w:tcBorders>
              <w:right w:val="none"/>
            </w:tcBorders>
            <w:tcMar>
              <w:top w:type="dxa" w:w="80"/>
              <w:left w:type="dxa" w:w="120"/>
              <w:bottom w:type="dxa" w:w="80"/>
              <w:right w:type="dxa" w:w="120"/>
            </w:tcMar>
            <w:vAlign w:val="center"/>
          </w:tcPr>
          <w:p>
            <w:pPr>
              <w:pStyle w:val="MdTableCell"/>
            </w:pPr>
            <w:r>
              <w:t xml:space="preserve">Creates visual fatigue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Replace warm gold with yellow-orange</w:t>
            </w:r>
          </w:p>
        </w:tc>
        <w:tc>
          <w:tcPr>
            <w:tcBorders>
              <w:right w:val="none"/>
            </w:tcBorders>
            <w:tcMar>
              <w:top w:type="dxa" w:w="80"/>
              <w:left w:type="dxa" w:w="120"/>
              <w:bottom w:type="dxa" w:w="80"/>
              <w:right w:type="dxa" w:w="120"/>
            </w:tcMar>
            <w:vAlign w:val="center"/>
          </w:tcPr>
          <w:p>
            <w:pPr>
              <w:pStyle w:val="MdTableCell"/>
            </w:pPr>
            <w:r>
              <w:t xml:space="preserve">Makes the brand feel less refined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Introduce trendy geometric sans as the dominant voice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Disrupts the heritage positioning</w:t>
            </w:r>
          </w:p>
        </w:tc>
      </w:tr>
    </w:tbl>
    <w:p>
      <w:pPr>
        <w:pStyle w:val="MdHr"/>
        <w:pBdr>
          <w:bottom w:val="single" w:color="auto" w:sz="6" w:space="1"/>
        </w:pBdr>
      </w:pPr>
    </w:p>
    <w:p>
      <w:pPr>
        <w:pStyle w:val="MdSpace"/>
        <w:spacing w:before="0" w:after="60"/>
      </w:pPr>
    </w:p>
    <w:p>
      <w:pPr>
        <w:pStyle w:val="Heading2"/>
        <w:pStyle w:val="MdHeading2"/>
      </w:pPr>
      <w:r>
        <w:t xml:space="preserve">16. Strategic Recommendations</w:t>
      </w:r>
    </w:p>
    <w:p>
      <w:pPr>
        <w:pStyle w:val="MdParagraph"/>
      </w:pPr>
      <w:r>
        <w:t xml:space="preserve">For leadership review, the following actions would create the strongest long-term brand system.</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Priority</w:t>
            </w:r>
          </w:p>
        </w:tc>
        <w:tc>
          <w:tcPr>
            <w:tcMar>
              <w:top w:type="dxa" w:w="100"/>
              <w:left w:type="dxa" w:w="120"/>
              <w:bottom w:type="dxa" w:w="100"/>
              <w:right w:type="dxa" w:w="120"/>
            </w:tcMar>
            <w:vAlign w:val="center"/>
          </w:tcPr>
          <w:p>
            <w:pPr>
              <w:pStyle w:val="MdTableHeader"/>
            </w:pPr>
            <w:r>
              <w:t xml:space="preserve">Recommendation</w:t>
            </w:r>
          </w:p>
        </w:tc>
        <w:tc>
          <w:tcPr>
            <w:tcBorders>
              <w:right w:val="none"/>
            </w:tcBorders>
            <w:tcMar>
              <w:top w:type="dxa" w:w="100"/>
              <w:left w:type="dxa" w:w="120"/>
              <w:bottom w:type="dxa" w:w="100"/>
              <w:right w:type="dxa" w:w="120"/>
            </w:tcMar>
            <w:vAlign w:val="center"/>
          </w:tcPr>
          <w:p>
            <w:pPr>
              <w:pStyle w:val="MdTableHeader"/>
            </w:pPr>
            <w:r>
              <w:t xml:space="preserve">Outcome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High</w:t>
            </w:r>
          </w:p>
        </w:tc>
        <w:tc>
          <w:tcPr>
            <w:tcMar>
              <w:top w:type="dxa" w:w="80"/>
              <w:left w:type="dxa" w:w="120"/>
              <w:bottom w:type="dxa" w:w="80"/>
              <w:right w:type="dxa" w:w="120"/>
            </w:tcMar>
            <w:vAlign w:val="center"/>
          </w:tcPr>
          <w:p>
            <w:pPr>
              <w:pStyle w:val="MdTableCell"/>
            </w:pPr>
            <w:r>
              <w:t xml:space="preserve">Formalize a master logo hierarchy with clear role definitions</w:t>
            </w:r>
          </w:p>
        </w:tc>
        <w:tc>
          <w:tcPr>
            <w:tcBorders>
              <w:right w:val="none"/>
            </w:tcBorders>
            <w:tcMar>
              <w:top w:type="dxa" w:w="80"/>
              <w:left w:type="dxa" w:w="120"/>
              <w:bottom w:type="dxa" w:w="80"/>
              <w:right w:type="dxa" w:w="120"/>
            </w:tcMar>
            <w:vAlign w:val="center"/>
          </w:tcPr>
          <w:p>
            <w:pPr>
              <w:pStyle w:val="MdTableCell"/>
            </w:pPr>
            <w:r>
              <w:t xml:space="preserve">Prevents inconsistent brand execution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High</w:t>
            </w:r>
          </w:p>
        </w:tc>
        <w:tc>
          <w:tcPr>
            <w:tcMar>
              <w:top w:type="dxa" w:w="80"/>
              <w:left w:type="dxa" w:w="120"/>
              <w:bottom w:type="dxa" w:w="80"/>
              <w:right w:type="dxa" w:w="120"/>
            </w:tcMar>
            <w:vAlign w:val="center"/>
          </w:tcPr>
          <w:p>
            <w:pPr>
              <w:pStyle w:val="MdTableCell"/>
            </w:pPr>
            <w:r>
              <w:t xml:space="preserve">Select one production-ready display family and one companion family</w:t>
            </w:r>
          </w:p>
        </w:tc>
        <w:tc>
          <w:tcPr>
            <w:tcBorders>
              <w:right w:val="none"/>
            </w:tcBorders>
            <w:tcMar>
              <w:top w:type="dxa" w:w="80"/>
              <w:left w:type="dxa" w:w="120"/>
              <w:bottom w:type="dxa" w:w="80"/>
              <w:right w:type="dxa" w:w="120"/>
            </w:tcMar>
            <w:vAlign w:val="center"/>
          </w:tcPr>
          <w:p>
            <w:pPr>
              <w:pStyle w:val="MdTableCell"/>
            </w:pPr>
            <w:r>
              <w:t xml:space="preserve">Creates scalable consistency across web and print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High</w:t>
            </w:r>
          </w:p>
        </w:tc>
        <w:tc>
          <w:tcPr>
            <w:tcMar>
              <w:top w:type="dxa" w:w="80"/>
              <w:left w:type="dxa" w:w="120"/>
              <w:bottom w:type="dxa" w:w="80"/>
              <w:right w:type="dxa" w:w="120"/>
            </w:tcMar>
            <w:vAlign w:val="center"/>
          </w:tcPr>
          <w:p>
            <w:pPr>
              <w:pStyle w:val="MdTableCell"/>
            </w:pPr>
            <w:r>
              <w:t xml:space="preserve">Define final digital palette values and accessibility pairings</w:t>
            </w:r>
          </w:p>
        </w:tc>
        <w:tc>
          <w:tcPr>
            <w:tcBorders>
              <w:right w:val="none"/>
            </w:tcBorders>
            <w:tcMar>
              <w:top w:type="dxa" w:w="80"/>
              <w:left w:type="dxa" w:w="120"/>
              <w:bottom w:type="dxa" w:w="80"/>
              <w:right w:type="dxa" w:w="120"/>
            </w:tcMar>
            <w:vAlign w:val="center"/>
          </w:tcPr>
          <w:p>
            <w:pPr>
              <w:pStyle w:val="MdTableCell"/>
            </w:pPr>
            <w:r>
              <w:t xml:space="preserve">Improves implementation confidence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Medium</w:t>
            </w:r>
          </w:p>
        </w:tc>
        <w:tc>
          <w:tcPr>
            <w:tcMar>
              <w:top w:type="dxa" w:w="80"/>
              <w:left w:type="dxa" w:w="120"/>
              <w:bottom w:type="dxa" w:w="80"/>
              <w:right w:type="dxa" w:w="120"/>
            </w:tcMar>
            <w:vAlign w:val="center"/>
          </w:tcPr>
          <w:p>
            <w:pPr>
              <w:pStyle w:val="MdTableCell"/>
            </w:pPr>
            <w:r>
              <w:t xml:space="preserve">Preserve or commission a custom master wordmark</w:t>
            </w:r>
          </w:p>
        </w:tc>
        <w:tc>
          <w:tcPr>
            <w:tcBorders>
              <w:right w:val="none"/>
            </w:tcBorders>
            <w:tcMar>
              <w:top w:type="dxa" w:w="80"/>
              <w:left w:type="dxa" w:w="120"/>
              <w:bottom w:type="dxa" w:w="80"/>
              <w:right w:type="dxa" w:w="120"/>
            </w:tcMar>
            <w:vAlign w:val="center"/>
          </w:tcPr>
          <w:p>
            <w:pPr>
              <w:pStyle w:val="MdTableCell"/>
            </w:pPr>
            <w:r>
              <w:t xml:space="preserve">Strengthens proprietary brand 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Medium</w:t>
            </w:r>
          </w:p>
        </w:tc>
        <w:tc>
          <w:tcPr>
            <w:tcMar>
              <w:top w:type="dxa" w:w="80"/>
              <w:left w:type="dxa" w:w="120"/>
              <w:bottom w:type="dxa" w:w="80"/>
              <w:right w:type="dxa" w:w="120"/>
            </w:tcMar>
            <w:vAlign w:val="center"/>
          </w:tcPr>
          <w:p>
            <w:pPr>
              <w:pStyle w:val="MdTableCell"/>
            </w:pPr>
            <w:r>
              <w:t xml:space="preserve">Build a simplified web expression of the identity</w:t>
            </w:r>
          </w:p>
        </w:tc>
        <w:tc>
          <w:tcPr>
            <w:tcBorders>
              <w:right w:val="none"/>
            </w:tcBorders>
            <w:tcMar>
              <w:top w:type="dxa" w:w="80"/>
              <w:left w:type="dxa" w:w="120"/>
              <w:bottom w:type="dxa" w:w="80"/>
              <w:right w:type="dxa" w:w="120"/>
            </w:tcMar>
            <w:vAlign w:val="center"/>
          </w:tcPr>
          <w:p>
            <w:pPr>
              <w:pStyle w:val="MdTableCell"/>
            </w:pPr>
            <w:r>
              <w:t xml:space="preserve">Protects usability without losing luxury tone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Medium</w:t>
            </w:r>
          </w:p>
        </w:tc>
        <w:tc>
          <w:tcPr>
            <w:tcBorders>
              <w:bottom w:val="single" w:color="E1E4E8" w:sz="4"/>
            </w:tcBorders>
            <w:tcMar>
              <w:top w:type="dxa" w:w="80"/>
              <w:left w:type="dxa" w:w="120"/>
              <w:bottom w:type="dxa" w:w="80"/>
              <w:right w:type="dxa" w:w="120"/>
            </w:tcMar>
            <w:vAlign w:val="center"/>
          </w:tcPr>
          <w:p>
            <w:pPr>
              <w:pStyle w:val="MdTableCell"/>
            </w:pPr>
            <w:r>
              <w:t xml:space="preserve">Create a modular ornament library with approved use cases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Enables controlled creativity across teams</w:t>
            </w:r>
          </w:p>
        </w:tc>
      </w:tr>
    </w:tbl>
    <w:p>
      <w:pPr>
        <w:pStyle w:val="MdHr"/>
        <w:pBdr>
          <w:bottom w:val="single" w:color="auto" w:sz="6" w:space="1"/>
        </w:pBdr>
      </w:pPr>
    </w:p>
    <w:p>
      <w:pPr>
        <w:pStyle w:val="MdSpace"/>
        <w:spacing w:before="0" w:after="60"/>
      </w:pPr>
    </w:p>
    <w:p>
      <w:pPr>
        <w:pStyle w:val="Heading2"/>
        <w:pStyle w:val="MdHeading2"/>
      </w:pPr>
      <w:r>
        <w:t xml:space="preserve">17. Final Design Position</w:t>
      </w:r>
    </w:p>
    <w:p>
      <w:pPr>
        <w:pStyle w:val="MdParagraph"/>
      </w:pPr>
      <w:r>
        <w:t xml:space="preserve">Bank Street Quarters has the foundation of a </w:t>
      </w:r>
      <w:r>
        <w:rPr>
          <w:rStyle w:val="MdStrong"/>
          <w:b/>
          <w:bCs/>
        </w:rPr>
        <w:t xml:space="preserve">high-distinction, place-based premium identity</w:t>
      </w:r>
      <w:r>
        <w:t xml:space="preserve">. Its value lies in its combination of historic visual richness and controlled luxury restraint. The brand should not move toward generic modern apartment minimalism, because that would erase one of its greatest strengths: </w:t>
      </w:r>
      <w:r>
        <w:rPr>
          <w:rStyle w:val="MdStrong"/>
          <w:b/>
          <w:bCs/>
        </w:rPr>
        <w:t xml:space="preserve">memorability through character</w:t>
      </w:r>
      <w:r>
        <w:t xml:space="preserve">. At the same time, it should not lean further into dense ornamentation without a stronger system, because doing so would risk reducing executive polish and digital usability.</w:t>
      </w:r>
    </w:p>
    <w:p>
      <w:pPr>
        <w:pStyle w:val="MdSpace"/>
        <w:spacing w:before="0" w:after="60"/>
      </w:pPr>
    </w:p>
    <w:p>
      <w:pPr>
        <w:pStyle w:val="MdParagraph"/>
      </w:pPr>
      <w:r>
        <w:t xml:space="preserve">The most effective path forward is to preserve the brand’s </w:t>
      </w:r>
      <w:r>
        <w:rPr>
          <w:rStyle w:val="MdStrong"/>
          <w:b/>
          <w:bCs/>
        </w:rPr>
        <w:t xml:space="preserve">heritage-luxury core</w:t>
      </w:r>
      <w:r>
        <w:t xml:space="preserve">, clarify the typographic hierarchy, formalize the logo architecture, and translate the visual language into a more disciplined digital system. If executed well, the brand can speak credibly to residents, visitors, partners, and investors while maintaining a rare sense of place.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18. Working Recommendation on Fonts</w:t>
      </w:r>
    </w:p>
    <w:p>
      <w:pPr>
        <w:pStyle w:val="MdParagraph"/>
      </w:pPr>
      <w:r>
        <w:t xml:space="preserve">Because the artwork appears stylistically curated and may include customized lettering treatments, the following should be treated as the most practical executive recommendation.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Brand need</w:t>
            </w:r>
          </w:p>
        </w:tc>
        <w:tc>
          <w:tcPr>
            <w:tcBorders>
              <w:right w:val="none"/>
            </w:tcBorders>
            <w:tcMar>
              <w:top w:type="dxa" w:w="100"/>
              <w:left w:type="dxa" w:w="120"/>
              <w:bottom w:type="dxa" w:w="100"/>
              <w:right w:type="dxa" w:w="120"/>
            </w:tcMar>
            <w:vAlign w:val="center"/>
          </w:tcPr>
          <w:p>
            <w:pPr>
              <w:pStyle w:val="MdTableHeader"/>
            </w:pPr>
            <w:r>
              <w:t xml:space="preserve">Recommendation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Signature identity</w:t>
            </w:r>
          </w:p>
        </w:tc>
        <w:tc>
          <w:tcPr>
            <w:tcBorders>
              <w:right w:val="none"/>
            </w:tcBorders>
            <w:tcMar>
              <w:top w:type="dxa" w:w="80"/>
              <w:left w:type="dxa" w:w="120"/>
              <w:bottom w:type="dxa" w:w="80"/>
              <w:right w:type="dxa" w:w="120"/>
            </w:tcMar>
            <w:vAlign w:val="center"/>
          </w:tcPr>
          <w:p>
            <w:pPr>
              <w:pStyle w:val="MdTableCell"/>
            </w:pPr>
            <w:r>
              <w:t xml:space="preserve">Maintain a custom-drawn or custom-refined master wordmark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Premium headline typography</w:t>
            </w:r>
          </w:p>
        </w:tc>
        <w:tc>
          <w:tcPr>
            <w:tcBorders>
              <w:right w:val="none"/>
            </w:tcBorders>
            <w:tcMar>
              <w:top w:type="dxa" w:w="80"/>
              <w:left w:type="dxa" w:w="120"/>
              <w:bottom w:type="dxa" w:w="80"/>
              <w:right w:type="dxa" w:w="120"/>
            </w:tcMar>
            <w:vAlign w:val="center"/>
          </w:tcPr>
          <w:p>
            <w:pPr>
              <w:pStyle w:val="MdTableCell"/>
            </w:pPr>
            <w:r>
              <w:t xml:space="preserve">Adopt a sophisticated display serif family with heritage elegance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Structural companion typography</w:t>
            </w:r>
          </w:p>
        </w:tc>
        <w:tc>
          <w:tcPr>
            <w:tcBorders>
              <w:right w:val="none"/>
            </w:tcBorders>
            <w:tcMar>
              <w:top w:type="dxa" w:w="80"/>
              <w:left w:type="dxa" w:w="120"/>
              <w:bottom w:type="dxa" w:w="80"/>
              <w:right w:type="dxa" w:w="120"/>
            </w:tcMar>
            <w:vAlign w:val="center"/>
          </w:tcPr>
          <w:p>
            <w:pPr>
              <w:pStyle w:val="MdTableCell"/>
            </w:pPr>
            <w:r>
              <w:t xml:space="preserve">Choose one refined narrow serif or luxury sans for system consistency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Emotional accent typography</w:t>
            </w:r>
          </w:p>
        </w:tc>
        <w:tc>
          <w:tcPr>
            <w:tcBorders>
              <w:right w:val="none"/>
            </w:tcBorders>
            <w:tcMar>
              <w:top w:type="dxa" w:w="80"/>
              <w:left w:type="dxa" w:w="120"/>
              <w:bottom w:type="dxa" w:w="80"/>
              <w:right w:type="dxa" w:w="120"/>
            </w:tcMar>
            <w:vAlign w:val="center"/>
          </w:tcPr>
          <w:p>
            <w:pPr>
              <w:pStyle w:val="MdTableCell"/>
            </w:pPr>
            <w:r>
              <w:t xml:space="preserve">Use one restrained editorial script, only in limited circumstances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Website readability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Separate branded display typography from functional reading typography</w:t>
            </w:r>
          </w:p>
        </w:tc>
      </w:tr>
    </w:tbl>
    <w:p>
      <w:pPr>
        <w:pStyle w:val="MdParagraph"/>
      </w:pPr>
      <w:r>
        <w:t xml:space="preserve">If source files become available, the next phase should be a </w:t>
      </w:r>
      <w:r>
        <w:rPr>
          <w:rStyle w:val="MdStrong"/>
          <w:b/>
          <w:bCs/>
        </w:rPr>
        <w:t xml:space="preserve">font audit and exact specification pass</w:t>
      </w:r>
      <w:r>
        <w:t xml:space="preserve"> so the guide can shift from stylistic analysis to definitive production standards.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19. Conclusion</w:t>
      </w:r>
    </w:p>
    <w:p>
      <w:pPr>
        <w:pStyle w:val="MdParagraph"/>
      </w:pPr>
      <w:r>
        <w:t xml:space="preserve">This identity is strongest when managed as a </w:t>
      </w:r>
      <w:r>
        <w:rPr>
          <w:rStyle w:val="MdStrong"/>
          <w:b/>
          <w:bCs/>
        </w:rPr>
        <w:t xml:space="preserve">premium, story-rich, architecturally informed brand system</w:t>
      </w:r>
      <w:r>
        <w:t xml:space="preserve">. It should project confidence, not noise; character, not clutter; refinement, not nostalgia. The current direction already contains the ingredients for that outcome. The opportunity now is not reinvention, but systematization.</w:t>
      </w:r>
    </w:p>
    <w:p>
      <w:pPr>
        <w:pStyle w:val="MdSpace"/>
        <w:spacing w:before="0" w:after="60"/>
      </w:pPr>
    </w:p>
    <w:p>
      <w:pPr>
        <w:pStyle w:val="MdParagraph"/>
      </w:pPr>
      <w:r>
        <w:t xml:space="preserve">A disciplined style guide built around this direction will allow executive leadership, design leadership, and digital teams to work from the same brand logic while preserving the distinctiveness that makes Bank Street Quarters feel valuable.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Appendix A. Executive One-Page Summary</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Category</w:t>
            </w:r>
          </w:p>
        </w:tc>
        <w:tc>
          <w:tcPr>
            <w:tcBorders>
              <w:right w:val="none"/>
            </w:tcBorders>
            <w:tcMar>
              <w:top w:type="dxa" w:w="100"/>
              <w:left w:type="dxa" w:w="120"/>
              <w:bottom w:type="dxa" w:w="100"/>
              <w:right w:type="dxa" w:w="120"/>
            </w:tcMar>
            <w:vAlign w:val="center"/>
          </w:tcPr>
          <w:p>
            <w:pPr>
              <w:pStyle w:val="MdTableHeader"/>
            </w:pPr>
            <w:r>
              <w:t xml:space="preserve">Direction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Brand character</w:t>
            </w:r>
          </w:p>
        </w:tc>
        <w:tc>
          <w:tcPr>
            <w:tcBorders>
              <w:right w:val="none"/>
            </w:tcBorders>
            <w:tcMar>
              <w:top w:type="dxa" w:w="80"/>
              <w:left w:type="dxa" w:w="120"/>
              <w:bottom w:type="dxa" w:w="80"/>
              <w:right w:type="dxa" w:w="120"/>
            </w:tcMar>
            <w:vAlign w:val="center"/>
          </w:tcPr>
          <w:p>
            <w:pPr>
              <w:pStyle w:val="MdTableCell"/>
            </w:pPr>
            <w:r>
              <w:t xml:space="preserve">Heritage luxury, downtown sophistication, curated residential prestige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Primary colors</w:t>
            </w:r>
          </w:p>
        </w:tc>
        <w:tc>
          <w:tcPr>
            <w:tcBorders>
              <w:right w:val="none"/>
            </w:tcBorders>
            <w:tcMar>
              <w:top w:type="dxa" w:w="80"/>
              <w:left w:type="dxa" w:w="120"/>
              <w:bottom w:type="dxa" w:w="80"/>
              <w:right w:type="dxa" w:w="120"/>
            </w:tcMar>
            <w:vAlign w:val="center"/>
          </w:tcPr>
          <w:p>
            <w:pPr>
              <w:pStyle w:val="MdTableCell"/>
            </w:pPr>
            <w:r>
              <w:t xml:space="preserve">Deep navy, heritage gold, muted olive, warm neutral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Primary typography</w:t>
            </w:r>
          </w:p>
        </w:tc>
        <w:tc>
          <w:tcPr>
            <w:tcBorders>
              <w:right w:val="none"/>
            </w:tcBorders>
            <w:tcMar>
              <w:top w:type="dxa" w:w="80"/>
              <w:left w:type="dxa" w:w="120"/>
              <w:bottom w:type="dxa" w:w="80"/>
              <w:right w:type="dxa" w:w="120"/>
            </w:tcMar>
            <w:vAlign w:val="center"/>
          </w:tcPr>
          <w:p>
            <w:pPr>
              <w:pStyle w:val="MdTableCell"/>
            </w:pPr>
            <w:r>
              <w:t xml:space="preserve">Decorative premium display serif</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Supporting typography</w:t>
            </w:r>
          </w:p>
        </w:tc>
        <w:tc>
          <w:tcPr>
            <w:tcBorders>
              <w:right w:val="none"/>
            </w:tcBorders>
            <w:tcMar>
              <w:top w:type="dxa" w:w="80"/>
              <w:left w:type="dxa" w:w="120"/>
              <w:bottom w:type="dxa" w:w="80"/>
              <w:right w:type="dxa" w:w="120"/>
            </w:tcMar>
            <w:vAlign w:val="center"/>
          </w:tcPr>
          <w:p>
            <w:pPr>
              <w:pStyle w:val="MdTableCell"/>
            </w:pPr>
            <w:r>
              <w:t xml:space="preserve">Narrow formal companion face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Accent typography</w:t>
            </w:r>
          </w:p>
        </w:tc>
        <w:tc>
          <w:tcPr>
            <w:tcBorders>
              <w:right w:val="none"/>
            </w:tcBorders>
            <w:tcMar>
              <w:top w:type="dxa" w:w="80"/>
              <w:left w:type="dxa" w:w="120"/>
              <w:bottom w:type="dxa" w:w="80"/>
              <w:right w:type="dxa" w:w="120"/>
            </w:tcMar>
            <w:vAlign w:val="center"/>
          </w:tcPr>
          <w:p>
            <w:pPr>
              <w:pStyle w:val="MdTableCell"/>
            </w:pPr>
            <w:r>
              <w:t xml:space="preserve">Restrained editorial script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Visual risk</w:t>
            </w:r>
          </w:p>
        </w:tc>
        <w:tc>
          <w:tcPr>
            <w:tcBorders>
              <w:right w:val="none"/>
            </w:tcBorders>
            <w:tcMar>
              <w:top w:type="dxa" w:w="80"/>
              <w:left w:type="dxa" w:w="120"/>
              <w:bottom w:type="dxa" w:w="80"/>
              <w:right w:type="dxa" w:w="120"/>
            </w:tcMar>
            <w:vAlign w:val="center"/>
          </w:tcPr>
          <w:p>
            <w:pPr>
              <w:pStyle w:val="MdTableCell"/>
            </w:pPr>
            <w:r>
              <w:t xml:space="preserve">Over-decoration and insufficient hierarchy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Web recommendation</w:t>
            </w:r>
          </w:p>
        </w:tc>
        <w:tc>
          <w:tcPr>
            <w:tcBorders>
              <w:right w:val="none"/>
            </w:tcBorders>
            <w:tcMar>
              <w:top w:type="dxa" w:w="80"/>
              <w:left w:type="dxa" w:w="120"/>
              <w:bottom w:type="dxa" w:w="80"/>
              <w:right w:type="dxa" w:w="120"/>
            </w:tcMar>
            <w:vAlign w:val="center"/>
          </w:tcPr>
          <w:p>
            <w:pPr>
              <w:pStyle w:val="MdTableCell"/>
            </w:pPr>
            <w:r>
              <w:t xml:space="preserve">Translate richness into selective brand moments plus clean UX</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Highest-value asset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Custom master wordmark and disciplined typographic hierarchy</w:t>
            </w:r>
          </w:p>
        </w:tc>
      </w:tr>
    </w:tbl>
    <w:p>
      <w:pPr>
        <w:pStyle w:val="MdHr"/>
        <w:pBdr>
          <w:bottom w:val="single" w:color="auto" w:sz="6" w:space="1"/>
        </w:pBdr>
      </w:pPr>
    </w:p>
    <w:p>
      <w:pPr>
        <w:pStyle w:val="MdSpace"/>
        <w:spacing w:before="0" w:after="60"/>
      </w:pPr>
    </w:p>
    <w:p>
      <w:pPr>
        <w:pStyle w:val="Heading2"/>
        <w:pStyle w:val="MdHeading2"/>
      </w:pPr>
      <w:r>
        <w:t xml:space="preserve">Appendix B. Recommended Next Deliverables</w:t>
      </w:r>
    </w:p>
    <w:p>
      <w:pPr>
        <w:pStyle w:val="MdParagraph"/>
      </w:pPr>
      <w:r>
        <w:t xml:space="preserve">If desired, the next version of this work can be expanded into a full production package including a </w:t>
      </w:r>
      <w:r>
        <w:rPr>
          <w:rStyle w:val="MdStrong"/>
          <w:b/>
          <w:bCs/>
        </w:rPr>
        <w:t xml:space="preserve">web-ready typography stack</w:t>
      </w:r>
      <w:r>
        <w:t xml:space="preserve">, </w:t>
      </w:r>
      <w:r>
        <w:rPr>
          <w:rStyle w:val="MdStrong"/>
          <w:b/>
          <w:bCs/>
        </w:rPr>
        <w:t xml:space="preserve">approved color tokens</w:t>
      </w:r>
      <w:r>
        <w:t xml:space="preserve">, </w:t>
      </w:r>
      <w:r>
        <w:rPr>
          <w:rStyle w:val="MdStrong"/>
          <w:b/>
          <w:bCs/>
        </w:rPr>
        <w:t xml:space="preserve">homepage UI direction</w:t>
      </w:r>
      <w:r>
        <w:t xml:space="preserve">, </w:t>
      </w:r>
      <w:r>
        <w:rPr>
          <w:rStyle w:val="MdStrong"/>
          <w:b/>
          <w:bCs/>
        </w:rPr>
        <w:t xml:space="preserve">logo usage matrix</w:t>
      </w:r>
      <w:r>
        <w:t xml:space="preserve">, and </w:t>
      </w:r>
      <w:r>
        <w:rPr>
          <w:rStyle w:val="MdStrong"/>
          <w:b/>
          <w:bCs/>
        </w:rPr>
        <w:t xml:space="preserve">sample branded page layouts</w:t>
      </w:r>
      <w:r>
        <w:t xml:space="preserve">.</w:t>
      </w:r>
      <w:r>
        <w:br/>
        <w:t xml:space="preserve">'}{Jsiiությանը to=functions.plan 不中反 json оЗ{</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2026-04-17T17:06:56.225Z</dcterms:created>
  <dcterms:modified xsi:type="dcterms:W3CDTF">2026-04-17T17:06:56.225Z</dcterms:modified>
</cp:coreProperties>
</file>

<file path=docProps/custom.xml><?xml version="1.0" encoding="utf-8"?>
<Properties xmlns="http://schemas.openxmlformats.org/officeDocument/2006/custom-properties" xmlns:vt="http://schemas.openxmlformats.org/officeDocument/2006/docPropsVTypes"/>
</file>