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Bank Street Quarters Brand Guide</w:t>
      </w:r>
    </w:p>
    <w:p>
      <w:pPr>
        <w:pStyle w:val="Heading2"/>
        <w:pStyle w:val="MdHeading2"/>
      </w:pPr>
      <w:r>
        <w:t xml:space="preserve">Brand Direction</w:t>
      </w:r>
    </w:p>
    <w:p>
      <w:pPr>
        <w:pStyle w:val="MdParagraph"/>
      </w:pPr>
      <w:r>
        <w:t xml:space="preserve">The updated visual direction blends </w:t>
      </w:r>
      <w:r>
        <w:rPr>
          <w:rStyle w:val="MdStrong"/>
          <w:b/>
          <w:bCs/>
        </w:rPr>
        <w:t xml:space="preserve">historic-luxury typography</w:t>
      </w:r>
      <w:r>
        <w:t xml:space="preserve"> with a </w:t>
      </w:r>
      <w:r>
        <w:rPr>
          <w:rStyle w:val="MdStrong"/>
          <w:b/>
          <w:bCs/>
        </w:rPr>
        <w:t xml:space="preserve">moody green-and-gold palette</w:t>
      </w:r>
      <w:r>
        <w:t xml:space="preserve"> inspired by the neon sign reference, while preserving the warm parchment foundation of the existing brand system. The result feels more dimensional, atmospheric, and upscale without losing the heritage character that already defines Bank Street Quarters.</w:t>
      </w:r>
    </w:p>
    <w:p>
      <w:pPr>
        <w:pStyle w:val="MdSpace"/>
        <w:spacing w:before="0" w:after="60"/>
      </w:pPr>
    </w:p>
    <w:p>
      <w:pPr>
        <w:pStyle w:val="Heading2"/>
        <w:pStyle w:val="MdHeading2"/>
      </w:pPr>
      <w:r>
        <w:t xml:space="preserve">Core Color Palette</w:t>
      </w:r>
    </w:p>
    <w:p>
      <w:pPr>
        <w:pStyle w:val="MdParagraph"/>
      </w:pPr>
      <w:r>
        <w:t xml:space="preserve">The palette below is designed around the recolored logo sheet and the blank parchment background. The parchment tones should remain the primary canvas, while the darker greens and bronze-gold tones should carry the identity, ornament, buttons, borders, and highlighted brand moments.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Role</w:t>
            </w:r>
          </w:p>
        </w:tc>
        <w:tc>
          <w:tcPr>
            <w:tcMar>
              <w:top w:type="dxa" w:w="100"/>
              <w:left w:type="dxa" w:w="120"/>
              <w:bottom w:type="dxa" w:w="100"/>
              <w:right w:type="dxa" w:w="120"/>
            </w:tcMar>
            <w:vAlign w:val="center"/>
          </w:tcPr>
          <w:p>
            <w:pPr>
              <w:pStyle w:val="MdTableHeader"/>
            </w:pPr>
            <w:r>
              <w:t xml:space="preserve">Color Name</w:t>
            </w:r>
          </w:p>
        </w:tc>
        <w:tc>
          <w:tcPr>
            <w:tcMar>
              <w:top w:type="dxa" w:w="100"/>
              <w:left w:type="dxa" w:w="120"/>
              <w:bottom w:type="dxa" w:w="100"/>
              <w:right w:type="dxa" w:w="120"/>
            </w:tcMar>
            <w:vAlign w:val="center"/>
          </w:tcPr>
          <w:p>
            <w:pPr>
              <w:pStyle w:val="MdTableHeader"/>
              <w:jc w:val="right"/>
            </w:pPr>
            <w:r>
              <w:t xml:space="preserve">Hex</w:t>
            </w:r>
          </w:p>
        </w:tc>
        <w:tc>
          <w:tcPr>
            <w:tcBorders>
              <w:right w:val="none"/>
            </w:tcBorders>
            <w:tcMar>
              <w:top w:type="dxa" w:w="100"/>
              <w:left w:type="dxa" w:w="120"/>
              <w:bottom w:type="dxa" w:w="100"/>
              <w:right w:type="dxa" w:w="120"/>
            </w:tcMar>
            <w:vAlign w:val="center"/>
          </w:tcPr>
          <w:p>
            <w:pPr>
              <w:pStyle w:val="MdTableHeader"/>
            </w:pPr>
            <w:r>
              <w:t xml:space="preserve">Recommended Use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Primary Background</w:t>
            </w:r>
          </w:p>
        </w:tc>
        <w:tc>
          <w:tcPr>
            <w:tcMar>
              <w:top w:type="dxa" w:w="80"/>
              <w:left w:type="dxa" w:w="120"/>
              <w:bottom w:type="dxa" w:w="80"/>
              <w:right w:type="dxa" w:w="120"/>
            </w:tcMar>
            <w:vAlign w:val="center"/>
          </w:tcPr>
          <w:p>
            <w:pPr>
              <w:pStyle w:val="MdTableCell"/>
            </w:pPr>
            <w:r>
              <w:t xml:space="preserve">Parchment Cream</w:t>
            </w:r>
          </w:p>
        </w:tc>
        <w:tc>
          <w:tcPr>
            <w:tcMar>
              <w:top w:type="dxa" w:w="80"/>
              <w:left w:type="dxa" w:w="120"/>
              <w:bottom w:type="dxa" w:w="80"/>
              <w:right w:type="dxa" w:w="120"/>
            </w:tcMar>
            <w:vAlign w:val="center"/>
          </w:tcPr>
          <w:p>
            <w:pPr>
              <w:pStyle w:val="MdTableCell"/>
              <w:jc w:val="right"/>
            </w:pPr>
            <w:r>
              <w:rPr>
                <w:rStyle w:val="MdCode"/>
                <w:u w:val="single"/>
              </w:rPr>
              <w:t xml:space="preserve">#F0E0D0</w:t>
            </w:r>
          </w:p>
        </w:tc>
        <w:tc>
          <w:tcPr>
            <w:tcBorders>
              <w:right w:val="none"/>
            </w:tcBorders>
            <w:tcMar>
              <w:top w:type="dxa" w:w="80"/>
              <w:left w:type="dxa" w:w="120"/>
              <w:bottom w:type="dxa" w:w="80"/>
              <w:right w:type="dxa" w:w="120"/>
            </w:tcMar>
            <w:vAlign w:val="center"/>
          </w:tcPr>
          <w:p>
            <w:pPr>
              <w:pStyle w:val="MdTableCell"/>
            </w:pPr>
            <w:r>
              <w:t xml:space="preserve">Main website backgrounds, content panels, hero sections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Secondary Background</w:t>
            </w:r>
          </w:p>
        </w:tc>
        <w:tc>
          <w:tcPr>
            <w:tcMar>
              <w:top w:type="dxa" w:w="80"/>
              <w:left w:type="dxa" w:w="120"/>
              <w:bottom w:type="dxa" w:w="80"/>
              <w:right w:type="dxa" w:w="120"/>
            </w:tcMar>
            <w:vAlign w:val="center"/>
          </w:tcPr>
          <w:p>
            <w:pPr>
              <w:pStyle w:val="MdTableCell"/>
            </w:pPr>
            <w:r>
              <w:t xml:space="preserve">Antique Linen</w:t>
            </w:r>
          </w:p>
        </w:tc>
        <w:tc>
          <w:tcPr>
            <w:tcMar>
              <w:top w:type="dxa" w:w="80"/>
              <w:left w:type="dxa" w:w="120"/>
              <w:bottom w:type="dxa" w:w="80"/>
              <w:right w:type="dxa" w:w="120"/>
            </w:tcMar>
            <w:vAlign w:val="center"/>
          </w:tcPr>
          <w:p>
            <w:pPr>
              <w:pStyle w:val="MdTableCell"/>
              <w:jc w:val="right"/>
            </w:pPr>
            <w:r>
              <w:rPr>
                <w:rStyle w:val="MdCode"/>
                <w:u w:val="single"/>
              </w:rPr>
              <w:t xml:space="preserve">#F0E0C0</w:t>
            </w:r>
          </w:p>
        </w:tc>
        <w:tc>
          <w:tcPr>
            <w:tcBorders>
              <w:right w:val="none"/>
            </w:tcBorders>
            <w:tcMar>
              <w:top w:type="dxa" w:w="80"/>
              <w:left w:type="dxa" w:w="120"/>
              <w:bottom w:type="dxa" w:w="80"/>
              <w:right w:type="dxa" w:w="120"/>
            </w:tcMar>
            <w:vAlign w:val="center"/>
          </w:tcPr>
          <w:p>
            <w:pPr>
              <w:pStyle w:val="MdTableCell"/>
            </w:pPr>
            <w:r>
              <w:t xml:space="preserve">Alternate sections, cards, soft highlights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Accent Background</w:t>
            </w:r>
          </w:p>
        </w:tc>
        <w:tc>
          <w:tcPr>
            <w:tcMar>
              <w:top w:type="dxa" w:w="80"/>
              <w:left w:type="dxa" w:w="120"/>
              <w:bottom w:type="dxa" w:w="80"/>
              <w:right w:type="dxa" w:w="120"/>
            </w:tcMar>
            <w:vAlign w:val="center"/>
          </w:tcPr>
          <w:p>
            <w:pPr>
              <w:pStyle w:val="MdTableCell"/>
            </w:pPr>
            <w:r>
              <w:t xml:space="preserve">Aged Gold Wash</w:t>
            </w:r>
          </w:p>
        </w:tc>
        <w:tc>
          <w:tcPr>
            <w:tcMar>
              <w:top w:type="dxa" w:w="80"/>
              <w:left w:type="dxa" w:w="120"/>
              <w:bottom w:type="dxa" w:w="80"/>
              <w:right w:type="dxa" w:w="120"/>
            </w:tcMar>
            <w:vAlign w:val="center"/>
          </w:tcPr>
          <w:p>
            <w:pPr>
              <w:pStyle w:val="MdTableCell"/>
              <w:jc w:val="right"/>
            </w:pPr>
            <w:r>
              <w:rPr>
                <w:rStyle w:val="MdCode"/>
                <w:u w:val="single"/>
              </w:rPr>
              <w:t xml:space="preserve">#E0D0B0</w:t>
            </w:r>
          </w:p>
        </w:tc>
        <w:tc>
          <w:tcPr>
            <w:tcBorders>
              <w:right w:val="none"/>
            </w:tcBorders>
            <w:tcMar>
              <w:top w:type="dxa" w:w="80"/>
              <w:left w:type="dxa" w:w="120"/>
              <w:bottom w:type="dxa" w:w="80"/>
              <w:right w:type="dxa" w:w="120"/>
            </w:tcMar>
            <w:vAlign w:val="center"/>
          </w:tcPr>
          <w:p>
            <w:pPr>
              <w:pStyle w:val="MdTableCell"/>
            </w:pPr>
            <w:r>
              <w:t xml:space="preserve">Subtle blocks, dividers, texture overlays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Primary Dark Accent</w:t>
            </w:r>
          </w:p>
        </w:tc>
        <w:tc>
          <w:tcPr>
            <w:tcMar>
              <w:top w:type="dxa" w:w="80"/>
              <w:left w:type="dxa" w:w="120"/>
              <w:bottom w:type="dxa" w:w="80"/>
              <w:right w:type="dxa" w:w="120"/>
            </w:tcMar>
            <w:vAlign w:val="center"/>
          </w:tcPr>
          <w:p>
            <w:pPr>
              <w:pStyle w:val="MdTableCell"/>
            </w:pPr>
            <w:r>
              <w:t xml:space="preserve">Heritage Olive</w:t>
            </w:r>
          </w:p>
        </w:tc>
        <w:tc>
          <w:tcPr>
            <w:tcMar>
              <w:top w:type="dxa" w:w="80"/>
              <w:left w:type="dxa" w:w="120"/>
              <w:bottom w:type="dxa" w:w="80"/>
              <w:right w:type="dxa" w:w="120"/>
            </w:tcMar>
            <w:vAlign w:val="center"/>
          </w:tcPr>
          <w:p>
            <w:pPr>
              <w:pStyle w:val="MdTableCell"/>
              <w:jc w:val="right"/>
            </w:pPr>
            <w:r>
              <w:rPr>
                <w:rStyle w:val="MdCode"/>
                <w:u w:val="single"/>
              </w:rPr>
              <w:t xml:space="preserve">#404020</w:t>
            </w:r>
          </w:p>
        </w:tc>
        <w:tc>
          <w:tcPr>
            <w:tcBorders>
              <w:right w:val="none"/>
            </w:tcBorders>
            <w:tcMar>
              <w:top w:type="dxa" w:w="80"/>
              <w:left w:type="dxa" w:w="120"/>
              <w:bottom w:type="dxa" w:w="80"/>
              <w:right w:type="dxa" w:w="120"/>
            </w:tcMar>
            <w:vAlign w:val="center"/>
          </w:tcPr>
          <w:p>
            <w:pPr>
              <w:pStyle w:val="MdTableCell"/>
            </w:pPr>
            <w:r>
              <w:t xml:space="preserve">Buttons, badges, framed labels, icon fills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Secondary Dark Accent</w:t>
            </w:r>
          </w:p>
        </w:tc>
        <w:tc>
          <w:tcPr>
            <w:tcMar>
              <w:top w:type="dxa" w:w="80"/>
              <w:left w:type="dxa" w:w="120"/>
              <w:bottom w:type="dxa" w:w="80"/>
              <w:right w:type="dxa" w:w="120"/>
            </w:tcMar>
            <w:vAlign w:val="center"/>
          </w:tcPr>
          <w:p>
            <w:pPr>
              <w:pStyle w:val="MdTableCell"/>
            </w:pPr>
            <w:r>
              <w:t xml:space="preserve">Deep Moss Bronze</w:t>
            </w:r>
          </w:p>
        </w:tc>
        <w:tc>
          <w:tcPr>
            <w:tcMar>
              <w:top w:type="dxa" w:w="80"/>
              <w:left w:type="dxa" w:w="120"/>
              <w:bottom w:type="dxa" w:w="80"/>
              <w:right w:type="dxa" w:w="120"/>
            </w:tcMar>
            <w:vAlign w:val="center"/>
          </w:tcPr>
          <w:p>
            <w:pPr>
              <w:pStyle w:val="MdTableCell"/>
              <w:jc w:val="right"/>
            </w:pPr>
            <w:r>
              <w:rPr>
                <w:rStyle w:val="MdCode"/>
                <w:u w:val="single"/>
              </w:rPr>
              <w:t xml:space="preserve">#505030</w:t>
            </w:r>
          </w:p>
        </w:tc>
        <w:tc>
          <w:tcPr>
            <w:tcBorders>
              <w:right w:val="none"/>
            </w:tcBorders>
            <w:tcMar>
              <w:top w:type="dxa" w:w="80"/>
              <w:left w:type="dxa" w:w="120"/>
              <w:bottom w:type="dxa" w:w="80"/>
              <w:right w:type="dxa" w:w="120"/>
            </w:tcMar>
            <w:vAlign w:val="center"/>
          </w:tcPr>
          <w:p>
            <w:pPr>
              <w:pStyle w:val="MdTableCell"/>
            </w:pPr>
            <w:r>
              <w:t xml:space="preserve">Hover states, outlines, ornamental fills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Primary Metallic Accent</w:t>
            </w:r>
          </w:p>
        </w:tc>
        <w:tc>
          <w:tcPr>
            <w:tcMar>
              <w:top w:type="dxa" w:w="80"/>
              <w:left w:type="dxa" w:w="120"/>
              <w:bottom w:type="dxa" w:w="80"/>
              <w:right w:type="dxa" w:w="120"/>
            </w:tcMar>
            <w:vAlign w:val="center"/>
          </w:tcPr>
          <w:p>
            <w:pPr>
              <w:pStyle w:val="MdTableCell"/>
            </w:pPr>
            <w:r>
              <w:t xml:space="preserve">Burnished Gold</w:t>
            </w:r>
          </w:p>
        </w:tc>
        <w:tc>
          <w:tcPr>
            <w:tcMar>
              <w:top w:type="dxa" w:w="80"/>
              <w:left w:type="dxa" w:w="120"/>
              <w:bottom w:type="dxa" w:w="80"/>
              <w:right w:type="dxa" w:w="120"/>
            </w:tcMar>
            <w:vAlign w:val="center"/>
          </w:tcPr>
          <w:p>
            <w:pPr>
              <w:pStyle w:val="MdTableCell"/>
              <w:jc w:val="right"/>
            </w:pPr>
            <w:r>
              <w:rPr>
                <w:rStyle w:val="MdCode"/>
                <w:u w:val="single"/>
              </w:rPr>
              <w:t xml:space="preserve">#C0A070</w:t>
            </w:r>
          </w:p>
        </w:tc>
        <w:tc>
          <w:tcPr>
            <w:tcBorders>
              <w:right w:val="none"/>
            </w:tcBorders>
            <w:tcMar>
              <w:top w:type="dxa" w:w="80"/>
              <w:left w:type="dxa" w:w="120"/>
              <w:bottom w:type="dxa" w:w="80"/>
              <w:right w:type="dxa" w:w="120"/>
            </w:tcMar>
            <w:vAlign w:val="center"/>
          </w:tcPr>
          <w:p>
            <w:pPr>
              <w:pStyle w:val="MdTableCell"/>
            </w:pPr>
            <w:r>
              <w:t xml:space="preserve">Headlines, monograms, borders, decorative rules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Secondary Metallic Accent</w:t>
            </w:r>
          </w:p>
        </w:tc>
        <w:tc>
          <w:tcPr>
            <w:tcMar>
              <w:top w:type="dxa" w:w="80"/>
              <w:left w:type="dxa" w:w="120"/>
              <w:bottom w:type="dxa" w:w="80"/>
              <w:right w:type="dxa" w:w="120"/>
            </w:tcMar>
            <w:vAlign w:val="center"/>
          </w:tcPr>
          <w:p>
            <w:pPr>
              <w:pStyle w:val="MdTableCell"/>
            </w:pPr>
            <w:r>
              <w:t xml:space="preserve">Warm Bronze</w:t>
            </w:r>
          </w:p>
        </w:tc>
        <w:tc>
          <w:tcPr>
            <w:tcMar>
              <w:top w:type="dxa" w:w="80"/>
              <w:left w:type="dxa" w:w="120"/>
              <w:bottom w:type="dxa" w:w="80"/>
              <w:right w:type="dxa" w:w="120"/>
            </w:tcMar>
            <w:vAlign w:val="center"/>
          </w:tcPr>
          <w:p>
            <w:pPr>
              <w:pStyle w:val="MdTableCell"/>
              <w:jc w:val="right"/>
            </w:pPr>
            <w:r>
              <w:rPr>
                <w:rStyle w:val="MdCode"/>
                <w:u w:val="single"/>
              </w:rPr>
              <w:t xml:space="preserve">#A09080</w:t>
            </w:r>
          </w:p>
        </w:tc>
        <w:tc>
          <w:tcPr>
            <w:tcBorders>
              <w:right w:val="none"/>
            </w:tcBorders>
            <w:tcMar>
              <w:top w:type="dxa" w:w="80"/>
              <w:left w:type="dxa" w:w="120"/>
              <w:bottom w:type="dxa" w:w="80"/>
              <w:right w:type="dxa" w:w="120"/>
            </w:tcMar>
            <w:vAlign w:val="center"/>
          </w:tcPr>
          <w:p>
            <w:pPr>
              <w:pStyle w:val="MdTableCell"/>
            </w:pPr>
            <w:r>
              <w:t xml:space="preserve">Supporting linework, stamp details, subtle icons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Text Dark</w:t>
            </w:r>
          </w:p>
        </w:tc>
        <w:tc>
          <w:tcPr>
            <w:tcMar>
              <w:top w:type="dxa" w:w="80"/>
              <w:left w:type="dxa" w:w="120"/>
              <w:bottom w:type="dxa" w:w="80"/>
              <w:right w:type="dxa" w:w="120"/>
            </w:tcMar>
            <w:vAlign w:val="center"/>
          </w:tcPr>
          <w:p>
            <w:pPr>
              <w:pStyle w:val="MdTableCell"/>
            </w:pPr>
            <w:r>
              <w:t xml:space="preserve">Charcoal Ink</w:t>
            </w:r>
          </w:p>
        </w:tc>
        <w:tc>
          <w:tcPr>
            <w:tcMar>
              <w:top w:type="dxa" w:w="80"/>
              <w:left w:type="dxa" w:w="120"/>
              <w:bottom w:type="dxa" w:w="80"/>
              <w:right w:type="dxa" w:w="120"/>
            </w:tcMar>
            <w:vAlign w:val="center"/>
          </w:tcPr>
          <w:p>
            <w:pPr>
              <w:pStyle w:val="MdTableCell"/>
              <w:jc w:val="right"/>
            </w:pPr>
            <w:r>
              <w:rPr>
                <w:rStyle w:val="MdCode"/>
                <w:u w:val="single"/>
              </w:rPr>
              <w:t xml:space="preserve">#303020</w:t>
            </w:r>
          </w:p>
        </w:tc>
        <w:tc>
          <w:tcPr>
            <w:tcBorders>
              <w:right w:val="none"/>
            </w:tcBorders>
            <w:tcMar>
              <w:top w:type="dxa" w:w="80"/>
              <w:left w:type="dxa" w:w="120"/>
              <w:bottom w:type="dxa" w:w="80"/>
              <w:right w:type="dxa" w:w="120"/>
            </w:tcMar>
            <w:vAlign w:val="center"/>
          </w:tcPr>
          <w:p>
            <w:pPr>
              <w:pStyle w:val="MdTableCell"/>
            </w:pPr>
            <w:r>
              <w:t xml:space="preserve">Body copy, high-contrast headings, legal text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Optional Glow Accent</w:t>
            </w:r>
          </w:p>
        </w:tc>
        <w:tc>
          <w:tcPr>
            <w:tcBorders>
              <w:bottom w:val="single" w:color="E1E4E8" w:sz="4"/>
            </w:tcBorders>
            <w:tcMar>
              <w:top w:type="dxa" w:w="80"/>
              <w:left w:type="dxa" w:w="120"/>
              <w:bottom w:type="dxa" w:w="80"/>
              <w:right w:type="dxa" w:w="120"/>
            </w:tcMar>
            <w:vAlign w:val="center"/>
          </w:tcPr>
          <w:p>
            <w:pPr>
              <w:pStyle w:val="MdTableCell"/>
            </w:pPr>
            <w:r>
              <w:t xml:space="preserve">Amber Light</w:t>
            </w:r>
          </w:p>
        </w:tc>
        <w:tc>
          <w:tcPr>
            <w:tcBorders>
              <w:bottom w:val="single" w:color="E1E4E8" w:sz="4"/>
            </w:tcBorders>
            <w:tcMar>
              <w:top w:type="dxa" w:w="80"/>
              <w:left w:type="dxa" w:w="120"/>
              <w:bottom w:type="dxa" w:w="80"/>
              <w:right w:type="dxa" w:w="120"/>
            </w:tcMar>
            <w:vAlign w:val="center"/>
          </w:tcPr>
          <w:p>
            <w:pPr>
              <w:pStyle w:val="MdTableCell"/>
              <w:jc w:val="right"/>
            </w:pPr>
            <w:r>
              <w:rPr>
                <w:rStyle w:val="MdCode"/>
                <w:u w:val="single"/>
              </w:rPr>
              <w:t xml:space="preserve">#F0D0B0</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Callouts, hover glow, illuminated highlights</w:t>
            </w:r>
          </w:p>
        </w:tc>
      </w:tr>
    </w:tbl>
    <w:p>
      <w:pPr>
        <w:pStyle w:val="Heading2"/>
        <w:pStyle w:val="MdHeading2"/>
      </w:pPr>
      <w:r>
        <w:t xml:space="preserve">Palette Application</w:t>
      </w:r>
    </w:p>
    <w:p>
      <w:pPr>
        <w:pStyle w:val="MdParagraph"/>
      </w:pPr>
      <w:r>
        <w:t xml:space="preserve">The most successful composition uses a </w:t>
      </w:r>
      <w:r>
        <w:rPr>
          <w:rStyle w:val="MdStrong"/>
          <w:b/>
          <w:bCs/>
        </w:rPr>
        <w:t xml:space="preserve">light parchment base</w:t>
      </w:r>
      <w:r>
        <w:t xml:space="preserve"> with </w:t>
      </w:r>
      <w:r>
        <w:rPr>
          <w:rStyle w:val="MdStrong"/>
          <w:b/>
          <w:bCs/>
        </w:rPr>
        <w:t xml:space="preserve">olive and bronze details</w:t>
      </w:r>
      <w:r>
        <w:t xml:space="preserve"> layered on top. For the website, large surfaces should stay quiet and warm, while the richer greens and metallic golds should be reserved for navigation accents, call-to-action buttons, section dividers, monograms, and decorative framing.</w:t>
      </w:r>
    </w:p>
    <w:p>
      <w:pPr>
        <w:pStyle w:val="MdSpace"/>
        <w:spacing w:before="0" w:after="60"/>
      </w:pPr>
    </w:p>
    <w:p>
      <w:pPr>
        <w:pStyle w:val="MdParagraph"/>
      </w:pPr>
      <w:r>
        <w:t xml:space="preserve">A practical ratio is shown below.</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Layer</w:t>
            </w:r>
          </w:p>
        </w:tc>
        <w:tc>
          <w:tcPr>
            <w:tcMar>
              <w:top w:type="dxa" w:w="100"/>
              <w:left w:type="dxa" w:w="120"/>
              <w:bottom w:type="dxa" w:w="100"/>
              <w:right w:type="dxa" w:w="120"/>
            </w:tcMar>
            <w:vAlign w:val="center"/>
          </w:tcPr>
          <w:p>
            <w:pPr>
              <w:pStyle w:val="MdTableHeader"/>
              <w:jc w:val="right"/>
            </w:pPr>
            <w:r>
              <w:t xml:space="preserve">Suggested Share</w:t>
            </w:r>
          </w:p>
        </w:tc>
        <w:tc>
          <w:tcPr>
            <w:tcBorders>
              <w:right w:val="none"/>
            </w:tcBorders>
            <w:tcMar>
              <w:top w:type="dxa" w:w="100"/>
              <w:left w:type="dxa" w:w="120"/>
              <w:bottom w:type="dxa" w:w="100"/>
              <w:right w:type="dxa" w:w="120"/>
            </w:tcMar>
            <w:vAlign w:val="center"/>
          </w:tcPr>
          <w:p>
            <w:pPr>
              <w:pStyle w:val="MdTableHeader"/>
            </w:pPr>
            <w:r>
              <w:t xml:space="preserve">Notes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Parchment / light neutrals</w:t>
            </w:r>
          </w:p>
        </w:tc>
        <w:tc>
          <w:tcPr>
            <w:tcMar>
              <w:top w:type="dxa" w:w="80"/>
              <w:left w:type="dxa" w:w="120"/>
              <w:bottom w:type="dxa" w:w="80"/>
              <w:right w:type="dxa" w:w="120"/>
            </w:tcMar>
            <w:vAlign w:val="center"/>
          </w:tcPr>
          <w:p>
            <w:pPr>
              <w:pStyle w:val="MdTableCell"/>
              <w:jc w:val="right"/>
            </w:pPr>
            <w:r>
              <w:t xml:space="preserve">65–75%</w:t>
            </w:r>
          </w:p>
        </w:tc>
        <w:tc>
          <w:tcPr>
            <w:tcBorders>
              <w:right w:val="none"/>
            </w:tcBorders>
            <w:tcMar>
              <w:top w:type="dxa" w:w="80"/>
              <w:left w:type="dxa" w:w="120"/>
              <w:bottom w:type="dxa" w:w="80"/>
              <w:right w:type="dxa" w:w="120"/>
            </w:tcMar>
            <w:vAlign w:val="center"/>
          </w:tcPr>
          <w:p>
            <w:pPr>
              <w:pStyle w:val="MdTableCell"/>
            </w:pPr>
            <w:r>
              <w:t xml:space="preserve">Keeps the brand airy, historic, and usable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Olive / moss darks</w:t>
            </w:r>
          </w:p>
        </w:tc>
        <w:tc>
          <w:tcPr>
            <w:tcMar>
              <w:top w:type="dxa" w:w="80"/>
              <w:left w:type="dxa" w:w="120"/>
              <w:bottom w:type="dxa" w:w="80"/>
              <w:right w:type="dxa" w:w="120"/>
            </w:tcMar>
            <w:vAlign w:val="center"/>
          </w:tcPr>
          <w:p>
            <w:pPr>
              <w:pStyle w:val="MdTableCell"/>
              <w:jc w:val="right"/>
            </w:pPr>
            <w:r>
              <w:t xml:space="preserve">15–20%</w:t>
            </w:r>
          </w:p>
        </w:tc>
        <w:tc>
          <w:tcPr>
            <w:tcBorders>
              <w:right w:val="none"/>
            </w:tcBorders>
            <w:tcMar>
              <w:top w:type="dxa" w:w="80"/>
              <w:left w:type="dxa" w:w="120"/>
              <w:bottom w:type="dxa" w:w="80"/>
              <w:right w:type="dxa" w:w="120"/>
            </w:tcMar>
            <w:vAlign w:val="center"/>
          </w:tcPr>
          <w:p>
            <w:pPr>
              <w:pStyle w:val="MdTableCell"/>
            </w:pPr>
            <w:r>
              <w:t xml:space="preserve">Grounds the design and adds contrast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Gold / bronze metallics</w:t>
            </w:r>
          </w:p>
        </w:tc>
        <w:tc>
          <w:tcPr>
            <w:tcBorders>
              <w:bottom w:val="single" w:color="E1E4E8" w:sz="4"/>
            </w:tcBorders>
            <w:tcMar>
              <w:top w:type="dxa" w:w="80"/>
              <w:left w:type="dxa" w:w="120"/>
              <w:bottom w:type="dxa" w:w="80"/>
              <w:right w:type="dxa" w:w="120"/>
            </w:tcMar>
            <w:vAlign w:val="center"/>
          </w:tcPr>
          <w:p>
            <w:pPr>
              <w:pStyle w:val="MdTableCell"/>
              <w:jc w:val="right"/>
            </w:pPr>
            <w:r>
              <w:t xml:space="preserve">10–15%</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Adds luxury, warmth, and signature character</w:t>
            </w:r>
          </w:p>
        </w:tc>
      </w:tr>
    </w:tbl>
    <w:p>
      <w:pPr>
        <w:pStyle w:val="Heading2"/>
        <w:pStyle w:val="MdHeading2"/>
      </w:pPr>
      <w:r>
        <w:t xml:space="preserve">Font Guide</w:t>
      </w:r>
    </w:p>
    <w:p>
      <w:pPr>
        <w:pStyle w:val="MdParagraph"/>
      </w:pPr>
      <w:r>
        <w:t xml:space="preserve">The logo art suggests a mix of </w:t>
      </w:r>
      <w:r>
        <w:rPr>
          <w:rStyle w:val="MdStrong"/>
          <w:b/>
          <w:bCs/>
        </w:rPr>
        <w:t xml:space="preserve">ornamental display serif</w:t>
      </w:r>
      <w:r>
        <w:t xml:space="preserve">, </w:t>
      </w:r>
      <w:r>
        <w:rPr>
          <w:rStyle w:val="MdStrong"/>
          <w:b/>
          <w:bCs/>
        </w:rPr>
        <w:t xml:space="preserve">clean condensed capitals</w:t>
      </w:r>
      <w:r>
        <w:t xml:space="preserve">, and </w:t>
      </w:r>
      <w:r>
        <w:rPr>
          <w:rStyle w:val="MdStrong"/>
          <w:b/>
          <w:bCs/>
        </w:rPr>
        <w:t xml:space="preserve">select historic script accents</w:t>
      </w:r>
      <w:r>
        <w:t xml:space="preserve">. Because the existing marks appear custom or hand-finished, the recommendations below are intended as the </w:t>
      </w:r>
      <w:r>
        <w:rPr>
          <w:rStyle w:val="MdStrong"/>
          <w:b/>
          <w:bCs/>
        </w:rPr>
        <w:t xml:space="preserve">closest usable website system</w:t>
      </w:r>
      <w:r>
        <w:t xml:space="preserve">, not exact logo reconstruction.</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Purpose</w:t>
            </w:r>
          </w:p>
        </w:tc>
        <w:tc>
          <w:tcPr>
            <w:tcMar>
              <w:top w:type="dxa" w:w="100"/>
              <w:left w:type="dxa" w:w="120"/>
              <w:bottom w:type="dxa" w:w="100"/>
              <w:right w:type="dxa" w:w="120"/>
            </w:tcMar>
            <w:vAlign w:val="center"/>
          </w:tcPr>
          <w:p>
            <w:pPr>
              <w:pStyle w:val="MdTableHeader"/>
            </w:pPr>
            <w:r>
              <w:t xml:space="preserve">Recommended Font</w:t>
            </w:r>
          </w:p>
        </w:tc>
        <w:tc>
          <w:tcPr>
            <w:tcMar>
              <w:top w:type="dxa" w:w="100"/>
              <w:left w:type="dxa" w:w="120"/>
              <w:bottom w:type="dxa" w:w="100"/>
              <w:right w:type="dxa" w:w="120"/>
            </w:tcMar>
            <w:vAlign w:val="center"/>
          </w:tcPr>
          <w:p>
            <w:pPr>
              <w:pStyle w:val="MdTableHeader"/>
            </w:pPr>
            <w:r>
              <w:t xml:space="preserve">Style Notes</w:t>
            </w:r>
          </w:p>
        </w:tc>
        <w:tc>
          <w:tcPr>
            <w:tcBorders>
              <w:right w:val="none"/>
            </w:tcBorders>
            <w:tcMar>
              <w:top w:type="dxa" w:w="100"/>
              <w:left w:type="dxa" w:w="120"/>
              <w:bottom w:type="dxa" w:w="100"/>
              <w:right w:type="dxa" w:w="120"/>
            </w:tcMar>
            <w:vAlign w:val="center"/>
          </w:tcPr>
          <w:p>
            <w:pPr>
              <w:pStyle w:val="MdTableHeader"/>
            </w:pPr>
            <w:r>
              <w:t xml:space="preserve">Best Use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Primary Display</w:t>
            </w:r>
          </w:p>
        </w:tc>
        <w:tc>
          <w:tcPr>
            <w:tcMar>
              <w:top w:type="dxa" w:w="80"/>
              <w:left w:type="dxa" w:w="120"/>
              <w:bottom w:type="dxa" w:w="80"/>
              <w:right w:type="dxa" w:w="120"/>
            </w:tcMar>
            <w:vAlign w:val="center"/>
          </w:tcPr>
          <w:p>
            <w:pPr>
              <w:pStyle w:val="MdTableCell"/>
            </w:pPr>
            <w:r>
              <w:rPr>
                <w:rStyle w:val="MdStrong"/>
                <w:b/>
                <w:bCs/>
              </w:rPr>
              <w:t xml:space="preserve">Cormorant Garamond</w:t>
            </w:r>
          </w:p>
        </w:tc>
        <w:tc>
          <w:tcPr>
            <w:tcMar>
              <w:top w:type="dxa" w:w="80"/>
              <w:left w:type="dxa" w:w="120"/>
              <w:bottom w:type="dxa" w:w="80"/>
              <w:right w:type="dxa" w:w="120"/>
            </w:tcMar>
            <w:vAlign w:val="center"/>
          </w:tcPr>
          <w:p>
            <w:pPr>
              <w:pStyle w:val="MdTableCell"/>
            </w:pPr>
            <w:r>
              <w:t xml:space="preserve">Elegant, historic, high-contrast serif</w:t>
            </w:r>
          </w:p>
        </w:tc>
        <w:tc>
          <w:tcPr>
            <w:tcBorders>
              <w:right w:val="none"/>
            </w:tcBorders>
            <w:tcMar>
              <w:top w:type="dxa" w:w="80"/>
              <w:left w:type="dxa" w:w="120"/>
              <w:bottom w:type="dxa" w:w="80"/>
              <w:right w:type="dxa" w:w="120"/>
            </w:tcMar>
            <w:vAlign w:val="center"/>
          </w:tcPr>
          <w:p>
            <w:pPr>
              <w:pStyle w:val="MdTableCell"/>
            </w:pPr>
            <w:r>
              <w:t xml:space="preserve">Large headings, hero titles, editorial sections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Alternate Display</w:t>
            </w:r>
          </w:p>
        </w:tc>
        <w:tc>
          <w:tcPr>
            <w:tcMar>
              <w:top w:type="dxa" w:w="80"/>
              <w:left w:type="dxa" w:w="120"/>
              <w:bottom w:type="dxa" w:w="80"/>
              <w:right w:type="dxa" w:w="120"/>
            </w:tcMar>
            <w:vAlign w:val="center"/>
          </w:tcPr>
          <w:p>
            <w:pPr>
              <w:pStyle w:val="MdTableCell"/>
            </w:pPr>
            <w:r>
              <w:rPr>
                <w:rStyle w:val="MdStrong"/>
                <w:b/>
                <w:bCs/>
              </w:rPr>
              <w:t xml:space="preserve">Cinzel</w:t>
            </w:r>
          </w:p>
        </w:tc>
        <w:tc>
          <w:tcPr>
            <w:tcMar>
              <w:top w:type="dxa" w:w="80"/>
              <w:left w:type="dxa" w:w="120"/>
              <w:bottom w:type="dxa" w:w="80"/>
              <w:right w:type="dxa" w:w="120"/>
            </w:tcMar>
            <w:vAlign w:val="center"/>
          </w:tcPr>
          <w:p>
            <w:pPr>
              <w:pStyle w:val="MdTableCell"/>
            </w:pPr>
            <w:r>
              <w:t xml:space="preserve">Monumental Roman-inspired capitals</w:t>
            </w:r>
          </w:p>
        </w:tc>
        <w:tc>
          <w:tcPr>
            <w:tcBorders>
              <w:right w:val="none"/>
            </w:tcBorders>
            <w:tcMar>
              <w:top w:type="dxa" w:w="80"/>
              <w:left w:type="dxa" w:w="120"/>
              <w:bottom w:type="dxa" w:w="80"/>
              <w:right w:type="dxa" w:w="120"/>
            </w:tcMar>
            <w:vAlign w:val="center"/>
          </w:tcPr>
          <w:p>
            <w:pPr>
              <w:pStyle w:val="MdTableCell"/>
            </w:pPr>
            <w:r>
              <w:t xml:space="preserve">Navigation titles, badges, section headers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Secondary Sans</w:t>
            </w:r>
          </w:p>
        </w:tc>
        <w:tc>
          <w:tcPr>
            <w:tcMar>
              <w:top w:type="dxa" w:w="80"/>
              <w:left w:type="dxa" w:w="120"/>
              <w:bottom w:type="dxa" w:w="80"/>
              <w:right w:type="dxa" w:w="120"/>
            </w:tcMar>
            <w:vAlign w:val="center"/>
          </w:tcPr>
          <w:p>
            <w:pPr>
              <w:pStyle w:val="MdTableCell"/>
            </w:pPr>
            <w:r>
              <w:rPr>
                <w:rStyle w:val="MdStrong"/>
                <w:b/>
                <w:bCs/>
              </w:rPr>
              <w:t xml:space="preserve">Oswald</w:t>
            </w:r>
          </w:p>
        </w:tc>
        <w:tc>
          <w:tcPr>
            <w:tcMar>
              <w:top w:type="dxa" w:w="80"/>
              <w:left w:type="dxa" w:w="120"/>
              <w:bottom w:type="dxa" w:w="80"/>
              <w:right w:type="dxa" w:w="120"/>
            </w:tcMar>
            <w:vAlign w:val="center"/>
          </w:tcPr>
          <w:p>
            <w:pPr>
              <w:pStyle w:val="MdTableCell"/>
            </w:pPr>
            <w:r>
              <w:t xml:space="preserve">Tall condensed sans with signage energy</w:t>
            </w:r>
          </w:p>
        </w:tc>
        <w:tc>
          <w:tcPr>
            <w:tcBorders>
              <w:right w:val="none"/>
            </w:tcBorders>
            <w:tcMar>
              <w:top w:type="dxa" w:w="80"/>
              <w:left w:type="dxa" w:w="120"/>
              <w:bottom w:type="dxa" w:w="80"/>
              <w:right w:type="dxa" w:w="120"/>
            </w:tcMar>
            <w:vAlign w:val="center"/>
          </w:tcPr>
          <w:p>
            <w:pPr>
              <w:pStyle w:val="MdTableCell"/>
            </w:pPr>
            <w:r>
              <w:t xml:space="preserve">Labels, buttons, utility headings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Body Copy</w:t>
            </w:r>
          </w:p>
        </w:tc>
        <w:tc>
          <w:tcPr>
            <w:tcMar>
              <w:top w:type="dxa" w:w="80"/>
              <w:left w:type="dxa" w:w="120"/>
              <w:bottom w:type="dxa" w:w="80"/>
              <w:right w:type="dxa" w:w="120"/>
            </w:tcMar>
            <w:vAlign w:val="center"/>
          </w:tcPr>
          <w:p>
            <w:pPr>
              <w:pStyle w:val="MdTableCell"/>
            </w:pPr>
            <w:r>
              <w:rPr>
                <w:rStyle w:val="MdStrong"/>
                <w:b/>
                <w:bCs/>
              </w:rPr>
              <w:t xml:space="preserve">Inter</w:t>
            </w:r>
          </w:p>
        </w:tc>
        <w:tc>
          <w:tcPr>
            <w:tcMar>
              <w:top w:type="dxa" w:w="80"/>
              <w:left w:type="dxa" w:w="120"/>
              <w:bottom w:type="dxa" w:w="80"/>
              <w:right w:type="dxa" w:w="120"/>
            </w:tcMar>
            <w:vAlign w:val="center"/>
          </w:tcPr>
          <w:p>
            <w:pPr>
              <w:pStyle w:val="MdTableCell"/>
            </w:pPr>
            <w:r>
              <w:t xml:space="preserve">Clean and readable without feeling generic</w:t>
            </w:r>
          </w:p>
        </w:tc>
        <w:tc>
          <w:tcPr>
            <w:tcBorders>
              <w:right w:val="none"/>
            </w:tcBorders>
            <w:tcMar>
              <w:top w:type="dxa" w:w="80"/>
              <w:left w:type="dxa" w:w="120"/>
              <w:bottom w:type="dxa" w:w="80"/>
              <w:right w:type="dxa" w:w="120"/>
            </w:tcMar>
            <w:vAlign w:val="center"/>
          </w:tcPr>
          <w:p>
            <w:pPr>
              <w:pStyle w:val="MdTableCell"/>
            </w:pPr>
            <w:r>
              <w:t xml:space="preserve">Paragraph text, UI, forms, mobile readability</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Script Accent</w:t>
            </w:r>
          </w:p>
        </w:tc>
        <w:tc>
          <w:tcPr>
            <w:tcBorders>
              <w:bottom w:val="single" w:color="E1E4E8" w:sz="4"/>
            </w:tcBorders>
            <w:tcMar>
              <w:top w:type="dxa" w:w="80"/>
              <w:left w:type="dxa" w:w="120"/>
              <w:bottom w:type="dxa" w:w="80"/>
              <w:right w:type="dxa" w:w="120"/>
            </w:tcMar>
            <w:vAlign w:val="center"/>
          </w:tcPr>
          <w:p>
            <w:pPr>
              <w:pStyle w:val="MdTableCell"/>
            </w:pPr>
            <w:r>
              <w:rPr>
                <w:rStyle w:val="MdStrong"/>
                <w:b/>
                <w:bCs/>
              </w:rPr>
              <w:t xml:space="preserve">Allura</w:t>
            </w:r>
            <w:r>
              <w:t xml:space="preserve"> or </w:t>
            </w:r>
            <w:r>
              <w:rPr>
                <w:rStyle w:val="MdStrong"/>
                <w:b/>
                <w:bCs/>
              </w:rPr>
              <w:t xml:space="preserve">Cormorant Garamond Italic</w:t>
            </w:r>
          </w:p>
        </w:tc>
        <w:tc>
          <w:tcPr>
            <w:tcBorders>
              <w:bottom w:val="single" w:color="E1E4E8" w:sz="4"/>
            </w:tcBorders>
            <w:tcMar>
              <w:top w:type="dxa" w:w="80"/>
              <w:left w:type="dxa" w:w="120"/>
              <w:bottom w:type="dxa" w:w="80"/>
              <w:right w:type="dxa" w:w="120"/>
            </w:tcMar>
            <w:vAlign w:val="center"/>
          </w:tcPr>
          <w:p>
            <w:pPr>
              <w:pStyle w:val="MdTableCell"/>
            </w:pPr>
            <w:r>
              <w:t xml:space="preserve">Soft historic flourish</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Short phrases, emphasis, hospitality moments</w:t>
            </w:r>
          </w:p>
        </w:tc>
      </w:tr>
    </w:tbl>
    <w:p>
      <w:pPr>
        <w:pStyle w:val="Heading2"/>
        <w:pStyle w:val="MdHeading2"/>
      </w:pPr>
      <w:r>
        <w:t xml:space="preserve">Recommended Website Pairings</w:t>
      </w:r>
    </w:p>
    <w:p>
      <w:pPr>
        <w:pStyle w:val="MdParagraph"/>
      </w:pPr>
      <w:r>
        <w:t xml:space="preserve">These pairings will keep the site cohesive and easy to implement.</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Pairing</w:t>
            </w:r>
          </w:p>
        </w:tc>
        <w:tc>
          <w:tcPr>
            <w:tcMar>
              <w:top w:type="dxa" w:w="100"/>
              <w:left w:type="dxa" w:w="120"/>
              <w:bottom w:type="dxa" w:w="100"/>
              <w:right w:type="dxa" w:w="120"/>
            </w:tcMar>
            <w:vAlign w:val="center"/>
          </w:tcPr>
          <w:p>
            <w:pPr>
              <w:pStyle w:val="MdTableHeader"/>
            </w:pPr>
            <w:r>
              <w:t xml:space="preserve">Heading</w:t>
            </w:r>
          </w:p>
        </w:tc>
        <w:tc>
          <w:tcPr>
            <w:tcMar>
              <w:top w:type="dxa" w:w="100"/>
              <w:left w:type="dxa" w:w="120"/>
              <w:bottom w:type="dxa" w:w="100"/>
              <w:right w:type="dxa" w:w="120"/>
            </w:tcMar>
            <w:vAlign w:val="center"/>
          </w:tcPr>
          <w:p>
            <w:pPr>
              <w:pStyle w:val="MdTableHeader"/>
            </w:pPr>
            <w:r>
              <w:t xml:space="preserve">Body</w:t>
            </w:r>
          </w:p>
        </w:tc>
        <w:tc>
          <w:tcPr>
            <w:tcBorders>
              <w:right w:val="none"/>
            </w:tcBorders>
            <w:tcMar>
              <w:top w:type="dxa" w:w="100"/>
              <w:left w:type="dxa" w:w="120"/>
              <w:bottom w:type="dxa" w:w="100"/>
              <w:right w:type="dxa" w:w="120"/>
            </w:tcMar>
            <w:vAlign w:val="center"/>
          </w:tcPr>
          <w:p>
            <w:pPr>
              <w:pStyle w:val="MdTableHeader"/>
            </w:pPr>
            <w:r>
              <w:t xml:space="preserve">Accent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Recommended Main System</w:t>
            </w:r>
          </w:p>
        </w:tc>
        <w:tc>
          <w:tcPr>
            <w:tcMar>
              <w:top w:type="dxa" w:w="80"/>
              <w:left w:type="dxa" w:w="120"/>
              <w:bottom w:type="dxa" w:w="80"/>
              <w:right w:type="dxa" w:w="120"/>
            </w:tcMar>
            <w:vAlign w:val="center"/>
          </w:tcPr>
          <w:p>
            <w:pPr>
              <w:pStyle w:val="MdTableCell"/>
            </w:pPr>
            <w:r>
              <w:t xml:space="preserve">Cormorant Garamond</w:t>
            </w:r>
          </w:p>
        </w:tc>
        <w:tc>
          <w:tcPr>
            <w:tcMar>
              <w:top w:type="dxa" w:w="80"/>
              <w:left w:type="dxa" w:w="120"/>
              <w:bottom w:type="dxa" w:w="80"/>
              <w:right w:type="dxa" w:w="120"/>
            </w:tcMar>
            <w:vAlign w:val="center"/>
          </w:tcPr>
          <w:p>
            <w:pPr>
              <w:pStyle w:val="MdTableCell"/>
            </w:pPr>
            <w:r>
              <w:t xml:space="preserve">Inter</w:t>
            </w:r>
          </w:p>
        </w:tc>
        <w:tc>
          <w:tcPr>
            <w:tcBorders>
              <w:right w:val="none"/>
            </w:tcBorders>
            <w:tcMar>
              <w:top w:type="dxa" w:w="80"/>
              <w:left w:type="dxa" w:w="120"/>
              <w:bottom w:type="dxa" w:w="80"/>
              <w:right w:type="dxa" w:w="120"/>
            </w:tcMar>
            <w:vAlign w:val="center"/>
          </w:tcPr>
          <w:p>
            <w:pPr>
              <w:pStyle w:val="MdTableCell"/>
            </w:pPr>
            <w:r>
              <w:t xml:space="preserve">Oswald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More Formal / Heritage</w:t>
            </w:r>
          </w:p>
        </w:tc>
        <w:tc>
          <w:tcPr>
            <w:tcMar>
              <w:top w:type="dxa" w:w="80"/>
              <w:left w:type="dxa" w:w="120"/>
              <w:bottom w:type="dxa" w:w="80"/>
              <w:right w:type="dxa" w:w="120"/>
            </w:tcMar>
            <w:vAlign w:val="center"/>
          </w:tcPr>
          <w:p>
            <w:pPr>
              <w:pStyle w:val="MdTableCell"/>
            </w:pPr>
            <w:r>
              <w:t xml:space="preserve">Cinzel</w:t>
            </w:r>
          </w:p>
        </w:tc>
        <w:tc>
          <w:tcPr>
            <w:tcMar>
              <w:top w:type="dxa" w:w="80"/>
              <w:left w:type="dxa" w:w="120"/>
              <w:bottom w:type="dxa" w:w="80"/>
              <w:right w:type="dxa" w:w="120"/>
            </w:tcMar>
            <w:vAlign w:val="center"/>
          </w:tcPr>
          <w:p>
            <w:pPr>
              <w:pStyle w:val="MdTableCell"/>
            </w:pPr>
            <w:r>
              <w:t xml:space="preserve">Inter</w:t>
            </w:r>
          </w:p>
        </w:tc>
        <w:tc>
          <w:tcPr>
            <w:tcBorders>
              <w:right w:val="none"/>
            </w:tcBorders>
            <w:tcMar>
              <w:top w:type="dxa" w:w="80"/>
              <w:left w:type="dxa" w:w="120"/>
              <w:bottom w:type="dxa" w:w="80"/>
              <w:right w:type="dxa" w:w="120"/>
            </w:tcMar>
            <w:vAlign w:val="center"/>
          </w:tcPr>
          <w:p>
            <w:pPr>
              <w:pStyle w:val="MdTableCell"/>
            </w:pPr>
            <w:r>
              <w:t xml:space="preserve">Cormorant Garamond Italic</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More Boutique / Romantic</w:t>
            </w:r>
          </w:p>
        </w:tc>
        <w:tc>
          <w:tcPr>
            <w:tcBorders>
              <w:bottom w:val="single" w:color="E1E4E8" w:sz="4"/>
            </w:tcBorders>
            <w:tcMar>
              <w:top w:type="dxa" w:w="80"/>
              <w:left w:type="dxa" w:w="120"/>
              <w:bottom w:type="dxa" w:w="80"/>
              <w:right w:type="dxa" w:w="120"/>
            </w:tcMar>
            <w:vAlign w:val="center"/>
          </w:tcPr>
          <w:p>
            <w:pPr>
              <w:pStyle w:val="MdTableCell"/>
            </w:pPr>
            <w:r>
              <w:t xml:space="preserve">Cormorant Garamond</w:t>
            </w:r>
          </w:p>
        </w:tc>
        <w:tc>
          <w:tcPr>
            <w:tcBorders>
              <w:bottom w:val="single" w:color="E1E4E8" w:sz="4"/>
            </w:tcBorders>
            <w:tcMar>
              <w:top w:type="dxa" w:w="80"/>
              <w:left w:type="dxa" w:w="120"/>
              <w:bottom w:type="dxa" w:w="80"/>
              <w:right w:type="dxa" w:w="120"/>
            </w:tcMar>
            <w:vAlign w:val="center"/>
          </w:tcPr>
          <w:p>
            <w:pPr>
              <w:pStyle w:val="MdTableCell"/>
            </w:pPr>
            <w:r>
              <w:t xml:space="preserve">Inter</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Allura</w:t>
            </w:r>
          </w:p>
        </w:tc>
      </w:tr>
    </w:tbl>
    <w:p>
      <w:pPr>
        <w:pStyle w:val="Heading2"/>
        <w:pStyle w:val="MdHeading2"/>
      </w:pPr>
      <w:r>
        <w:t xml:space="preserve">Styling Notes</w:t>
      </w:r>
    </w:p>
    <w:p>
      <w:pPr>
        <w:pStyle w:val="MdParagraph"/>
      </w:pPr>
      <w:r>
        <w:t xml:space="preserve">The strongest expression of the brand comes from </w:t>
      </w:r>
      <w:r>
        <w:rPr>
          <w:rStyle w:val="MdStrong"/>
          <w:b/>
          <w:bCs/>
        </w:rPr>
        <w:t xml:space="preserve">contrast in texture and typography</w:t>
      </w:r>
      <w:r>
        <w:t xml:space="preserve">, not from excessive effects. Gold should feel </w:t>
      </w:r>
      <w:r>
        <w:rPr>
          <w:rStyle w:val="MdStrong"/>
          <w:b/>
          <w:bCs/>
        </w:rPr>
        <w:t xml:space="preserve">burnished and heritage-rich</w:t>
      </w:r>
      <w:r>
        <w:t xml:space="preserve">, not bright yellow. Greens should feel </w:t>
      </w:r>
      <w:r>
        <w:rPr>
          <w:rStyle w:val="MdStrong"/>
          <w:b/>
          <w:bCs/>
        </w:rPr>
        <w:t xml:space="preserve">deep, architectural, and muted</w:t>
      </w:r>
      <w:r>
        <w:t xml:space="preserve">, not fresh or playful. Scripts should be used sparingly so they remain special.</w:t>
      </w:r>
    </w:p>
    <w:p>
      <w:pPr>
        <w:pStyle w:val="MdSpace"/>
        <w:spacing w:before="0" w:after="60"/>
      </w:pPr>
    </w:p>
    <w:p>
      <w:pPr>
        <w:pStyle w:val="MdParagraph"/>
      </w:pPr>
      <w:r>
        <w:t xml:space="preserve">For buttons and badges, a strong combination is </w:t>
      </w:r>
      <w:r>
        <w:rPr>
          <w:rStyle w:val="MdStrong"/>
          <w:b/>
          <w:bCs/>
        </w:rPr>
        <w:t xml:space="preserve">Heritage Olive</w:t>
      </w:r>
      <w:r>
        <w:t xml:space="preserve"> background with </w:t>
      </w:r>
      <w:r>
        <w:rPr>
          <w:rStyle w:val="MdStrong"/>
          <w:b/>
          <w:bCs/>
        </w:rPr>
        <w:t xml:space="preserve">Burnished Gold</w:t>
      </w:r>
      <w:r>
        <w:t xml:space="preserve"> text or border. For hero sections, </w:t>
      </w:r>
      <w:r>
        <w:rPr>
          <w:rStyle w:val="MdStrong"/>
          <w:b/>
          <w:bCs/>
        </w:rPr>
        <w:t xml:space="preserve">Parchment Cream</w:t>
      </w:r>
      <w:r>
        <w:t xml:space="preserve"> with dark olive framing and selective amber-gold highlights will preserve the luxury historic mood while remaining highly readable.</w:t>
      </w:r>
    </w:p>
    <w:p>
      <w:pPr>
        <w:pStyle w:val="MdSpace"/>
        <w:spacing w:before="0" w:after="60"/>
      </w:pPr>
    </w:p>
    <w:p>
      <w:pPr>
        <w:pStyle w:val="Heading2"/>
        <w:pStyle w:val="MdHeading2"/>
      </w:pPr>
      <w:r>
        <w:t xml:space="preserve">Starter CSS Variables</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:root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--bsq-parchment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#F0E0D0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--bsq-linen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#F0E0C0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--bsq-aged-gold-wash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#E0D0B0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--bsq-heritage-olive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#404020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--bsq-deep-moss-bronze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#505030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--bsq-burnished-gold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#C0A070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--bsq-warm-bronze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#A09080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--bsq-charcoal-ink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#303020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--bsq-amber-light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#F0D0B0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2"/>
        <w:pStyle w:val="MdHeading2"/>
      </w:pPr>
      <w:r>
        <w:t xml:space="preserve">Final Recommendation</w:t>
      </w:r>
    </w:p>
    <w:p>
      <w:pPr>
        <w:pStyle w:val="MdParagraph"/>
      </w:pPr>
      <w:r>
        <w:t xml:space="preserve">If you want the brand to feel the most premium and distinctive, I would use </w:t>
      </w:r>
      <w:r>
        <w:rPr>
          <w:rStyle w:val="MdStrong"/>
          <w:b/>
          <w:bCs/>
        </w:rPr>
        <w:t xml:space="preserve">Cormorant Garamond + Inter + Oswald</w:t>
      </w:r>
      <w:r>
        <w:t xml:space="preserve"> as the working website system, with </w:t>
      </w:r>
      <w:r>
        <w:rPr>
          <w:rStyle w:val="MdStrong"/>
          <w:b/>
          <w:bCs/>
        </w:rPr>
        <w:t xml:space="preserve">Parchment Cream</w:t>
      </w:r>
      <w:r>
        <w:t xml:space="preserve">, </w:t>
      </w:r>
      <w:r>
        <w:rPr>
          <w:rStyle w:val="MdStrong"/>
          <w:b/>
          <w:bCs/>
        </w:rPr>
        <w:t xml:space="preserve">Heritage Olive</w:t>
      </w:r>
      <w:r>
        <w:t xml:space="preserve">, and </w:t>
      </w:r>
      <w:r>
        <w:rPr>
          <w:rStyle w:val="MdStrong"/>
          <w:b/>
          <w:bCs/>
        </w:rPr>
        <w:t xml:space="preserve">Burnished Gold</w:t>
      </w:r>
      <w:r>
        <w:t xml:space="preserve"> as the core identity trio. That combination stays closest to the recolored artwork while remaining practical for a real website.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2026-04-17T16:28:25.377Z</dcterms:created>
  <dcterms:modified xsi:type="dcterms:W3CDTF">2026-04-17T16:28:25.377Z</dcterms:modified>
</cp:coreProperties>
</file>

<file path=docProps/custom.xml><?xml version="1.0" encoding="utf-8"?>
<Properties xmlns="http://schemas.openxmlformats.org/officeDocument/2006/custom-properties" xmlns:vt="http://schemas.openxmlformats.org/officeDocument/2006/docPropsVTypes"/>
</file>