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E0C6F" w14:textId="77777777" w:rsidR="00896F7D" w:rsidRDefault="00896F7D" w:rsidP="00896F7D">
      <w:pPr>
        <w:pStyle w:val="Title"/>
        <w:jc w:val="center"/>
        <w:rPr>
          <w:sz w:val="40"/>
          <w:szCs w:val="48"/>
        </w:rPr>
      </w:pPr>
      <w:r>
        <w:rPr>
          <w:sz w:val="40"/>
          <w:szCs w:val="48"/>
        </w:rPr>
        <w:t>Applied Data Science Capstone Final Report</w:t>
      </w:r>
    </w:p>
    <w:p w14:paraId="14B5EB53" w14:textId="171FBFD0" w:rsidR="00F12804" w:rsidRDefault="00896F7D" w:rsidP="00896F7D">
      <w:pPr>
        <w:pStyle w:val="Title"/>
        <w:jc w:val="center"/>
        <w:rPr>
          <w:sz w:val="40"/>
          <w:szCs w:val="48"/>
        </w:rPr>
      </w:pPr>
      <w:r>
        <w:rPr>
          <w:sz w:val="40"/>
          <w:szCs w:val="48"/>
        </w:rPr>
        <w:t xml:space="preserve"> </w:t>
      </w:r>
    </w:p>
    <w:p w14:paraId="380E5EF6" w14:textId="7CB3D381" w:rsidR="00896F7D" w:rsidRDefault="00896F7D" w:rsidP="00896F7D">
      <w:pPr>
        <w:rPr>
          <w:sz w:val="28"/>
          <w:szCs w:val="28"/>
        </w:rPr>
      </w:pPr>
      <w:r>
        <w:rPr>
          <w:sz w:val="28"/>
          <w:szCs w:val="28"/>
        </w:rPr>
        <w:t>Introduction</w:t>
      </w:r>
    </w:p>
    <w:p w14:paraId="2838529E" w14:textId="43618597" w:rsidR="00896F7D" w:rsidRDefault="0089218C" w:rsidP="0089218C">
      <w:pPr>
        <w:spacing w:line="300" w:lineRule="auto"/>
        <w:jc w:val="both"/>
      </w:pPr>
      <w:r>
        <w:t xml:space="preserve">Arguably the most prominent issue at the intersection of transport and public health is that of poor air quality in municipalities with high levels of motorized vehicle usage. While this is indeed an important component of the larger discussion surrounding climate change, another negative consequence of ‘car dominance’ in the transportation network is the alarming levels of injuries and fatalities due to </w:t>
      </w:r>
      <w:r w:rsidR="00461ECF">
        <w:t>vehicle-vehicle and vehicle-person</w:t>
      </w:r>
      <w:r>
        <w:t xml:space="preserve"> collisions.</w:t>
      </w:r>
    </w:p>
    <w:p w14:paraId="0B6DD040" w14:textId="11C2A246" w:rsidR="0089218C" w:rsidRDefault="0089218C" w:rsidP="0089218C">
      <w:pPr>
        <w:spacing w:line="300" w:lineRule="auto"/>
        <w:jc w:val="both"/>
      </w:pPr>
      <w:r>
        <w:t>In response to this growing crisis, cities and countries across the globe have pledged themselves t</w:t>
      </w:r>
      <w:r w:rsidR="000D0AF7">
        <w:t>o</w:t>
      </w:r>
      <w:r>
        <w:t xml:space="preserve"> </w:t>
      </w:r>
      <w:r w:rsidR="00461ECF">
        <w:t>shift</w:t>
      </w:r>
      <w:r w:rsidR="000D0AF7">
        <w:t>ing</w:t>
      </w:r>
      <w:r w:rsidR="00461ECF">
        <w:t xml:space="preserve"> the prevailing norm around traffic safety from the </w:t>
      </w:r>
      <w:r w:rsidR="00461ECF">
        <w:rPr>
          <w:i/>
          <w:iCs/>
        </w:rPr>
        <w:t>inevitability</w:t>
      </w:r>
      <w:r w:rsidR="00461ECF">
        <w:t xml:space="preserve"> of deaths to their </w:t>
      </w:r>
      <w:r w:rsidR="00461ECF">
        <w:rPr>
          <w:i/>
          <w:iCs/>
        </w:rPr>
        <w:t>preventability</w:t>
      </w:r>
      <w:r w:rsidR="00461ECF">
        <w:t>.</w:t>
      </w:r>
      <w:r w:rsidR="00461ECF">
        <w:rPr>
          <w:rStyle w:val="FootnoteReference"/>
        </w:rPr>
        <w:footnoteReference w:id="1"/>
      </w:r>
      <w:r w:rsidR="00461ECF">
        <w:t xml:space="preserve"> </w:t>
      </w:r>
      <w:r w:rsidR="000D0AF7">
        <w:t>This mission, which originates from Sweden</w:t>
      </w:r>
      <w:r w:rsidR="00461ECF">
        <w:t xml:space="preserve"> </w:t>
      </w:r>
      <w:r w:rsidR="000D0AF7">
        <w:t>during</w:t>
      </w:r>
      <w:r w:rsidR="00461ECF">
        <w:t xml:space="preserve"> the 1990s,</w:t>
      </w:r>
      <w:r w:rsidR="000D0AF7">
        <w:t xml:space="preserve"> is known as</w:t>
      </w:r>
      <w:r w:rsidR="00461ECF">
        <w:t xml:space="preserve"> Vision Zero</w:t>
      </w:r>
      <w:r w:rsidR="000D0AF7">
        <w:t xml:space="preserve">. Broadly speaking, it </w:t>
      </w:r>
      <w:r w:rsidR="00461ECF">
        <w:t xml:space="preserve">promotes multidisciplinary discussions </w:t>
      </w:r>
      <w:r w:rsidR="000D0AF7">
        <w:t>on a variety of topics, including</w:t>
      </w:r>
      <w:r w:rsidR="00461ECF">
        <w:t xml:space="preserve"> </w:t>
      </w:r>
      <w:r w:rsidR="000D0AF7">
        <w:t>the re-design of roadways and public policy,</w:t>
      </w:r>
      <w:r w:rsidR="00461ECF">
        <w:t xml:space="preserve"> to improve</w:t>
      </w:r>
      <w:r w:rsidR="000D0AF7">
        <w:t xml:space="preserve"> overall</w:t>
      </w:r>
      <w:r w:rsidR="00461ECF">
        <w:t xml:space="preserve"> quality of life.</w:t>
      </w:r>
      <w:r w:rsidR="00461ECF">
        <w:rPr>
          <w:rStyle w:val="FootnoteReference"/>
        </w:rPr>
        <w:footnoteReference w:id="2"/>
      </w:r>
    </w:p>
    <w:p w14:paraId="11558EFE" w14:textId="6AD91001" w:rsidR="00461ECF" w:rsidRDefault="00461ECF" w:rsidP="0089218C">
      <w:pPr>
        <w:spacing w:line="300" w:lineRule="auto"/>
        <w:jc w:val="both"/>
      </w:pPr>
      <w:r>
        <w:t xml:space="preserve">One of the major roadblocks, however, is limited financial and knowledge capital to execute abstract ideas into concrete actions. Thus, it is important for governments to collect and provide data so that researchers </w:t>
      </w:r>
      <w:r w:rsidR="000D0AF7">
        <w:t>can</w:t>
      </w:r>
      <w:r>
        <w:t xml:space="preserve"> </w:t>
      </w:r>
      <w:r w:rsidR="000D0AF7">
        <w:t>analyze it using various data science techniques and</w:t>
      </w:r>
      <w:r>
        <w:t xml:space="preserve"> </w:t>
      </w:r>
      <w:r w:rsidR="000D0AF7">
        <w:t>inform decision-makers about the ‘best’ pathways towards achieving Vision Zero outcomes.</w:t>
      </w:r>
    </w:p>
    <w:p w14:paraId="60E86489" w14:textId="1EE0E6FB" w:rsidR="000D0AF7" w:rsidRDefault="000D0AF7" w:rsidP="0089218C">
      <w:pPr>
        <w:spacing w:line="300" w:lineRule="auto"/>
        <w:jc w:val="both"/>
      </w:pPr>
      <w:r>
        <w:t xml:space="preserve">There are two core questions to this </w:t>
      </w:r>
      <w:r w:rsidR="00B7652C">
        <w:t>analysis</w:t>
      </w:r>
      <w:r>
        <w:t xml:space="preserve">. First, </w:t>
      </w:r>
      <w:r w:rsidR="003D6DEC">
        <w:t xml:space="preserve">what is the optimal set of predictors for a classification model of crash severity and how might these results translate into </w:t>
      </w:r>
      <w:r w:rsidR="00B7652C">
        <w:t xml:space="preserve">meaningful </w:t>
      </w:r>
      <w:r w:rsidR="003D6DEC">
        <w:t xml:space="preserve">policy recommendations? Second, </w:t>
      </w:r>
      <w:r w:rsidR="00AA37BD">
        <w:t xml:space="preserve">using this final predictor set, </w:t>
      </w:r>
      <w:r w:rsidR="003D6DEC">
        <w:t xml:space="preserve">is it possible to identify meaningful geographic clusters to </w:t>
      </w:r>
      <w:r w:rsidR="00AA37BD">
        <w:t xml:space="preserve">prioritize </w:t>
      </w:r>
      <w:r w:rsidR="003D6DEC">
        <w:t xml:space="preserve">funding for the most at-risk </w:t>
      </w:r>
      <w:r w:rsidR="00AA37BD">
        <w:t>communities</w:t>
      </w:r>
      <w:r w:rsidR="003D6DEC">
        <w:t>?</w:t>
      </w:r>
      <w:r w:rsidR="00B7652C">
        <w:t xml:space="preserve"> [Note: the specific modeling approaches </w:t>
      </w:r>
      <w:r w:rsidR="00AA37BD">
        <w:t>will be mentioned here in the full report</w:t>
      </w:r>
      <w:r w:rsidR="00B7652C">
        <w:t xml:space="preserve">] </w:t>
      </w:r>
    </w:p>
    <w:p w14:paraId="5B1D2624" w14:textId="69B0FA4B" w:rsidR="00B7652C" w:rsidRPr="00AA37BD" w:rsidRDefault="00B7652C" w:rsidP="0089218C">
      <w:pPr>
        <w:spacing w:line="300" w:lineRule="auto"/>
        <w:jc w:val="both"/>
      </w:pPr>
      <w:r>
        <w:t xml:space="preserve">This report features a mini case study on New Zealand, which was selected for three reasons: (a) </w:t>
      </w:r>
      <w:r w:rsidR="00AA37BD">
        <w:t xml:space="preserve">it is where the greatest film trilogy of all-time, </w:t>
      </w:r>
      <w:r w:rsidR="00AA37BD">
        <w:rPr>
          <w:i/>
          <w:iCs/>
        </w:rPr>
        <w:t>The Lord of the Rings</w:t>
      </w:r>
      <w:r w:rsidR="00AA37BD">
        <w:t>, was filmed; (b) Jacinda Ardern is a</w:t>
      </w:r>
      <w:r w:rsidR="00F07350">
        <w:t xml:space="preserve">n amazing </w:t>
      </w:r>
      <w:r w:rsidR="00AA37BD">
        <w:t>prime minister</w:t>
      </w:r>
      <w:r w:rsidR="00F07350">
        <w:t xml:space="preserve"> and has been nominated for the 2020 Nobel Peace Prize</w:t>
      </w:r>
      <w:r w:rsidR="00AA37BD">
        <w:t>; and (c) the country’s fjords are some of the most stunning natural wonders of the world. Although there is reason to doubt the complete generalizability of findings, especially in the absence of uniform data collection procedures, the research approach sets an example for others to follow.</w:t>
      </w:r>
    </w:p>
    <w:p w14:paraId="40702BEE" w14:textId="13C64D58" w:rsidR="00896F7D" w:rsidRDefault="00896F7D" w:rsidP="00896F7D">
      <w:pPr>
        <w:rPr>
          <w:sz w:val="28"/>
          <w:szCs w:val="28"/>
        </w:rPr>
      </w:pPr>
      <w:r>
        <w:rPr>
          <w:sz w:val="28"/>
          <w:szCs w:val="28"/>
        </w:rPr>
        <w:t>Data Source</w:t>
      </w:r>
    </w:p>
    <w:p w14:paraId="4E4B2F3F" w14:textId="7524F401" w:rsidR="00896F7D" w:rsidRDefault="00F07350" w:rsidP="00067230">
      <w:pPr>
        <w:spacing w:line="300" w:lineRule="auto"/>
        <w:jc w:val="both"/>
      </w:pPr>
      <w:r>
        <w:t>The Waka Kotahi New Zealand Transport Agency provided the Crash Analysis System Data as part of the countrywide open source platform for government-funded projects. It consists of 730,280 observations of 7</w:t>
      </w:r>
      <w:r w:rsidR="00D67642">
        <w:t>0</w:t>
      </w:r>
      <w:r>
        <w:t xml:space="preserve"> variables beginning from 2000 and through August 2020. </w:t>
      </w:r>
      <w:r w:rsidR="00067230">
        <w:t xml:space="preserve">The dependent variable of interest, </w:t>
      </w:r>
      <w:r w:rsidR="00067230" w:rsidRPr="00B1316C">
        <w:rPr>
          <w:i/>
          <w:iCs/>
        </w:rPr>
        <w:t>crash severity</w:t>
      </w:r>
      <w:r w:rsidR="00067230">
        <w:t xml:space="preserve">, has four categories, with counts summarized in </w:t>
      </w:r>
      <w:r w:rsidR="00067230">
        <w:lastRenderedPageBreak/>
        <w:t xml:space="preserve">Table 1 below. </w:t>
      </w:r>
      <w:r w:rsidR="00B1316C" w:rsidRPr="00B1316C">
        <w:t>This is determined by the worst injury sustained in the crash at time of entry.</w:t>
      </w:r>
      <w:r w:rsidR="00B1316C">
        <w:t xml:space="preserve"> </w:t>
      </w:r>
      <w:r w:rsidR="00067230">
        <w:t>The data is clearly imbalanced, with about 71% of cases resulting in no injuries.</w:t>
      </w:r>
    </w:p>
    <w:p w14:paraId="39AA0E51" w14:textId="2849F558" w:rsidR="00067230" w:rsidRPr="00067230" w:rsidRDefault="00067230" w:rsidP="00067230">
      <w:pPr>
        <w:pStyle w:val="Caption"/>
        <w:keepNext/>
        <w:spacing w:after="20"/>
        <w:jc w:val="center"/>
        <w:rPr>
          <w:i w:val="0"/>
          <w:iCs w:val="0"/>
          <w:color w:val="auto"/>
          <w:sz w:val="20"/>
          <w:szCs w:val="20"/>
        </w:rPr>
      </w:pPr>
      <w:r w:rsidRPr="00067230">
        <w:rPr>
          <w:b/>
          <w:bCs/>
          <w:i w:val="0"/>
          <w:iCs w:val="0"/>
          <w:color w:val="auto"/>
          <w:sz w:val="20"/>
          <w:szCs w:val="20"/>
        </w:rPr>
        <w:t xml:space="preserve">Table </w:t>
      </w:r>
      <w:r w:rsidRPr="00067230">
        <w:rPr>
          <w:b/>
          <w:bCs/>
          <w:i w:val="0"/>
          <w:iCs w:val="0"/>
          <w:color w:val="auto"/>
          <w:sz w:val="20"/>
          <w:szCs w:val="20"/>
        </w:rPr>
        <w:fldChar w:fldCharType="begin"/>
      </w:r>
      <w:r w:rsidRPr="00067230">
        <w:rPr>
          <w:b/>
          <w:bCs/>
          <w:i w:val="0"/>
          <w:iCs w:val="0"/>
          <w:color w:val="auto"/>
          <w:sz w:val="20"/>
          <w:szCs w:val="20"/>
        </w:rPr>
        <w:instrText xml:space="preserve"> SEQ Table \* ARABIC </w:instrText>
      </w:r>
      <w:r w:rsidRPr="00067230">
        <w:rPr>
          <w:b/>
          <w:bCs/>
          <w:i w:val="0"/>
          <w:iCs w:val="0"/>
          <w:color w:val="auto"/>
          <w:sz w:val="20"/>
          <w:szCs w:val="20"/>
        </w:rPr>
        <w:fldChar w:fldCharType="separate"/>
      </w:r>
      <w:r w:rsidR="00560326">
        <w:rPr>
          <w:b/>
          <w:bCs/>
          <w:i w:val="0"/>
          <w:iCs w:val="0"/>
          <w:noProof/>
          <w:color w:val="auto"/>
          <w:sz w:val="20"/>
          <w:szCs w:val="20"/>
        </w:rPr>
        <w:t>1</w:t>
      </w:r>
      <w:r w:rsidRPr="00067230">
        <w:rPr>
          <w:b/>
          <w:bCs/>
          <w:i w:val="0"/>
          <w:iCs w:val="0"/>
          <w:color w:val="auto"/>
          <w:sz w:val="20"/>
          <w:szCs w:val="20"/>
        </w:rPr>
        <w:fldChar w:fldCharType="end"/>
      </w:r>
      <w:r w:rsidRPr="00067230">
        <w:rPr>
          <w:i w:val="0"/>
          <w:iCs w:val="0"/>
          <w:color w:val="auto"/>
          <w:sz w:val="20"/>
          <w:szCs w:val="20"/>
        </w:rPr>
        <w:t>. Summary of crash level severity in New Zealand</w:t>
      </w:r>
      <w:r w:rsidR="00560326">
        <w:rPr>
          <w:i w:val="0"/>
          <w:iCs w:val="0"/>
          <w:color w:val="auto"/>
          <w:sz w:val="20"/>
          <w:szCs w:val="20"/>
        </w:rPr>
        <w:t>.</w:t>
      </w:r>
    </w:p>
    <w:tbl>
      <w:tblPr>
        <w:tblStyle w:val="TableGrid"/>
        <w:tblW w:w="0" w:type="auto"/>
        <w:jc w:val="center"/>
        <w:tblLook w:val="04A0" w:firstRow="1" w:lastRow="0" w:firstColumn="1" w:lastColumn="0" w:noHBand="0" w:noVBand="1"/>
      </w:tblPr>
      <w:tblGrid>
        <w:gridCol w:w="1712"/>
        <w:gridCol w:w="1618"/>
      </w:tblGrid>
      <w:tr w:rsidR="00067230" w14:paraId="30E23264" w14:textId="77777777" w:rsidTr="00067230">
        <w:trPr>
          <w:jc w:val="center"/>
        </w:trPr>
        <w:tc>
          <w:tcPr>
            <w:tcW w:w="1712" w:type="dxa"/>
          </w:tcPr>
          <w:p w14:paraId="784715D4" w14:textId="1A8CB7C7" w:rsidR="00067230" w:rsidRPr="00560326" w:rsidRDefault="00067230" w:rsidP="00067230">
            <w:pPr>
              <w:rPr>
                <w:b/>
                <w:bCs/>
                <w:sz w:val="18"/>
                <w:szCs w:val="18"/>
              </w:rPr>
            </w:pPr>
            <w:r w:rsidRPr="00560326">
              <w:rPr>
                <w:b/>
                <w:bCs/>
                <w:sz w:val="18"/>
                <w:szCs w:val="18"/>
              </w:rPr>
              <w:t>Crash Severity</w:t>
            </w:r>
          </w:p>
        </w:tc>
        <w:tc>
          <w:tcPr>
            <w:tcW w:w="1618" w:type="dxa"/>
          </w:tcPr>
          <w:p w14:paraId="5A1D4B64" w14:textId="1D047C8E" w:rsidR="00067230" w:rsidRPr="00560326" w:rsidRDefault="00067230" w:rsidP="00067230">
            <w:pPr>
              <w:jc w:val="right"/>
              <w:rPr>
                <w:b/>
                <w:bCs/>
                <w:sz w:val="18"/>
                <w:szCs w:val="18"/>
              </w:rPr>
            </w:pPr>
            <w:r w:rsidRPr="00560326">
              <w:rPr>
                <w:b/>
                <w:bCs/>
                <w:sz w:val="18"/>
                <w:szCs w:val="18"/>
              </w:rPr>
              <w:t>Count</w:t>
            </w:r>
          </w:p>
        </w:tc>
      </w:tr>
      <w:tr w:rsidR="00067230" w14:paraId="67D46C97" w14:textId="77777777" w:rsidTr="00067230">
        <w:trPr>
          <w:jc w:val="center"/>
        </w:trPr>
        <w:tc>
          <w:tcPr>
            <w:tcW w:w="1712" w:type="dxa"/>
          </w:tcPr>
          <w:p w14:paraId="70B3F1DA" w14:textId="3BC2AA8B" w:rsidR="00067230" w:rsidRPr="00560326" w:rsidRDefault="00067230" w:rsidP="00F07350">
            <w:pPr>
              <w:jc w:val="both"/>
              <w:rPr>
                <w:sz w:val="18"/>
                <w:szCs w:val="18"/>
              </w:rPr>
            </w:pPr>
            <w:r w:rsidRPr="00560326">
              <w:rPr>
                <w:sz w:val="18"/>
                <w:szCs w:val="18"/>
              </w:rPr>
              <w:t>Non-injury</w:t>
            </w:r>
          </w:p>
        </w:tc>
        <w:tc>
          <w:tcPr>
            <w:tcW w:w="1618" w:type="dxa"/>
          </w:tcPr>
          <w:p w14:paraId="42523BFF" w14:textId="4D2DF467" w:rsidR="00067230" w:rsidRPr="00560326" w:rsidRDefault="00067230" w:rsidP="00067230">
            <w:pPr>
              <w:jc w:val="right"/>
              <w:rPr>
                <w:sz w:val="18"/>
                <w:szCs w:val="18"/>
              </w:rPr>
            </w:pPr>
            <w:r w:rsidRPr="00560326">
              <w:rPr>
                <w:sz w:val="18"/>
                <w:szCs w:val="18"/>
              </w:rPr>
              <w:t>518,194</w:t>
            </w:r>
          </w:p>
        </w:tc>
      </w:tr>
      <w:tr w:rsidR="00067230" w14:paraId="6B5A15E2" w14:textId="77777777" w:rsidTr="00067230">
        <w:trPr>
          <w:jc w:val="center"/>
        </w:trPr>
        <w:tc>
          <w:tcPr>
            <w:tcW w:w="1712" w:type="dxa"/>
          </w:tcPr>
          <w:p w14:paraId="5B56DD95" w14:textId="6F7F0728" w:rsidR="00067230" w:rsidRPr="00560326" w:rsidRDefault="00067230" w:rsidP="00F07350">
            <w:pPr>
              <w:jc w:val="both"/>
              <w:rPr>
                <w:sz w:val="18"/>
                <w:szCs w:val="18"/>
              </w:rPr>
            </w:pPr>
            <w:r w:rsidRPr="00560326">
              <w:rPr>
                <w:sz w:val="18"/>
                <w:szCs w:val="18"/>
              </w:rPr>
              <w:t>Minor</w:t>
            </w:r>
          </w:p>
        </w:tc>
        <w:tc>
          <w:tcPr>
            <w:tcW w:w="1618" w:type="dxa"/>
          </w:tcPr>
          <w:p w14:paraId="2E7F7938" w14:textId="294C6A3E" w:rsidR="00067230" w:rsidRPr="00560326" w:rsidRDefault="00067230" w:rsidP="00067230">
            <w:pPr>
              <w:jc w:val="right"/>
              <w:rPr>
                <w:sz w:val="18"/>
                <w:szCs w:val="18"/>
              </w:rPr>
            </w:pPr>
            <w:r w:rsidRPr="00560326">
              <w:rPr>
                <w:sz w:val="18"/>
                <w:szCs w:val="18"/>
              </w:rPr>
              <w:t>164,847</w:t>
            </w:r>
          </w:p>
        </w:tc>
      </w:tr>
      <w:tr w:rsidR="00067230" w14:paraId="411E542F" w14:textId="77777777" w:rsidTr="00067230">
        <w:trPr>
          <w:jc w:val="center"/>
        </w:trPr>
        <w:tc>
          <w:tcPr>
            <w:tcW w:w="1712" w:type="dxa"/>
          </w:tcPr>
          <w:p w14:paraId="7A06764F" w14:textId="6A9F0988" w:rsidR="00067230" w:rsidRPr="00560326" w:rsidRDefault="00067230" w:rsidP="00F07350">
            <w:pPr>
              <w:jc w:val="both"/>
              <w:rPr>
                <w:sz w:val="18"/>
                <w:szCs w:val="18"/>
              </w:rPr>
            </w:pPr>
            <w:r w:rsidRPr="00560326">
              <w:rPr>
                <w:sz w:val="18"/>
                <w:szCs w:val="18"/>
              </w:rPr>
              <w:t>Serious</w:t>
            </w:r>
          </w:p>
        </w:tc>
        <w:tc>
          <w:tcPr>
            <w:tcW w:w="1618" w:type="dxa"/>
          </w:tcPr>
          <w:p w14:paraId="64F5B49A" w14:textId="74E67582" w:rsidR="00067230" w:rsidRPr="00560326" w:rsidRDefault="00067230" w:rsidP="00067230">
            <w:pPr>
              <w:jc w:val="right"/>
              <w:rPr>
                <w:sz w:val="18"/>
                <w:szCs w:val="18"/>
              </w:rPr>
            </w:pPr>
            <w:r w:rsidRPr="00560326">
              <w:rPr>
                <w:sz w:val="18"/>
                <w:szCs w:val="18"/>
              </w:rPr>
              <w:t>40,601</w:t>
            </w:r>
          </w:p>
        </w:tc>
      </w:tr>
      <w:tr w:rsidR="00067230" w14:paraId="09DEE305" w14:textId="77777777" w:rsidTr="00067230">
        <w:trPr>
          <w:jc w:val="center"/>
        </w:trPr>
        <w:tc>
          <w:tcPr>
            <w:tcW w:w="1712" w:type="dxa"/>
          </w:tcPr>
          <w:p w14:paraId="4390598E" w14:textId="583D813E" w:rsidR="00067230" w:rsidRPr="00560326" w:rsidRDefault="00067230" w:rsidP="00F07350">
            <w:pPr>
              <w:jc w:val="both"/>
              <w:rPr>
                <w:sz w:val="18"/>
                <w:szCs w:val="18"/>
              </w:rPr>
            </w:pPr>
            <w:r w:rsidRPr="00560326">
              <w:rPr>
                <w:sz w:val="18"/>
                <w:szCs w:val="18"/>
              </w:rPr>
              <w:t>Fatal</w:t>
            </w:r>
          </w:p>
        </w:tc>
        <w:tc>
          <w:tcPr>
            <w:tcW w:w="1618" w:type="dxa"/>
          </w:tcPr>
          <w:p w14:paraId="13C86532" w14:textId="73323076" w:rsidR="00067230" w:rsidRPr="00560326" w:rsidRDefault="00067230" w:rsidP="00067230">
            <w:pPr>
              <w:jc w:val="right"/>
              <w:rPr>
                <w:sz w:val="18"/>
                <w:szCs w:val="18"/>
              </w:rPr>
            </w:pPr>
            <w:r w:rsidRPr="00560326">
              <w:rPr>
                <w:sz w:val="18"/>
                <w:szCs w:val="18"/>
              </w:rPr>
              <w:t>6</w:t>
            </w:r>
            <w:r w:rsidR="00123CAE" w:rsidRPr="00560326">
              <w:rPr>
                <w:sz w:val="18"/>
                <w:szCs w:val="18"/>
              </w:rPr>
              <w:t>,</w:t>
            </w:r>
            <w:r w:rsidRPr="00560326">
              <w:rPr>
                <w:sz w:val="18"/>
                <w:szCs w:val="18"/>
              </w:rPr>
              <w:t>638</w:t>
            </w:r>
          </w:p>
        </w:tc>
      </w:tr>
    </w:tbl>
    <w:p w14:paraId="7B3D6C9A" w14:textId="2B3848A7" w:rsidR="00067230" w:rsidRDefault="00CE0FBC" w:rsidP="00067230">
      <w:pPr>
        <w:spacing w:before="160" w:line="300" w:lineRule="auto"/>
        <w:jc w:val="both"/>
      </w:pPr>
      <w:r>
        <w:t>Furthermore, the</w:t>
      </w:r>
      <w:r w:rsidR="00123CAE">
        <w:t xml:space="preserve"> following</w:t>
      </w:r>
      <w:r>
        <w:t xml:space="preserve"> variables</w:t>
      </w:r>
      <w:r w:rsidR="00123CAE">
        <w:t xml:space="preserve"> are conjectured to be </w:t>
      </w:r>
      <w:r>
        <w:t xml:space="preserve">potentially </w:t>
      </w:r>
      <w:r w:rsidR="00123CAE">
        <w:t>significant in the final classification model</w:t>
      </w:r>
      <w:r w:rsidR="00560326">
        <w:t xml:space="preserve">. </w:t>
      </w:r>
      <w:r w:rsidR="00D67642">
        <w:t>This is adapted directly from the open data website.</w:t>
      </w:r>
      <w:r w:rsidR="00D67642" w:rsidRPr="00D67642">
        <w:rPr>
          <w:rStyle w:val="FootnoteReference"/>
        </w:rPr>
        <w:footnoteReference w:id="3"/>
      </w:r>
    </w:p>
    <w:p w14:paraId="66969D0B" w14:textId="40B8C408" w:rsidR="00560326" w:rsidRPr="00560326" w:rsidRDefault="00560326" w:rsidP="00560326">
      <w:pPr>
        <w:pStyle w:val="Caption"/>
        <w:keepNext/>
        <w:spacing w:after="20"/>
        <w:rPr>
          <w:i w:val="0"/>
          <w:iCs w:val="0"/>
          <w:color w:val="auto"/>
          <w:sz w:val="20"/>
          <w:szCs w:val="20"/>
        </w:rPr>
      </w:pPr>
      <w:r w:rsidRPr="00560326">
        <w:rPr>
          <w:b/>
          <w:bCs/>
          <w:i w:val="0"/>
          <w:iCs w:val="0"/>
          <w:color w:val="auto"/>
          <w:sz w:val="20"/>
          <w:szCs w:val="20"/>
        </w:rPr>
        <w:t xml:space="preserve">Table </w:t>
      </w:r>
      <w:r w:rsidRPr="00560326">
        <w:rPr>
          <w:b/>
          <w:bCs/>
          <w:i w:val="0"/>
          <w:iCs w:val="0"/>
          <w:color w:val="auto"/>
          <w:sz w:val="20"/>
          <w:szCs w:val="20"/>
        </w:rPr>
        <w:fldChar w:fldCharType="begin"/>
      </w:r>
      <w:r w:rsidRPr="00560326">
        <w:rPr>
          <w:b/>
          <w:bCs/>
          <w:i w:val="0"/>
          <w:iCs w:val="0"/>
          <w:color w:val="auto"/>
          <w:sz w:val="20"/>
          <w:szCs w:val="20"/>
        </w:rPr>
        <w:instrText xml:space="preserve"> SEQ Table \* ARABIC </w:instrText>
      </w:r>
      <w:r w:rsidRPr="00560326">
        <w:rPr>
          <w:b/>
          <w:bCs/>
          <w:i w:val="0"/>
          <w:iCs w:val="0"/>
          <w:color w:val="auto"/>
          <w:sz w:val="20"/>
          <w:szCs w:val="20"/>
        </w:rPr>
        <w:fldChar w:fldCharType="separate"/>
      </w:r>
      <w:r w:rsidRPr="00560326">
        <w:rPr>
          <w:b/>
          <w:bCs/>
          <w:i w:val="0"/>
          <w:iCs w:val="0"/>
          <w:noProof/>
          <w:color w:val="auto"/>
          <w:sz w:val="20"/>
          <w:szCs w:val="20"/>
        </w:rPr>
        <w:t>2</w:t>
      </w:r>
      <w:r w:rsidRPr="00560326">
        <w:rPr>
          <w:b/>
          <w:bCs/>
          <w:i w:val="0"/>
          <w:iCs w:val="0"/>
          <w:color w:val="auto"/>
          <w:sz w:val="20"/>
          <w:szCs w:val="20"/>
        </w:rPr>
        <w:fldChar w:fldCharType="end"/>
      </w:r>
      <w:r w:rsidRPr="00560326">
        <w:rPr>
          <w:i w:val="0"/>
          <w:iCs w:val="0"/>
          <w:color w:val="auto"/>
          <w:sz w:val="20"/>
          <w:szCs w:val="20"/>
        </w:rPr>
        <w:t xml:space="preserve">. </w:t>
      </w:r>
      <w:r>
        <w:rPr>
          <w:i w:val="0"/>
          <w:iCs w:val="0"/>
          <w:color w:val="auto"/>
          <w:sz w:val="20"/>
          <w:szCs w:val="20"/>
        </w:rPr>
        <w:t>Variables</w:t>
      </w:r>
      <w:r w:rsidRPr="00560326">
        <w:rPr>
          <w:i w:val="0"/>
          <w:iCs w:val="0"/>
          <w:color w:val="auto"/>
          <w:sz w:val="20"/>
          <w:szCs w:val="20"/>
        </w:rPr>
        <w:t xml:space="preserve"> that </w:t>
      </w:r>
      <w:r>
        <w:rPr>
          <w:i w:val="0"/>
          <w:iCs w:val="0"/>
          <w:color w:val="auto"/>
          <w:sz w:val="20"/>
          <w:szCs w:val="20"/>
        </w:rPr>
        <w:t>will be utilized</w:t>
      </w:r>
      <w:r w:rsidRPr="00560326">
        <w:rPr>
          <w:i w:val="0"/>
          <w:iCs w:val="0"/>
          <w:color w:val="auto"/>
          <w:sz w:val="20"/>
          <w:szCs w:val="20"/>
        </w:rPr>
        <w:t xml:space="preserve"> in the machine learning model development process.</w:t>
      </w:r>
    </w:p>
    <w:tbl>
      <w:tblPr>
        <w:tblStyle w:val="GridTable4"/>
        <w:tblW w:w="0" w:type="auto"/>
        <w:tblLayout w:type="fixed"/>
        <w:tblLook w:val="04A0" w:firstRow="1" w:lastRow="0" w:firstColumn="1" w:lastColumn="0" w:noHBand="0" w:noVBand="1"/>
      </w:tblPr>
      <w:tblGrid>
        <w:gridCol w:w="2065"/>
        <w:gridCol w:w="7285"/>
      </w:tblGrid>
      <w:tr w:rsidR="00B1316C" w:rsidRPr="00B1316C" w14:paraId="74232698" w14:textId="77777777" w:rsidTr="00E33DA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600A7D78" w14:textId="77777777" w:rsidR="00B1316C" w:rsidRPr="00B1316C" w:rsidRDefault="00B1316C" w:rsidP="00E33DAB">
            <w:pPr>
              <w:rPr>
                <w:rFonts w:eastAsia="Times New Roman" w:cs="Calibri"/>
                <w:color w:val="FFFFFF"/>
                <w:sz w:val="16"/>
                <w:szCs w:val="16"/>
              </w:rPr>
            </w:pPr>
            <w:r w:rsidRPr="00B1316C">
              <w:rPr>
                <w:rFonts w:eastAsia="Times New Roman" w:cs="Calibri"/>
                <w:color w:val="FFFFFF"/>
                <w:sz w:val="16"/>
                <w:szCs w:val="16"/>
              </w:rPr>
              <w:t>Attribute Name</w:t>
            </w:r>
          </w:p>
        </w:tc>
        <w:tc>
          <w:tcPr>
            <w:tcW w:w="7285" w:type="dxa"/>
            <w:noWrap/>
            <w:vAlign w:val="center"/>
            <w:hideMark/>
          </w:tcPr>
          <w:p w14:paraId="0D7C49AD" w14:textId="77777777" w:rsidR="00B1316C" w:rsidRPr="00B1316C" w:rsidRDefault="00B1316C" w:rsidP="00E33DAB">
            <w:pP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16"/>
                <w:szCs w:val="16"/>
              </w:rPr>
            </w:pPr>
            <w:r w:rsidRPr="00B1316C">
              <w:rPr>
                <w:rFonts w:eastAsia="Times New Roman" w:cs="Calibri"/>
                <w:color w:val="FFFFFF"/>
                <w:sz w:val="16"/>
                <w:szCs w:val="16"/>
              </w:rPr>
              <w:t>Description</w:t>
            </w:r>
          </w:p>
        </w:tc>
      </w:tr>
      <w:tr w:rsidR="00B1316C" w:rsidRPr="00B1316C" w14:paraId="6F830189"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38C90A1"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bicycle</w:t>
            </w:r>
          </w:p>
        </w:tc>
        <w:tc>
          <w:tcPr>
            <w:tcW w:w="7285" w:type="dxa"/>
            <w:noWrap/>
            <w:vAlign w:val="center"/>
            <w:hideMark/>
          </w:tcPr>
          <w:p w14:paraId="42952A42"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bicycles were involved in the crash.</w:t>
            </w:r>
          </w:p>
        </w:tc>
      </w:tr>
      <w:tr w:rsidR="00B1316C" w:rsidRPr="00B1316C" w14:paraId="4CB89737"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FDEE3A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bridge</w:t>
            </w:r>
          </w:p>
        </w:tc>
        <w:tc>
          <w:tcPr>
            <w:tcW w:w="7285" w:type="dxa"/>
            <w:noWrap/>
            <w:vAlign w:val="center"/>
            <w:hideMark/>
          </w:tcPr>
          <w:p w14:paraId="74CF3887"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bridge, tunnel, the abutments, handrails were struck in the crash.</w:t>
            </w:r>
          </w:p>
        </w:tc>
      </w:tr>
      <w:tr w:rsidR="00B1316C" w:rsidRPr="00B1316C" w14:paraId="088AEE95"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608E02B4"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bus</w:t>
            </w:r>
          </w:p>
        </w:tc>
        <w:tc>
          <w:tcPr>
            <w:tcW w:w="7285" w:type="dxa"/>
            <w:noWrap/>
            <w:vAlign w:val="center"/>
            <w:hideMark/>
          </w:tcPr>
          <w:p w14:paraId="430A988B" w14:textId="40A60EA3"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buses were involved in the </w:t>
            </w:r>
            <w:r>
              <w:rPr>
                <w:rFonts w:eastAsia="Times New Roman" w:cs="Calibri"/>
                <w:color w:val="000000"/>
                <w:sz w:val="16"/>
                <w:szCs w:val="16"/>
              </w:rPr>
              <w:t>crash.</w:t>
            </w:r>
          </w:p>
        </w:tc>
      </w:tr>
      <w:tr w:rsidR="00B1316C" w:rsidRPr="00B1316C" w14:paraId="50836195"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4EF74B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carStationWagon</w:t>
            </w:r>
          </w:p>
        </w:tc>
        <w:tc>
          <w:tcPr>
            <w:tcW w:w="7285" w:type="dxa"/>
            <w:noWrap/>
            <w:vAlign w:val="center"/>
            <w:hideMark/>
          </w:tcPr>
          <w:p w14:paraId="015C6460"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cars or station wagons were involved in the crash.</w:t>
            </w:r>
          </w:p>
        </w:tc>
      </w:tr>
      <w:tr w:rsidR="00B1316C" w:rsidRPr="00B1316C" w14:paraId="73D9C3D8"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B437F8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cliffBank</w:t>
            </w:r>
          </w:p>
        </w:tc>
        <w:tc>
          <w:tcPr>
            <w:tcW w:w="7285" w:type="dxa"/>
            <w:noWrap/>
            <w:vAlign w:val="center"/>
            <w:hideMark/>
          </w:tcPr>
          <w:p w14:paraId="477F25CB" w14:textId="4EB7DE4A"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'cliff' or 'bank' was struck in the crash.</w:t>
            </w:r>
          </w:p>
        </w:tc>
      </w:tr>
      <w:tr w:rsidR="00B1316C" w:rsidRPr="00B1316C" w14:paraId="40E72354"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7EC40B8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crashYear</w:t>
            </w:r>
          </w:p>
        </w:tc>
        <w:tc>
          <w:tcPr>
            <w:tcW w:w="7285" w:type="dxa"/>
            <w:noWrap/>
            <w:vAlign w:val="center"/>
            <w:hideMark/>
          </w:tcPr>
          <w:p w14:paraId="41FA7855"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year in which a crash occurred, if known.</w:t>
            </w:r>
          </w:p>
        </w:tc>
      </w:tr>
      <w:tr w:rsidR="00B1316C" w:rsidRPr="00B1316C" w14:paraId="63894672"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7E432E2B"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debris</w:t>
            </w:r>
          </w:p>
        </w:tc>
        <w:tc>
          <w:tcPr>
            <w:tcW w:w="7285" w:type="dxa"/>
            <w:noWrap/>
            <w:vAlign w:val="center"/>
            <w:hideMark/>
          </w:tcPr>
          <w:p w14:paraId="724F33F6"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debris, boulders or items dropped or thrown from a vehicle(s) were struck in the crash</w:t>
            </w:r>
          </w:p>
        </w:tc>
      </w:tr>
      <w:tr w:rsidR="00B1316C" w:rsidRPr="00B1316C" w14:paraId="1B34BAD5"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24607AC7"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ditch</w:t>
            </w:r>
          </w:p>
        </w:tc>
        <w:tc>
          <w:tcPr>
            <w:tcW w:w="7285" w:type="dxa"/>
            <w:noWrap/>
            <w:vAlign w:val="center"/>
            <w:hideMark/>
          </w:tcPr>
          <w:p w14:paraId="2452E555" w14:textId="30A3FE89"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'ditch' or 'drainage channel' was struck in a crash.</w:t>
            </w:r>
          </w:p>
        </w:tc>
      </w:tr>
      <w:tr w:rsidR="00B1316C" w:rsidRPr="00B1316C" w14:paraId="1F9EFF52"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0F045C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fence</w:t>
            </w:r>
          </w:p>
        </w:tc>
        <w:tc>
          <w:tcPr>
            <w:tcW w:w="7285" w:type="dxa"/>
            <w:noWrap/>
            <w:vAlign w:val="center"/>
            <w:hideMark/>
          </w:tcPr>
          <w:p w14:paraId="2CB10F26"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'fence' was struck in the crash. This includes letterbox(es), hoardings, private roadside furniture, hedges, sight rails, etc.</w:t>
            </w:r>
          </w:p>
        </w:tc>
      </w:tr>
      <w:tr w:rsidR="00B1316C" w:rsidRPr="00B1316C" w14:paraId="66E6EEA5"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1B5B073"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flatHill</w:t>
            </w:r>
          </w:p>
        </w:tc>
        <w:tc>
          <w:tcPr>
            <w:tcW w:w="7285" w:type="dxa"/>
            <w:noWrap/>
            <w:vAlign w:val="center"/>
            <w:hideMark/>
          </w:tcPr>
          <w:p w14:paraId="223F0671"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Whether the road is flat or sloped. Possible values include 'Flat or 'Hill'.</w:t>
            </w:r>
          </w:p>
        </w:tc>
      </w:tr>
      <w:tr w:rsidR="00B1316C" w:rsidRPr="00B1316C" w14:paraId="0CB3B7C1"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45E28BA"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guardRail</w:t>
            </w:r>
          </w:p>
        </w:tc>
        <w:tc>
          <w:tcPr>
            <w:tcW w:w="7285" w:type="dxa"/>
            <w:noWrap/>
            <w:vAlign w:val="center"/>
            <w:hideMark/>
          </w:tcPr>
          <w:p w14:paraId="6B4D39EA" w14:textId="2C7D852D"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guard or guard rail was struck in the crash.</w:t>
            </w:r>
          </w:p>
        </w:tc>
      </w:tr>
      <w:tr w:rsidR="00B1316C" w:rsidRPr="00B1316C" w14:paraId="4F10A74D"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659D1066"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holiday</w:t>
            </w:r>
          </w:p>
        </w:tc>
        <w:tc>
          <w:tcPr>
            <w:tcW w:w="7285" w:type="dxa"/>
            <w:noWrap/>
            <w:vAlign w:val="center"/>
            <w:hideMark/>
          </w:tcPr>
          <w:p w14:paraId="558AF61D"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Indicates where a crash occurred during a 'Christmas/New Year', 'Easter', 'Queens Birthday' or 'Labour Weekend' holiday period, otherwise 'None'.</w:t>
            </w:r>
          </w:p>
        </w:tc>
      </w:tr>
      <w:tr w:rsidR="00B1316C" w:rsidRPr="00B1316C" w14:paraId="42A2EB86"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CEF1CF9"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houseOrBuilding</w:t>
            </w:r>
          </w:p>
        </w:tc>
        <w:tc>
          <w:tcPr>
            <w:tcW w:w="7285" w:type="dxa"/>
            <w:noWrap/>
            <w:vAlign w:val="center"/>
            <w:hideMark/>
          </w:tcPr>
          <w:p w14:paraId="0C375ACC" w14:textId="7F20104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houses, garages, sheds or other buildings</w:t>
            </w:r>
            <w:r>
              <w:rPr>
                <w:rFonts w:eastAsia="Times New Roman" w:cs="Calibri"/>
                <w:color w:val="000000"/>
                <w:sz w:val="16"/>
                <w:szCs w:val="16"/>
              </w:rPr>
              <w:t xml:space="preserve"> </w:t>
            </w:r>
            <w:r w:rsidRPr="00B1316C">
              <w:rPr>
                <w:rFonts w:eastAsia="Times New Roman" w:cs="Calibri"/>
                <w:color w:val="000000"/>
                <w:sz w:val="16"/>
                <w:szCs w:val="16"/>
              </w:rPr>
              <w:t>were struck in the crash</w:t>
            </w:r>
            <w:r w:rsidR="00E33DAB">
              <w:rPr>
                <w:rFonts w:eastAsia="Times New Roman" w:cs="Calibri"/>
                <w:color w:val="000000"/>
                <w:sz w:val="16"/>
                <w:szCs w:val="16"/>
              </w:rPr>
              <w:t>.</w:t>
            </w:r>
          </w:p>
        </w:tc>
      </w:tr>
      <w:tr w:rsidR="00B1316C" w:rsidRPr="00B1316C" w14:paraId="7A6CD0E2"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7F323BFB"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kerb</w:t>
            </w:r>
          </w:p>
        </w:tc>
        <w:tc>
          <w:tcPr>
            <w:tcW w:w="7285" w:type="dxa"/>
            <w:noWrap/>
            <w:vAlign w:val="center"/>
            <w:hideMark/>
          </w:tcPr>
          <w:p w14:paraId="45341740"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kerb was struck in the crash, that contributed directly to the crash.</w:t>
            </w:r>
          </w:p>
        </w:tc>
      </w:tr>
      <w:tr w:rsidR="00B1316C" w:rsidRPr="00B1316C" w14:paraId="57CDFCC4"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B9657C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light</w:t>
            </w:r>
          </w:p>
        </w:tc>
        <w:tc>
          <w:tcPr>
            <w:tcW w:w="7285" w:type="dxa"/>
            <w:noWrap/>
            <w:vAlign w:val="center"/>
            <w:hideMark/>
          </w:tcPr>
          <w:p w14:paraId="11B13F16"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light at the time and place of the crash. Possible values: 'Bright Sun', 'Overcast', 'Twilight, 'Dark' or ' Unknown'.</w:t>
            </w:r>
          </w:p>
        </w:tc>
      </w:tr>
      <w:tr w:rsidR="00B1316C" w:rsidRPr="00B1316C" w14:paraId="34AA5F1E"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1466D9E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moped</w:t>
            </w:r>
          </w:p>
        </w:tc>
        <w:tc>
          <w:tcPr>
            <w:tcW w:w="7285" w:type="dxa"/>
            <w:noWrap/>
            <w:vAlign w:val="center"/>
            <w:hideMark/>
          </w:tcPr>
          <w:p w14:paraId="48C124B7"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mopeds were involved in the crash.</w:t>
            </w:r>
          </w:p>
        </w:tc>
      </w:tr>
      <w:tr w:rsidR="00B1316C" w:rsidRPr="00B1316C" w14:paraId="10BB1C2F"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70FC53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motorcycle</w:t>
            </w:r>
          </w:p>
        </w:tc>
        <w:tc>
          <w:tcPr>
            <w:tcW w:w="7285" w:type="dxa"/>
            <w:noWrap/>
            <w:vAlign w:val="center"/>
            <w:hideMark/>
          </w:tcPr>
          <w:p w14:paraId="030C7A43"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motorcycles were involved in the crash.</w:t>
            </w:r>
          </w:p>
        </w:tc>
      </w:tr>
      <w:tr w:rsidR="00B1316C" w:rsidRPr="00B1316C" w14:paraId="4714FC83"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7534E14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NumberOfLanes</w:t>
            </w:r>
          </w:p>
        </w:tc>
        <w:tc>
          <w:tcPr>
            <w:tcW w:w="7285" w:type="dxa"/>
            <w:noWrap/>
            <w:vAlign w:val="center"/>
            <w:hideMark/>
          </w:tcPr>
          <w:p w14:paraId="08B29BF0" w14:textId="0BC4D588"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number of lanes on the crash road.</w:t>
            </w:r>
          </w:p>
        </w:tc>
      </w:tr>
      <w:tr w:rsidR="00B1316C" w:rsidRPr="00B1316C" w14:paraId="1A200FB8"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F078083"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overBank</w:t>
            </w:r>
          </w:p>
        </w:tc>
        <w:tc>
          <w:tcPr>
            <w:tcW w:w="7285" w:type="dxa"/>
            <w:noWrap/>
            <w:vAlign w:val="center"/>
            <w:hideMark/>
          </w:tcPr>
          <w:p w14:paraId="2DD9DDD5"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an embankment was struck or driven over during a crash. This variable includes other vertical drops driven over during a crash.</w:t>
            </w:r>
          </w:p>
        </w:tc>
      </w:tr>
      <w:tr w:rsidR="00B1316C" w:rsidRPr="00B1316C" w14:paraId="7E0786BF"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B07C96E"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parkedVehicle</w:t>
            </w:r>
          </w:p>
        </w:tc>
        <w:tc>
          <w:tcPr>
            <w:tcW w:w="7285" w:type="dxa"/>
            <w:noWrap/>
            <w:vAlign w:val="center"/>
            <w:hideMark/>
          </w:tcPr>
          <w:p w14:paraId="54C754A8"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parked or unattended vehicle was struck in the crash. This variable can include trailers.</w:t>
            </w:r>
          </w:p>
        </w:tc>
      </w:tr>
      <w:tr w:rsidR="00B1316C" w:rsidRPr="00B1316C" w14:paraId="653BCEAD"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1C945CD"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phoneBoxEtc</w:t>
            </w:r>
          </w:p>
        </w:tc>
        <w:tc>
          <w:tcPr>
            <w:tcW w:w="7285" w:type="dxa"/>
            <w:noWrap/>
            <w:vAlign w:val="center"/>
            <w:hideMark/>
          </w:tcPr>
          <w:p w14:paraId="2187790E" w14:textId="1940893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telephone kiosk traffic signal controllers, bus shelters or other public furniture was struck in the crash</w:t>
            </w:r>
            <w:r w:rsidR="00E33DAB">
              <w:rPr>
                <w:rFonts w:eastAsia="Times New Roman" w:cs="Calibri"/>
                <w:color w:val="000000"/>
                <w:sz w:val="16"/>
                <w:szCs w:val="16"/>
              </w:rPr>
              <w:t>.</w:t>
            </w:r>
          </w:p>
        </w:tc>
      </w:tr>
      <w:tr w:rsidR="00B1316C" w:rsidRPr="00B1316C" w14:paraId="48DC5355"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274A35B"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pedestrian</w:t>
            </w:r>
          </w:p>
        </w:tc>
        <w:tc>
          <w:tcPr>
            <w:tcW w:w="7285" w:type="dxa"/>
            <w:noWrap/>
            <w:vAlign w:val="center"/>
            <w:hideMark/>
          </w:tcPr>
          <w:p w14:paraId="0FABB21A" w14:textId="44B6ED54"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pedestrians were involved in the crash. This includes pedestrians on skateboards, </w:t>
            </w:r>
            <w:r w:rsidR="00E33DAB" w:rsidRPr="00B1316C">
              <w:rPr>
                <w:rFonts w:eastAsia="Times New Roman" w:cs="Calibri"/>
                <w:color w:val="000000"/>
                <w:sz w:val="16"/>
                <w:szCs w:val="16"/>
              </w:rPr>
              <w:t>scooters,</w:t>
            </w:r>
            <w:r w:rsidRPr="00B1316C">
              <w:rPr>
                <w:rFonts w:eastAsia="Times New Roman" w:cs="Calibri"/>
                <w:color w:val="000000"/>
                <w:sz w:val="16"/>
                <w:szCs w:val="16"/>
              </w:rPr>
              <w:t xml:space="preserve"> and wheelchairs.</w:t>
            </w:r>
          </w:p>
        </w:tc>
      </w:tr>
      <w:tr w:rsidR="00B1316C" w:rsidRPr="00B1316C" w14:paraId="618F869D"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775AD15"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postOrPole</w:t>
            </w:r>
          </w:p>
        </w:tc>
        <w:tc>
          <w:tcPr>
            <w:tcW w:w="7285" w:type="dxa"/>
            <w:noWrap/>
            <w:vAlign w:val="center"/>
            <w:hideMark/>
          </w:tcPr>
          <w:p w14:paraId="087DEA3B" w14:textId="38BB8768"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times a post or pole was struck in the crash. </w:t>
            </w:r>
          </w:p>
        </w:tc>
      </w:tr>
      <w:tr w:rsidR="00B1316C" w:rsidRPr="00B1316C" w14:paraId="5F11B31E"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A2C232E"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region</w:t>
            </w:r>
          </w:p>
        </w:tc>
        <w:tc>
          <w:tcPr>
            <w:tcW w:w="7285" w:type="dxa"/>
            <w:noWrap/>
            <w:vAlign w:val="center"/>
            <w:hideMark/>
          </w:tcPr>
          <w:p w14:paraId="6A4E75FF" w14:textId="6439D32A"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Identifies the local government (LG) region.</w:t>
            </w:r>
          </w:p>
        </w:tc>
      </w:tr>
      <w:tr w:rsidR="00B1316C" w:rsidRPr="00B1316C" w14:paraId="53930E06"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5116CED"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roadLane</w:t>
            </w:r>
          </w:p>
        </w:tc>
        <w:tc>
          <w:tcPr>
            <w:tcW w:w="7285" w:type="dxa"/>
            <w:noWrap/>
            <w:vAlign w:val="center"/>
            <w:hideMark/>
          </w:tcPr>
          <w:p w14:paraId="488C9092" w14:textId="6408A836"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lane configuration of the road. Possible values: '1' (one way), '2' (two way), 'M' (for where a median exists), 'O' (for off-road lane configu</w:t>
            </w:r>
            <w:r w:rsidR="00E33DAB">
              <w:rPr>
                <w:rFonts w:eastAsia="Times New Roman" w:cs="Calibri"/>
                <w:color w:val="000000"/>
                <w:sz w:val="16"/>
                <w:szCs w:val="16"/>
              </w:rPr>
              <w:t>r</w:t>
            </w:r>
            <w:r w:rsidRPr="00B1316C">
              <w:rPr>
                <w:rFonts w:eastAsia="Times New Roman" w:cs="Calibri"/>
                <w:color w:val="000000"/>
                <w:sz w:val="16"/>
                <w:szCs w:val="16"/>
              </w:rPr>
              <w:t>ations), ' ' (for unknown configurations).</w:t>
            </w:r>
          </w:p>
        </w:tc>
      </w:tr>
      <w:tr w:rsidR="00B1316C" w:rsidRPr="00B1316C" w14:paraId="66846282"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B8DE5FA"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roadMarkings</w:t>
            </w:r>
          </w:p>
        </w:tc>
        <w:tc>
          <w:tcPr>
            <w:tcW w:w="7285" w:type="dxa"/>
            <w:noWrap/>
            <w:vAlign w:val="center"/>
            <w:hideMark/>
          </w:tcPr>
          <w:p w14:paraId="1DBC93F2" w14:textId="019DF6E0"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road markings at the crash site. Possible values: 'Ped Crossing', 'Raised Island', 'Painted Island', 'No Passing Lanes', 'Centre Line', 'No Marks' or ' Unknown'.</w:t>
            </w:r>
          </w:p>
        </w:tc>
      </w:tr>
      <w:tr w:rsidR="00B1316C" w:rsidRPr="00B1316C" w14:paraId="72526EB4"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7FC40CE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lastRenderedPageBreak/>
              <w:t>roadSurface</w:t>
            </w:r>
          </w:p>
        </w:tc>
        <w:tc>
          <w:tcPr>
            <w:tcW w:w="7285" w:type="dxa"/>
            <w:noWrap/>
            <w:vAlign w:val="center"/>
            <w:hideMark/>
          </w:tcPr>
          <w:p w14:paraId="1F2F3D61"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road surface description applying at the crash site. Possible values: 'Sealed' or 'Unsealed'.</w:t>
            </w:r>
          </w:p>
        </w:tc>
      </w:tr>
      <w:tr w:rsidR="00B1316C" w:rsidRPr="00B1316C" w14:paraId="66E0883F"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F6DDFA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roadworks</w:t>
            </w:r>
          </w:p>
        </w:tc>
        <w:tc>
          <w:tcPr>
            <w:tcW w:w="7285" w:type="dxa"/>
            <w:noWrap/>
            <w:vAlign w:val="center"/>
            <w:hideMark/>
          </w:tcPr>
          <w:p w14:paraId="15292797"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an object associated with 'roadworks' (including signs, cones, drums, barriers, but not roadwork vehicles) was struck during the crash</w:t>
            </w:r>
          </w:p>
        </w:tc>
      </w:tr>
      <w:tr w:rsidR="00B1316C" w:rsidRPr="00B1316C" w14:paraId="33926864"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4ED7C229"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schoolBus</w:t>
            </w:r>
          </w:p>
        </w:tc>
        <w:tc>
          <w:tcPr>
            <w:tcW w:w="7285" w:type="dxa"/>
            <w:noWrap/>
            <w:vAlign w:val="center"/>
            <w:hideMark/>
          </w:tcPr>
          <w:p w14:paraId="4640809A"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school buses were involved in the crash.</w:t>
            </w:r>
          </w:p>
        </w:tc>
      </w:tr>
      <w:tr w:rsidR="00B1316C" w:rsidRPr="00B1316C" w14:paraId="3902D9ED"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12BB930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slipOrFlood</w:t>
            </w:r>
          </w:p>
        </w:tc>
        <w:tc>
          <w:tcPr>
            <w:tcW w:w="7285" w:type="dxa"/>
            <w:noWrap/>
            <w:vAlign w:val="center"/>
            <w:hideMark/>
          </w:tcPr>
          <w:p w14:paraId="41035C90" w14:textId="214DD749"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times landslips, </w:t>
            </w:r>
            <w:r w:rsidR="00E33DAB" w:rsidRPr="00B1316C">
              <w:rPr>
                <w:rFonts w:eastAsia="Times New Roman" w:cs="Calibri"/>
                <w:color w:val="000000"/>
                <w:sz w:val="16"/>
                <w:szCs w:val="16"/>
              </w:rPr>
              <w:t>washouts,</w:t>
            </w:r>
            <w:r w:rsidRPr="00B1316C">
              <w:rPr>
                <w:rFonts w:eastAsia="Times New Roman" w:cs="Calibri"/>
                <w:color w:val="000000"/>
                <w:sz w:val="16"/>
                <w:szCs w:val="16"/>
              </w:rPr>
              <w:t xml:space="preserve"> or floods (excluding rivers) were objects struck in the crash</w:t>
            </w:r>
          </w:p>
        </w:tc>
      </w:tr>
      <w:tr w:rsidR="00B1316C" w:rsidRPr="00B1316C" w14:paraId="45EA05C1"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D6F3C3A"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speedLimit</w:t>
            </w:r>
          </w:p>
        </w:tc>
        <w:tc>
          <w:tcPr>
            <w:tcW w:w="7285" w:type="dxa"/>
            <w:noWrap/>
            <w:vAlign w:val="center"/>
            <w:hideMark/>
          </w:tcPr>
          <w:p w14:paraId="6F6662D2" w14:textId="40C15518"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speed limit in force at the crash site at the time of the crash. May be a number, or 'LSZ' for a limited speed zone.</w:t>
            </w:r>
          </w:p>
        </w:tc>
      </w:tr>
      <w:tr w:rsidR="00B1316C" w:rsidRPr="00B1316C" w14:paraId="75A52F7A"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DEB938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strayAnimal</w:t>
            </w:r>
          </w:p>
        </w:tc>
        <w:tc>
          <w:tcPr>
            <w:tcW w:w="7285" w:type="dxa"/>
            <w:noWrap/>
            <w:vAlign w:val="center"/>
            <w:hideMark/>
          </w:tcPr>
          <w:p w14:paraId="1186A644" w14:textId="7FB3C1B0"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stray animal(s) was struck in the crash.</w:t>
            </w:r>
          </w:p>
        </w:tc>
      </w:tr>
      <w:tr w:rsidR="00B1316C" w:rsidRPr="00B1316C" w14:paraId="3ECF9EF1"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D1B6509"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streetLight</w:t>
            </w:r>
          </w:p>
        </w:tc>
        <w:tc>
          <w:tcPr>
            <w:tcW w:w="7285" w:type="dxa"/>
            <w:noWrap/>
            <w:vAlign w:val="center"/>
            <w:hideMark/>
          </w:tcPr>
          <w:p w14:paraId="7F000513"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street lighting at the time of the crash. Possible values 'On', 'Off', 'None' or ' Unknown'.</w:t>
            </w:r>
          </w:p>
        </w:tc>
      </w:tr>
      <w:tr w:rsidR="00B1316C" w:rsidRPr="00B1316C" w14:paraId="3683CBB3"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E1152E6"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suv</w:t>
            </w:r>
          </w:p>
        </w:tc>
        <w:tc>
          <w:tcPr>
            <w:tcW w:w="7285" w:type="dxa"/>
            <w:noWrap/>
            <w:vAlign w:val="center"/>
            <w:hideMark/>
          </w:tcPr>
          <w:p w14:paraId="39A6291B"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SUVs were involved in the crash.</w:t>
            </w:r>
          </w:p>
        </w:tc>
      </w:tr>
      <w:tr w:rsidR="00B1316C" w:rsidRPr="00B1316C" w14:paraId="620584D2"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D04314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trafficControl</w:t>
            </w:r>
          </w:p>
        </w:tc>
        <w:tc>
          <w:tcPr>
            <w:tcW w:w="7285" w:type="dxa"/>
            <w:noWrap/>
            <w:vAlign w:val="center"/>
            <w:hideMark/>
          </w:tcPr>
          <w:p w14:paraId="64E28B43"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traffic control (ctrl) signals at the crash site. Possible values are 'Traffic Signals', 'Stop Sign', 'Give Way Sign', 'Pointsman', 'School Patrol', 'Nil' or ' N/A'.</w:t>
            </w:r>
          </w:p>
        </w:tc>
      </w:tr>
      <w:tr w:rsidR="00B1316C" w:rsidRPr="00B1316C" w14:paraId="2586C68B"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8C55352"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trafficIsland</w:t>
            </w:r>
          </w:p>
        </w:tc>
        <w:tc>
          <w:tcPr>
            <w:tcW w:w="7285" w:type="dxa"/>
            <w:noWrap/>
            <w:vAlign w:val="center"/>
            <w:hideMark/>
          </w:tcPr>
          <w:p w14:paraId="151A1AE7" w14:textId="48BA4288"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traffic island</w:t>
            </w:r>
            <w:r w:rsidR="00E33DAB">
              <w:rPr>
                <w:rFonts w:eastAsia="Times New Roman" w:cs="Calibri"/>
                <w:color w:val="000000"/>
                <w:sz w:val="16"/>
                <w:szCs w:val="16"/>
              </w:rPr>
              <w:t xml:space="preserve"> or </w:t>
            </w:r>
            <w:r w:rsidRPr="00B1316C">
              <w:rPr>
                <w:rFonts w:eastAsia="Times New Roman" w:cs="Calibri"/>
                <w:color w:val="000000"/>
                <w:sz w:val="16"/>
                <w:szCs w:val="16"/>
              </w:rPr>
              <w:t>medians (excluding barriers)</w:t>
            </w:r>
            <w:r w:rsidR="00E33DAB">
              <w:rPr>
                <w:rFonts w:eastAsia="Times New Roman" w:cs="Calibri"/>
                <w:color w:val="000000"/>
                <w:sz w:val="16"/>
                <w:szCs w:val="16"/>
              </w:rPr>
              <w:t xml:space="preserve"> </w:t>
            </w:r>
            <w:r w:rsidRPr="00B1316C">
              <w:rPr>
                <w:rFonts w:eastAsia="Times New Roman" w:cs="Calibri"/>
                <w:color w:val="000000"/>
                <w:sz w:val="16"/>
                <w:szCs w:val="16"/>
              </w:rPr>
              <w:t>was struck in the crash.</w:t>
            </w:r>
          </w:p>
        </w:tc>
      </w:tr>
      <w:tr w:rsidR="00B1316C" w:rsidRPr="00B1316C" w14:paraId="2D3A1D17"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E7B85EF"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trafficSign</w:t>
            </w:r>
          </w:p>
        </w:tc>
        <w:tc>
          <w:tcPr>
            <w:tcW w:w="7285" w:type="dxa"/>
            <w:noWrap/>
            <w:vAlign w:val="center"/>
            <w:hideMark/>
          </w:tcPr>
          <w:p w14:paraId="23CDE796" w14:textId="61A121BC"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times 'traffic signage' (including traffic signals, their poles, </w:t>
            </w:r>
            <w:r w:rsidR="00560326" w:rsidRPr="00B1316C">
              <w:rPr>
                <w:rFonts w:eastAsia="Times New Roman" w:cs="Calibri"/>
                <w:color w:val="000000"/>
                <w:sz w:val="16"/>
                <w:szCs w:val="16"/>
              </w:rPr>
              <w:t>bollards,</w:t>
            </w:r>
            <w:r w:rsidRPr="00B1316C">
              <w:rPr>
                <w:rFonts w:eastAsia="Times New Roman" w:cs="Calibri"/>
                <w:color w:val="000000"/>
                <w:sz w:val="16"/>
                <w:szCs w:val="16"/>
              </w:rPr>
              <w:t xml:space="preserve"> or roadside delineators) was struck in the crash.</w:t>
            </w:r>
          </w:p>
        </w:tc>
      </w:tr>
      <w:tr w:rsidR="00B1316C" w:rsidRPr="00B1316C" w14:paraId="059EB39A"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297ACCA8"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train</w:t>
            </w:r>
          </w:p>
        </w:tc>
        <w:tc>
          <w:tcPr>
            <w:tcW w:w="7285" w:type="dxa"/>
            <w:noWrap/>
            <w:vAlign w:val="center"/>
            <w:hideMark/>
          </w:tcPr>
          <w:p w14:paraId="6709FF94" w14:textId="3B08F69A"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train, rolling stock or jiggers was struck in the crash, whether stationary or moving</w:t>
            </w:r>
            <w:r w:rsidR="00AA3B40">
              <w:rPr>
                <w:rFonts w:eastAsia="Times New Roman" w:cs="Calibri"/>
                <w:color w:val="000000"/>
                <w:sz w:val="16"/>
                <w:szCs w:val="16"/>
              </w:rPr>
              <w:t>.</w:t>
            </w:r>
          </w:p>
        </w:tc>
      </w:tr>
      <w:tr w:rsidR="00B1316C" w:rsidRPr="00B1316C" w14:paraId="551640F5"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45CBE76"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tree</w:t>
            </w:r>
          </w:p>
        </w:tc>
        <w:tc>
          <w:tcPr>
            <w:tcW w:w="7285" w:type="dxa"/>
            <w:noWrap/>
            <w:vAlign w:val="center"/>
            <w:hideMark/>
          </w:tcPr>
          <w:p w14:paraId="65039273" w14:textId="4525C35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Derived variable to indicate how many times trees or other </w:t>
            </w:r>
            <w:r w:rsidR="00E33DAB">
              <w:rPr>
                <w:rFonts w:eastAsia="Times New Roman" w:cs="Calibri"/>
                <w:color w:val="000000"/>
                <w:sz w:val="16"/>
                <w:szCs w:val="16"/>
              </w:rPr>
              <w:t xml:space="preserve">flora </w:t>
            </w:r>
            <w:r w:rsidRPr="00B1316C">
              <w:rPr>
                <w:rFonts w:eastAsia="Times New Roman" w:cs="Calibri"/>
                <w:color w:val="000000"/>
                <w:sz w:val="16"/>
                <w:szCs w:val="16"/>
              </w:rPr>
              <w:t>were struck during the crash.</w:t>
            </w:r>
          </w:p>
        </w:tc>
      </w:tr>
      <w:tr w:rsidR="00B1316C" w:rsidRPr="00B1316C" w14:paraId="7B30B3EA"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51C6E885"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truck</w:t>
            </w:r>
          </w:p>
        </w:tc>
        <w:tc>
          <w:tcPr>
            <w:tcW w:w="7285" w:type="dxa"/>
            <w:noWrap/>
            <w:vAlign w:val="center"/>
            <w:hideMark/>
          </w:tcPr>
          <w:p w14:paraId="56D31746"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trucks were involved in the crash.</w:t>
            </w:r>
          </w:p>
        </w:tc>
      </w:tr>
      <w:tr w:rsidR="00B1316C" w:rsidRPr="00B1316C" w14:paraId="3CD48369"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16730FE5"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urban</w:t>
            </w:r>
          </w:p>
        </w:tc>
        <w:tc>
          <w:tcPr>
            <w:tcW w:w="7285" w:type="dxa"/>
            <w:noWrap/>
            <w:vAlign w:val="center"/>
            <w:hideMark/>
          </w:tcPr>
          <w:p w14:paraId="57358FA5" w14:textId="393B5FBE"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 xml:space="preserve">A derived variable using </w:t>
            </w:r>
            <w:r w:rsidR="00E33DAB">
              <w:rPr>
                <w:rFonts w:eastAsia="Times New Roman" w:cs="Calibri"/>
                <w:color w:val="000000"/>
                <w:sz w:val="16"/>
                <w:szCs w:val="16"/>
              </w:rPr>
              <w:t>speed limit</w:t>
            </w:r>
            <w:r w:rsidRPr="00B1316C">
              <w:rPr>
                <w:rFonts w:eastAsia="Times New Roman" w:cs="Calibri"/>
                <w:color w:val="000000"/>
                <w:sz w:val="16"/>
                <w:szCs w:val="16"/>
              </w:rPr>
              <w:t xml:space="preserve">. Possible values are 'Urban' (urban, </w:t>
            </w:r>
            <w:r w:rsidR="00E33DAB">
              <w:rPr>
                <w:rFonts w:eastAsia="Times New Roman" w:cs="Calibri"/>
                <w:color w:val="000000"/>
                <w:sz w:val="16"/>
                <w:szCs w:val="16"/>
              </w:rPr>
              <w:t>speedLimit</w:t>
            </w:r>
            <w:r w:rsidRPr="00B1316C">
              <w:rPr>
                <w:rFonts w:eastAsia="Times New Roman" w:cs="Calibri"/>
                <w:color w:val="000000"/>
                <w:sz w:val="16"/>
                <w:szCs w:val="16"/>
              </w:rPr>
              <w:t xml:space="preserve"> &lt; 80) or 'Open Road' (open road, </w:t>
            </w:r>
            <w:r w:rsidR="00E33DAB">
              <w:rPr>
                <w:rFonts w:eastAsia="Times New Roman" w:cs="Calibri"/>
                <w:color w:val="000000"/>
                <w:sz w:val="16"/>
                <w:szCs w:val="16"/>
              </w:rPr>
              <w:t>speedLimit</w:t>
            </w:r>
            <w:r w:rsidRPr="00B1316C">
              <w:rPr>
                <w:rFonts w:eastAsia="Times New Roman" w:cs="Calibri"/>
                <w:color w:val="000000"/>
                <w:sz w:val="16"/>
                <w:szCs w:val="16"/>
              </w:rPr>
              <w:t xml:space="preserve"> &gt;=80 or 'LSZ').</w:t>
            </w:r>
          </w:p>
        </w:tc>
      </w:tr>
      <w:tr w:rsidR="00B1316C" w:rsidRPr="00B1316C" w14:paraId="720E0461"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FC21E26"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vanOrUtility</w:t>
            </w:r>
          </w:p>
        </w:tc>
        <w:tc>
          <w:tcPr>
            <w:tcW w:w="7285" w:type="dxa"/>
            <w:noWrap/>
            <w:vAlign w:val="center"/>
            <w:hideMark/>
          </w:tcPr>
          <w:p w14:paraId="150B6AD4" w14:textId="190F9641"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vans or ut</w:t>
            </w:r>
            <w:r w:rsidR="00560326">
              <w:rPr>
                <w:rFonts w:eastAsia="Times New Roman" w:cs="Calibri"/>
                <w:color w:val="000000"/>
                <w:sz w:val="16"/>
                <w:szCs w:val="16"/>
              </w:rPr>
              <w:t>ility vehicles</w:t>
            </w:r>
            <w:r w:rsidRPr="00B1316C">
              <w:rPr>
                <w:rFonts w:eastAsia="Times New Roman" w:cs="Calibri"/>
                <w:color w:val="000000"/>
                <w:sz w:val="16"/>
                <w:szCs w:val="16"/>
              </w:rPr>
              <w:t xml:space="preserve"> were involved in the crash.</w:t>
            </w:r>
          </w:p>
        </w:tc>
      </w:tr>
      <w:tr w:rsidR="00B1316C" w:rsidRPr="00B1316C" w14:paraId="0D5EAA92"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1ECAF460"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waterRiver</w:t>
            </w:r>
          </w:p>
        </w:tc>
        <w:tc>
          <w:tcPr>
            <w:tcW w:w="7285" w:type="dxa"/>
            <w:noWrap/>
            <w:vAlign w:val="center"/>
            <w:hideMark/>
          </w:tcPr>
          <w:p w14:paraId="6B0DD985" w14:textId="246BCBFE"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Derived variable to indicate how many times a body of water (including rivers, streams, lakes, the sea, tidal flats, canals, or swa</w:t>
            </w:r>
            <w:r w:rsidR="00E33DAB">
              <w:rPr>
                <w:rFonts w:eastAsia="Times New Roman" w:cs="Calibri"/>
                <w:color w:val="000000"/>
                <w:sz w:val="16"/>
                <w:szCs w:val="16"/>
              </w:rPr>
              <w:t>m</w:t>
            </w:r>
            <w:r w:rsidRPr="00B1316C">
              <w:rPr>
                <w:rFonts w:eastAsia="Times New Roman" w:cs="Calibri"/>
                <w:color w:val="000000"/>
                <w:sz w:val="16"/>
                <w:szCs w:val="16"/>
              </w:rPr>
              <w:t>ps) was struck in the crash.</w:t>
            </w:r>
          </w:p>
        </w:tc>
      </w:tr>
      <w:tr w:rsidR="00B1316C" w:rsidRPr="00B1316C" w14:paraId="16AE7576" w14:textId="77777777" w:rsidTr="00E33DAB">
        <w:trPr>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03C26235"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weatherA</w:t>
            </w:r>
          </w:p>
        </w:tc>
        <w:tc>
          <w:tcPr>
            <w:tcW w:w="7285" w:type="dxa"/>
            <w:noWrap/>
            <w:vAlign w:val="center"/>
            <w:hideMark/>
          </w:tcPr>
          <w:p w14:paraId="533E4373" w14:textId="77777777" w:rsidR="00B1316C" w:rsidRPr="00B1316C" w:rsidRDefault="00B1316C" w:rsidP="00E33DA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Indicates weather at the crash time/place. Values that are possible are 'Fine', 'Mist', 'Light Rain', 'Heavy Rain', 'Snow', 'Unknown'.</w:t>
            </w:r>
          </w:p>
        </w:tc>
      </w:tr>
      <w:tr w:rsidR="00B1316C" w:rsidRPr="00B1316C" w14:paraId="7FD7C29C" w14:textId="77777777" w:rsidTr="00E33DA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5" w:type="dxa"/>
            <w:noWrap/>
            <w:vAlign w:val="center"/>
            <w:hideMark/>
          </w:tcPr>
          <w:p w14:paraId="3DDCEBCF" w14:textId="77777777" w:rsidR="00B1316C" w:rsidRPr="00B1316C" w:rsidRDefault="00B1316C" w:rsidP="00E33DAB">
            <w:pPr>
              <w:rPr>
                <w:rFonts w:eastAsia="Times New Roman" w:cs="Calibri"/>
                <w:color w:val="000000"/>
                <w:sz w:val="16"/>
                <w:szCs w:val="16"/>
              </w:rPr>
            </w:pPr>
            <w:r w:rsidRPr="00B1316C">
              <w:rPr>
                <w:rFonts w:eastAsia="Times New Roman" w:cs="Calibri"/>
                <w:color w:val="000000"/>
                <w:sz w:val="16"/>
                <w:szCs w:val="16"/>
              </w:rPr>
              <w:t>weatherB</w:t>
            </w:r>
          </w:p>
        </w:tc>
        <w:tc>
          <w:tcPr>
            <w:tcW w:w="7285" w:type="dxa"/>
            <w:noWrap/>
            <w:vAlign w:val="center"/>
            <w:hideMark/>
          </w:tcPr>
          <w:p w14:paraId="5F4F4A06" w14:textId="77777777" w:rsidR="00B1316C" w:rsidRPr="00B1316C" w:rsidRDefault="00B1316C" w:rsidP="00E33DA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B1316C">
              <w:rPr>
                <w:rFonts w:eastAsia="Times New Roman" w:cs="Calibri"/>
                <w:color w:val="000000"/>
                <w:sz w:val="16"/>
                <w:szCs w:val="16"/>
              </w:rPr>
              <w:t>The weather at the crash time/place. Values 'Frost', 'Strong Wind' or 'Unknown'.</w:t>
            </w:r>
          </w:p>
        </w:tc>
      </w:tr>
    </w:tbl>
    <w:p w14:paraId="2FB51A02" w14:textId="32DF82B9" w:rsidR="00B1316C" w:rsidRPr="00AA3B40" w:rsidRDefault="00560326" w:rsidP="00067230">
      <w:pPr>
        <w:spacing w:before="160" w:line="300" w:lineRule="auto"/>
        <w:jc w:val="both"/>
      </w:pPr>
      <w:r>
        <w:t xml:space="preserve">Of course, </w:t>
      </w:r>
      <w:r w:rsidR="002C48A4">
        <w:t xml:space="preserve">future exploratory data analysis tasks could indicate that one or more of the above variables should either be </w:t>
      </w:r>
      <w:r w:rsidR="00AA3B40">
        <w:t xml:space="preserve">(a) transformed/recorded for or (b) excluded from the classification task. Meanwhile, the </w:t>
      </w:r>
      <w:r w:rsidR="00AA3B40">
        <w:rPr>
          <w:i/>
          <w:iCs/>
        </w:rPr>
        <w:t>region</w:t>
      </w:r>
      <w:r w:rsidR="00AA3B40">
        <w:t xml:space="preserve"> variable will be central to the secondary clustering task that will help pinpoint ‘priority areas’ for traffic safety interventions.</w:t>
      </w:r>
    </w:p>
    <w:sectPr w:rsidR="00B1316C" w:rsidRPr="00AA3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6BA8" w14:textId="77777777" w:rsidR="006314F8" w:rsidRDefault="006314F8" w:rsidP="00461ECF">
      <w:pPr>
        <w:spacing w:after="0" w:line="240" w:lineRule="auto"/>
      </w:pPr>
      <w:r>
        <w:separator/>
      </w:r>
    </w:p>
  </w:endnote>
  <w:endnote w:type="continuationSeparator" w:id="0">
    <w:p w14:paraId="7CD3ADF0" w14:textId="77777777" w:rsidR="006314F8" w:rsidRDefault="006314F8" w:rsidP="0046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Pro Black">
    <w:altName w:val="Georgia Pro Black"/>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3A47E" w14:textId="77777777" w:rsidR="006314F8" w:rsidRDefault="006314F8" w:rsidP="00461ECF">
      <w:pPr>
        <w:spacing w:after="0" w:line="240" w:lineRule="auto"/>
      </w:pPr>
      <w:r>
        <w:separator/>
      </w:r>
    </w:p>
  </w:footnote>
  <w:footnote w:type="continuationSeparator" w:id="0">
    <w:p w14:paraId="5A503832" w14:textId="77777777" w:rsidR="006314F8" w:rsidRDefault="006314F8" w:rsidP="00461ECF">
      <w:pPr>
        <w:spacing w:after="0" w:line="240" w:lineRule="auto"/>
      </w:pPr>
      <w:r>
        <w:continuationSeparator/>
      </w:r>
    </w:p>
  </w:footnote>
  <w:footnote w:id="1">
    <w:p w14:paraId="543A0FD5" w14:textId="73C37A12" w:rsidR="00461ECF" w:rsidRPr="00461ECF" w:rsidRDefault="00461ECF">
      <w:pPr>
        <w:pStyle w:val="FootnoteText"/>
        <w:rPr>
          <w:sz w:val="18"/>
          <w:szCs w:val="18"/>
        </w:rPr>
      </w:pPr>
      <w:r>
        <w:rPr>
          <w:rStyle w:val="FootnoteReference"/>
        </w:rPr>
        <w:footnoteRef/>
      </w:r>
      <w:r>
        <w:t xml:space="preserve"> </w:t>
      </w:r>
      <w:r w:rsidRPr="00461ECF">
        <w:rPr>
          <w:sz w:val="18"/>
          <w:szCs w:val="18"/>
        </w:rPr>
        <w:t>https://visionzeronetwork.org/about/what-is-vision-zero/</w:t>
      </w:r>
    </w:p>
  </w:footnote>
  <w:footnote w:id="2">
    <w:p w14:paraId="3A546198" w14:textId="77777777" w:rsidR="00461ECF" w:rsidRDefault="00461ECF" w:rsidP="00461ECF">
      <w:pPr>
        <w:pStyle w:val="FootnoteText"/>
      </w:pPr>
      <w:r>
        <w:rPr>
          <w:rStyle w:val="FootnoteReference"/>
        </w:rPr>
        <w:footnoteRef/>
      </w:r>
      <w:r>
        <w:t xml:space="preserve"> </w:t>
      </w:r>
      <w:r w:rsidRPr="00461ECF">
        <w:rPr>
          <w:sz w:val="18"/>
          <w:szCs w:val="18"/>
        </w:rPr>
        <w:t>https://toolkits.ite.org/visionzero/</w:t>
      </w:r>
    </w:p>
  </w:footnote>
  <w:footnote w:id="3">
    <w:p w14:paraId="6BBFF504" w14:textId="2759891C" w:rsidR="00D67642" w:rsidRDefault="00D67642">
      <w:pPr>
        <w:pStyle w:val="FootnoteText"/>
      </w:pPr>
      <w:r>
        <w:rPr>
          <w:rStyle w:val="FootnoteReference"/>
        </w:rPr>
        <w:footnoteRef/>
      </w:r>
      <w:r>
        <w:t xml:space="preserve"> </w:t>
      </w:r>
      <w:r w:rsidRPr="00D67642">
        <w:rPr>
          <w:sz w:val="18"/>
          <w:szCs w:val="18"/>
        </w:rPr>
        <w:t>https://opendata-nzta.opendata.arcgis.com/pages/cas-data-field-descriptions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85184"/>
    <w:multiLevelType w:val="hybridMultilevel"/>
    <w:tmpl w:val="0446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C2"/>
    <w:rsid w:val="00067230"/>
    <w:rsid w:val="000D0AF7"/>
    <w:rsid w:val="000E24B8"/>
    <w:rsid w:val="00123CAE"/>
    <w:rsid w:val="002C48A4"/>
    <w:rsid w:val="003D6DEC"/>
    <w:rsid w:val="00461ECF"/>
    <w:rsid w:val="00492AD9"/>
    <w:rsid w:val="00560326"/>
    <w:rsid w:val="006314F8"/>
    <w:rsid w:val="0089218C"/>
    <w:rsid w:val="00896F7D"/>
    <w:rsid w:val="00AA37BD"/>
    <w:rsid w:val="00AA3B40"/>
    <w:rsid w:val="00B1316C"/>
    <w:rsid w:val="00B7652C"/>
    <w:rsid w:val="00CE0FBC"/>
    <w:rsid w:val="00D305C2"/>
    <w:rsid w:val="00D67642"/>
    <w:rsid w:val="00E11B80"/>
    <w:rsid w:val="00E33DAB"/>
    <w:rsid w:val="00F07350"/>
    <w:rsid w:val="00F1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1B8E"/>
  <w15:chartTrackingRefBased/>
  <w15:docId w15:val="{72B0CF94-7824-419E-B204-FD23EC69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7D"/>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F7D"/>
    <w:pPr>
      <w:spacing w:after="0" w:line="240" w:lineRule="auto"/>
      <w:contextualSpacing/>
    </w:pPr>
    <w:rPr>
      <w:rFonts w:ascii="Georgia Pro Black" w:eastAsiaTheme="majorEastAsia" w:hAnsi="Georgia Pro Black" w:cstheme="majorBidi"/>
      <w:spacing w:val="-10"/>
      <w:kern w:val="28"/>
      <w:sz w:val="48"/>
      <w:szCs w:val="56"/>
    </w:rPr>
  </w:style>
  <w:style w:type="character" w:customStyle="1" w:styleId="TitleChar">
    <w:name w:val="Title Char"/>
    <w:basedOn w:val="DefaultParagraphFont"/>
    <w:link w:val="Title"/>
    <w:uiPriority w:val="10"/>
    <w:rsid w:val="00896F7D"/>
    <w:rPr>
      <w:rFonts w:ascii="Georgia Pro Black" w:eastAsiaTheme="majorEastAsia" w:hAnsi="Georgia Pro Black" w:cstheme="majorBidi"/>
      <w:spacing w:val="-10"/>
      <w:kern w:val="28"/>
      <w:sz w:val="48"/>
      <w:szCs w:val="56"/>
    </w:rPr>
  </w:style>
  <w:style w:type="paragraph" w:styleId="FootnoteText">
    <w:name w:val="footnote text"/>
    <w:basedOn w:val="Normal"/>
    <w:link w:val="FootnoteTextChar"/>
    <w:uiPriority w:val="99"/>
    <w:semiHidden/>
    <w:unhideWhenUsed/>
    <w:rsid w:val="00461E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ECF"/>
    <w:rPr>
      <w:rFonts w:ascii="Georgia" w:hAnsi="Georgia"/>
      <w:sz w:val="20"/>
      <w:szCs w:val="20"/>
    </w:rPr>
  </w:style>
  <w:style w:type="character" w:styleId="FootnoteReference">
    <w:name w:val="footnote reference"/>
    <w:basedOn w:val="DefaultParagraphFont"/>
    <w:uiPriority w:val="99"/>
    <w:semiHidden/>
    <w:unhideWhenUsed/>
    <w:rsid w:val="00461ECF"/>
    <w:rPr>
      <w:vertAlign w:val="superscript"/>
    </w:rPr>
  </w:style>
  <w:style w:type="table" w:styleId="TableGrid">
    <w:name w:val="Table Grid"/>
    <w:basedOn w:val="TableNormal"/>
    <w:uiPriority w:val="39"/>
    <w:rsid w:val="0006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7230"/>
    <w:pPr>
      <w:spacing w:after="200" w:line="240" w:lineRule="auto"/>
    </w:pPr>
    <w:rPr>
      <w:i/>
      <w:iCs/>
      <w:color w:val="44546A" w:themeColor="text2"/>
      <w:sz w:val="18"/>
      <w:szCs w:val="18"/>
    </w:rPr>
  </w:style>
  <w:style w:type="paragraph" w:styleId="ListParagraph">
    <w:name w:val="List Paragraph"/>
    <w:basedOn w:val="Normal"/>
    <w:uiPriority w:val="34"/>
    <w:qFormat/>
    <w:rsid w:val="00123CAE"/>
    <w:pPr>
      <w:ind w:left="720"/>
      <w:contextualSpacing/>
    </w:pPr>
  </w:style>
  <w:style w:type="table" w:styleId="GridTable4">
    <w:name w:val="Grid Table 4"/>
    <w:basedOn w:val="TableNormal"/>
    <w:uiPriority w:val="49"/>
    <w:rsid w:val="00E33D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72432">
      <w:bodyDiv w:val="1"/>
      <w:marLeft w:val="0"/>
      <w:marRight w:val="0"/>
      <w:marTop w:val="0"/>
      <w:marBottom w:val="0"/>
      <w:divBdr>
        <w:top w:val="none" w:sz="0" w:space="0" w:color="auto"/>
        <w:left w:val="none" w:sz="0" w:space="0" w:color="auto"/>
        <w:bottom w:val="none" w:sz="0" w:space="0" w:color="auto"/>
        <w:right w:val="none" w:sz="0" w:space="0" w:color="auto"/>
      </w:divBdr>
    </w:div>
    <w:div w:id="5720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3DEC-5B9B-41C2-B27C-7FE9F6BF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Biehl, Alec</dc:creator>
  <cp:keywords/>
  <dc:description/>
  <cp:lastModifiedBy>Biehl, Alec</cp:lastModifiedBy>
  <cp:revision>9</cp:revision>
  <dcterms:created xsi:type="dcterms:W3CDTF">2020-10-02T20:11:00Z</dcterms:created>
  <dcterms:modified xsi:type="dcterms:W3CDTF">2020-10-05T15:52:00Z</dcterms:modified>
</cp:coreProperties>
</file>